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66" w:lineRule="exact"/>
        <w:rPr>
          <w:sz w:val="24"/>
          <w:szCs w:val="24"/>
          <w:color w:val="auto"/>
        </w:rPr>
      </w:pPr>
    </w:p>
    <w:p>
      <w:pPr>
        <w:ind w:left="360" w:right="2040" w:hanging="177"/>
        <w:spacing w:after="0" w:line="298" w:lineRule="auto"/>
        <w:tabs>
          <w:tab w:leader="none" w:pos="536"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600" w:hanging="417"/>
        <w:spacing w:after="0"/>
        <w:tabs>
          <w:tab w:leader="none" w:pos="60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for the transition</w:t>
      </w:r>
    </w:p>
    <w:p>
      <w:pPr>
        <w:spacing w:after="0" w:line="3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b w:val="1"/>
                <w:bCs w:val="1"/>
                <w:color w:val="auto"/>
                <w:w w:val="93"/>
              </w:rPr>
              <w:t>period from</w:t>
            </w:r>
          </w:p>
        </w:tc>
        <w:tc>
          <w:tcPr>
            <w:tcW w:w="500" w:type="dxa"/>
            <w:vAlign w:val="bottom"/>
          </w:tcPr>
          <w:p>
            <w:pPr>
              <w:spacing w:after="0"/>
              <w:rPr>
                <w:sz w:val="17"/>
                <w:szCs w:val="17"/>
                <w:color w:val="auto"/>
              </w:rPr>
            </w:pPr>
          </w:p>
        </w:tc>
        <w:tc>
          <w:tcPr>
            <w:tcW w:w="4880" w:type="dxa"/>
            <w:vAlign w:val="bottom"/>
            <w:gridSpan w:val="3"/>
          </w:tcPr>
          <w:p>
            <w:pPr>
              <w:ind w:left="80"/>
              <w:spacing w:after="0"/>
              <w:rPr>
                <w:sz w:val="20"/>
                <w:szCs w:val="20"/>
                <w:color w:val="auto"/>
              </w:rPr>
            </w:pPr>
            <w:r>
              <w:rPr>
                <w:rFonts w:ascii="Arial" w:cs="Arial" w:eastAsia="Arial" w:hAnsi="Arial"/>
                <w:sz w:val="18"/>
                <w:szCs w:val="18"/>
                <w:b w:val="1"/>
                <w:bCs w:val="1"/>
                <w:color w:val="auto"/>
              </w:rPr>
              <w:t>to</w:t>
            </w:r>
          </w:p>
        </w:tc>
      </w:tr>
      <w:tr>
        <w:trPr>
          <w:trHeight w:val="453"/>
        </w:trPr>
        <w:tc>
          <w:tcPr>
            <w:tcW w:w="9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100" w:type="dxa"/>
            <w:vAlign w:val="bottom"/>
          </w:tcPr>
          <w:p>
            <w:pPr>
              <w:ind w:left="1520"/>
              <w:spacing w:after="0"/>
              <w:rPr>
                <w:sz w:val="20"/>
                <w:szCs w:val="20"/>
                <w:color w:val="auto"/>
              </w:rPr>
            </w:pPr>
            <w:r>
              <w:rPr>
                <w:rFonts w:ascii="Arial" w:cs="Arial" w:eastAsia="Arial" w:hAnsi="Arial"/>
                <w:sz w:val="18"/>
                <w:szCs w:val="18"/>
                <w:b w:val="1"/>
                <w:bCs w:val="1"/>
                <w:color w:val="auto"/>
                <w:w w:val="90"/>
              </w:rPr>
              <w:t>Commission File Number: 1-6887</w:t>
            </w:r>
          </w:p>
        </w:tc>
      </w:tr>
    </w:tbl>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BANK OF HAWAII CORP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2200" w:type="dxa"/>
            <w:vAlign w:val="bottom"/>
            <w:gridSpan w:val="2"/>
          </w:tcPr>
          <w:p>
            <w:pPr>
              <w:jc w:val="right"/>
              <w:ind w:right="999"/>
              <w:spacing w:after="0"/>
              <w:rPr>
                <w:sz w:val="20"/>
                <w:szCs w:val="20"/>
                <w:color w:val="auto"/>
              </w:rPr>
            </w:pPr>
            <w:r>
              <w:rPr>
                <w:rFonts w:ascii="Arial" w:cs="Arial" w:eastAsia="Arial" w:hAnsi="Arial"/>
                <w:sz w:val="16"/>
                <w:szCs w:val="16"/>
                <w:b w:val="1"/>
                <w:bCs w:val="1"/>
                <w:color w:val="auto"/>
              </w:rPr>
              <w:t>Delaware</w:t>
            </w: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gridSpan w:val="2"/>
          </w:tcPr>
          <w:p>
            <w:pPr>
              <w:jc w:val="right"/>
              <w:ind w:right="1679"/>
              <w:spacing w:after="0"/>
              <w:rPr>
                <w:sz w:val="20"/>
                <w:szCs w:val="20"/>
                <w:color w:val="auto"/>
              </w:rPr>
            </w:pPr>
            <w:r>
              <w:rPr>
                <w:rFonts w:ascii="Arial" w:cs="Arial" w:eastAsia="Arial" w:hAnsi="Arial"/>
                <w:sz w:val="16"/>
                <w:szCs w:val="16"/>
                <w:b w:val="1"/>
                <w:bCs w:val="1"/>
                <w:color w:val="auto"/>
              </w:rPr>
              <w:t>99-0148992</w:t>
            </w:r>
          </w:p>
        </w:tc>
      </w:tr>
      <w:tr>
        <w:trPr>
          <w:trHeight w:val="256"/>
        </w:trPr>
        <w:tc>
          <w:tcPr>
            <w:tcW w:w="2080" w:type="dxa"/>
            <w:vAlign w:val="bottom"/>
          </w:tcPr>
          <w:p>
            <w:pPr>
              <w:spacing w:after="0"/>
              <w:rPr>
                <w:sz w:val="22"/>
                <w:szCs w:val="22"/>
                <w:color w:val="auto"/>
              </w:rPr>
            </w:pPr>
          </w:p>
        </w:tc>
        <w:tc>
          <w:tcPr>
            <w:tcW w:w="2200" w:type="dxa"/>
            <w:vAlign w:val="bottom"/>
            <w:gridSpan w:val="2"/>
          </w:tcPr>
          <w:p>
            <w:pPr>
              <w:ind w:left="40"/>
              <w:spacing w:after="0"/>
              <w:rPr>
                <w:sz w:val="20"/>
                <w:szCs w:val="20"/>
                <w:color w:val="auto"/>
              </w:rPr>
            </w:pPr>
            <w:r>
              <w:rPr>
                <w:rFonts w:ascii="Arial" w:cs="Arial" w:eastAsia="Arial" w:hAnsi="Arial"/>
                <w:sz w:val="16"/>
                <w:szCs w:val="16"/>
                <w:color w:val="auto"/>
              </w:rPr>
              <w:t>(State of incorporation)</w:t>
            </w:r>
          </w:p>
        </w:tc>
        <w:tc>
          <w:tcPr>
            <w:tcW w:w="8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500" w:type="dxa"/>
            <w:vAlign w:val="bottom"/>
            <w:gridSpan w:val="2"/>
          </w:tcPr>
          <w:p>
            <w:pPr>
              <w:jc w:val="center"/>
              <w:ind w:right="719"/>
              <w:spacing w:after="0"/>
              <w:rPr>
                <w:sz w:val="20"/>
                <w:szCs w:val="20"/>
                <w:color w:val="auto"/>
              </w:rPr>
            </w:pPr>
            <w:r>
              <w:rPr>
                <w:rFonts w:ascii="Arial" w:cs="Arial" w:eastAsia="Arial" w:hAnsi="Arial"/>
                <w:sz w:val="16"/>
                <w:szCs w:val="16"/>
                <w:color w:val="auto"/>
                <w:w w:val="94"/>
              </w:rPr>
              <w:t>(I.R.S. Employer Identification No.)</w:t>
            </w:r>
          </w:p>
        </w:tc>
      </w:tr>
      <w:tr>
        <w:trPr>
          <w:trHeight w:val="526"/>
        </w:trPr>
        <w:tc>
          <w:tcPr>
            <w:tcW w:w="4280" w:type="dxa"/>
            <w:vAlign w:val="bottom"/>
            <w:gridSpan w:val="3"/>
          </w:tcPr>
          <w:p>
            <w:pPr>
              <w:ind w:left="1220"/>
              <w:spacing w:after="0"/>
              <w:rPr>
                <w:sz w:val="20"/>
                <w:szCs w:val="20"/>
                <w:color w:val="auto"/>
              </w:rPr>
            </w:pPr>
            <w:r>
              <w:rPr>
                <w:rFonts w:ascii="Arial" w:cs="Arial" w:eastAsia="Arial" w:hAnsi="Arial"/>
                <w:sz w:val="16"/>
                <w:szCs w:val="16"/>
                <w:b w:val="1"/>
                <w:bCs w:val="1"/>
                <w:color w:val="auto"/>
              </w:rPr>
              <w:t>130 Merchant Street</w:t>
            </w:r>
          </w:p>
        </w:tc>
        <w:tc>
          <w:tcPr>
            <w:tcW w:w="840" w:type="dxa"/>
            <w:vAlign w:val="bottom"/>
          </w:tcPr>
          <w:p>
            <w:pPr>
              <w:jc w:val="center"/>
              <w:ind w:left="99"/>
              <w:spacing w:after="0"/>
              <w:rPr>
                <w:sz w:val="20"/>
                <w:szCs w:val="20"/>
                <w:color w:val="auto"/>
              </w:rPr>
            </w:pPr>
            <w:r>
              <w:rPr>
                <w:rFonts w:ascii="Arial" w:cs="Arial" w:eastAsia="Arial" w:hAnsi="Arial"/>
                <w:sz w:val="16"/>
                <w:szCs w:val="16"/>
                <w:b w:val="1"/>
                <w:bCs w:val="1"/>
                <w:color w:val="auto"/>
                <w:w w:val="95"/>
              </w:rPr>
              <w:t>Honolulu</w:t>
            </w:r>
          </w:p>
        </w:tc>
        <w:tc>
          <w:tcPr>
            <w:tcW w:w="600" w:type="dxa"/>
            <w:vAlign w:val="bottom"/>
          </w:tcPr>
          <w:p>
            <w:pPr>
              <w:spacing w:after="0"/>
              <w:rPr>
                <w:sz w:val="24"/>
                <w:szCs w:val="24"/>
                <w:color w:val="auto"/>
              </w:rPr>
            </w:pPr>
          </w:p>
        </w:tc>
        <w:tc>
          <w:tcPr>
            <w:tcW w:w="1420" w:type="dxa"/>
            <w:vAlign w:val="bottom"/>
            <w:gridSpan w:val="2"/>
          </w:tcPr>
          <w:p>
            <w:pPr>
              <w:jc w:val="center"/>
              <w:ind w:left="439"/>
              <w:spacing w:after="0"/>
              <w:rPr>
                <w:sz w:val="20"/>
                <w:szCs w:val="20"/>
                <w:color w:val="auto"/>
              </w:rPr>
            </w:pPr>
            <w:r>
              <w:rPr>
                <w:rFonts w:ascii="Arial" w:cs="Arial" w:eastAsia="Arial" w:hAnsi="Arial"/>
                <w:sz w:val="16"/>
                <w:szCs w:val="16"/>
                <w:b w:val="1"/>
                <w:bCs w:val="1"/>
                <w:color w:val="auto"/>
                <w:w w:val="98"/>
              </w:rPr>
              <w:t>Hawaii</w:t>
            </w:r>
          </w:p>
        </w:tc>
        <w:tc>
          <w:tcPr>
            <w:tcW w:w="3500" w:type="dxa"/>
            <w:vAlign w:val="bottom"/>
            <w:gridSpan w:val="2"/>
          </w:tcPr>
          <w:p>
            <w:pPr>
              <w:jc w:val="right"/>
              <w:ind w:right="919"/>
              <w:spacing w:after="0"/>
              <w:rPr>
                <w:sz w:val="20"/>
                <w:szCs w:val="20"/>
                <w:color w:val="auto"/>
              </w:rPr>
            </w:pPr>
            <w:r>
              <w:rPr>
                <w:rFonts w:ascii="Arial" w:cs="Arial" w:eastAsia="Arial" w:hAnsi="Arial"/>
                <w:sz w:val="16"/>
                <w:szCs w:val="16"/>
                <w:b w:val="1"/>
                <w:bCs w:val="1"/>
                <w:color w:val="auto"/>
              </w:rPr>
              <w:t>96813</w:t>
            </w:r>
          </w:p>
        </w:tc>
      </w:tr>
      <w:tr>
        <w:trPr>
          <w:trHeight w:val="257"/>
        </w:trPr>
        <w:tc>
          <w:tcPr>
            <w:tcW w:w="4280" w:type="dxa"/>
            <w:vAlign w:val="bottom"/>
            <w:gridSpan w:val="3"/>
          </w:tcPr>
          <w:p>
            <w:pPr>
              <w:jc w:val="right"/>
              <w:ind w:right="999"/>
              <w:spacing w:after="0"/>
              <w:rPr>
                <w:sz w:val="20"/>
                <w:szCs w:val="20"/>
                <w:color w:val="auto"/>
              </w:rPr>
            </w:pPr>
            <w:r>
              <w:rPr>
                <w:rFonts w:ascii="Arial" w:cs="Arial" w:eastAsia="Arial" w:hAnsi="Arial"/>
                <w:sz w:val="16"/>
                <w:szCs w:val="16"/>
                <w:color w:val="auto"/>
              </w:rPr>
              <w:t>(Address of principal executive offices)</w:t>
            </w:r>
          </w:p>
        </w:tc>
        <w:tc>
          <w:tcPr>
            <w:tcW w:w="840" w:type="dxa"/>
            <w:vAlign w:val="bottom"/>
          </w:tcPr>
          <w:p>
            <w:pPr>
              <w:jc w:val="center"/>
              <w:ind w:left="99"/>
              <w:spacing w:after="0"/>
              <w:rPr>
                <w:sz w:val="20"/>
                <w:szCs w:val="20"/>
                <w:color w:val="auto"/>
              </w:rPr>
            </w:pPr>
            <w:r>
              <w:rPr>
                <w:rFonts w:ascii="Arial" w:cs="Arial" w:eastAsia="Arial" w:hAnsi="Arial"/>
                <w:sz w:val="16"/>
                <w:szCs w:val="16"/>
                <w:color w:val="auto"/>
                <w:w w:val="99"/>
              </w:rPr>
              <w:t>(City)</w:t>
            </w:r>
          </w:p>
        </w:tc>
        <w:tc>
          <w:tcPr>
            <w:tcW w:w="600" w:type="dxa"/>
            <w:vAlign w:val="bottom"/>
          </w:tcPr>
          <w:p>
            <w:pPr>
              <w:spacing w:after="0"/>
              <w:rPr>
                <w:sz w:val="22"/>
                <w:szCs w:val="22"/>
                <w:color w:val="auto"/>
              </w:rPr>
            </w:pPr>
          </w:p>
        </w:tc>
        <w:tc>
          <w:tcPr>
            <w:tcW w:w="1420" w:type="dxa"/>
            <w:vAlign w:val="bottom"/>
            <w:gridSpan w:val="2"/>
          </w:tcPr>
          <w:p>
            <w:pPr>
              <w:jc w:val="center"/>
              <w:ind w:left="459"/>
              <w:spacing w:after="0"/>
              <w:rPr>
                <w:sz w:val="20"/>
                <w:szCs w:val="20"/>
                <w:color w:val="auto"/>
              </w:rPr>
            </w:pPr>
            <w:r>
              <w:rPr>
                <w:rFonts w:ascii="Arial" w:cs="Arial" w:eastAsia="Arial" w:hAnsi="Arial"/>
                <w:sz w:val="16"/>
                <w:szCs w:val="16"/>
                <w:color w:val="auto"/>
                <w:w w:val="91"/>
              </w:rPr>
              <w:t>(State)</w:t>
            </w:r>
          </w:p>
        </w:tc>
        <w:tc>
          <w:tcPr>
            <w:tcW w:w="620" w:type="dxa"/>
            <w:vAlign w:val="bottom"/>
          </w:tcPr>
          <w:p>
            <w:pPr>
              <w:spacing w:after="0"/>
              <w:rPr>
                <w:sz w:val="22"/>
                <w:szCs w:val="22"/>
                <w:color w:val="auto"/>
              </w:rPr>
            </w:pPr>
          </w:p>
        </w:tc>
        <w:tc>
          <w:tcPr>
            <w:tcW w:w="2880" w:type="dxa"/>
            <w:vAlign w:val="bottom"/>
          </w:tcPr>
          <w:p>
            <w:pPr>
              <w:jc w:val="center"/>
              <w:ind w:left="399"/>
              <w:spacing w:after="0"/>
              <w:rPr>
                <w:sz w:val="20"/>
                <w:szCs w:val="20"/>
                <w:color w:val="auto"/>
              </w:rPr>
            </w:pPr>
            <w:r>
              <w:rPr>
                <w:rFonts w:ascii="Arial" w:cs="Arial" w:eastAsia="Arial" w:hAnsi="Arial"/>
                <w:sz w:val="16"/>
                <w:szCs w:val="16"/>
                <w:color w:val="auto"/>
                <w:w w:val="95"/>
              </w:rPr>
              <w:t>(Zip Code)</w:t>
            </w:r>
          </w:p>
        </w:tc>
      </w:tr>
      <w:tr>
        <w:trPr>
          <w:trHeight w:val="212"/>
        </w:trPr>
        <w:tc>
          <w:tcPr>
            <w:tcW w:w="2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w w:val="91"/>
              </w:rPr>
              <w:t>1-888-643-3888</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06"/>
        </w:trPr>
        <w:tc>
          <w:tcPr>
            <w:tcW w:w="2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380" w:type="dxa"/>
            <w:vAlign w:val="bottom"/>
            <w:gridSpan w:val="7"/>
          </w:tcPr>
          <w:p>
            <w:pPr>
              <w:ind w:left="640"/>
              <w:spacing w:after="0"/>
              <w:rPr>
                <w:sz w:val="20"/>
                <w:szCs w:val="20"/>
                <w:color w:val="auto"/>
              </w:rPr>
            </w:pPr>
            <w:r>
              <w:rPr>
                <w:rFonts w:ascii="Arial" w:cs="Arial" w:eastAsia="Arial" w:hAnsi="Arial"/>
                <w:sz w:val="16"/>
                <w:szCs w:val="16"/>
                <w:color w:val="auto"/>
              </w:rPr>
              <w:t>(Registrant’s telephone number, including area code)</w:t>
            </w:r>
          </w:p>
        </w:tc>
      </w:tr>
      <w:tr>
        <w:trPr>
          <w:trHeight w:val="270"/>
        </w:trPr>
        <w:tc>
          <w:tcPr>
            <w:tcW w:w="42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8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479"/>
        </w:trPr>
        <w:tc>
          <w:tcPr>
            <w:tcW w:w="208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Title of each class</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Trading Symbol</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71"/>
        </w:trPr>
        <w:tc>
          <w:tcPr>
            <w:tcW w:w="2080" w:type="dxa"/>
            <w:vAlign w:val="bottom"/>
          </w:tcPr>
          <w:p>
            <w:pPr>
              <w:ind w:left="1020"/>
              <w:spacing w:after="0"/>
              <w:rPr>
                <w:sz w:val="20"/>
                <w:szCs w:val="20"/>
                <w:color w:val="auto"/>
              </w:rPr>
            </w:pPr>
            <w:r>
              <w:rPr>
                <w:rFonts w:ascii="Arial" w:cs="Arial" w:eastAsia="Arial" w:hAnsi="Arial"/>
                <w:sz w:val="16"/>
                <w:szCs w:val="16"/>
                <w:b w:val="1"/>
                <w:bCs w:val="1"/>
                <w:color w:val="auto"/>
                <w:w w:val="88"/>
              </w:rPr>
              <w:t>Common Stock</w:t>
            </w:r>
          </w:p>
        </w:tc>
        <w:tc>
          <w:tcPr>
            <w:tcW w:w="2200" w:type="dxa"/>
            <w:vAlign w:val="bottom"/>
            <w:gridSpan w:val="2"/>
          </w:tcPr>
          <w:p>
            <w:pPr>
              <w:ind w:left="1000"/>
              <w:spacing w:after="0"/>
              <w:rPr>
                <w:sz w:val="20"/>
                <w:szCs w:val="20"/>
                <w:color w:val="auto"/>
              </w:rPr>
            </w:pPr>
            <w:r>
              <w:rPr>
                <w:rFonts w:ascii="Arial" w:cs="Arial" w:eastAsia="Arial" w:hAnsi="Arial"/>
                <w:sz w:val="16"/>
                <w:szCs w:val="16"/>
                <w:b w:val="1"/>
                <w:bCs w:val="1"/>
                <w:color w:val="auto"/>
              </w:rPr>
              <w:t>$.01 Par Value</w:t>
            </w:r>
          </w:p>
        </w:tc>
        <w:tc>
          <w:tcPr>
            <w:tcW w:w="8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BOH</w:t>
            </w:r>
          </w:p>
        </w:tc>
        <w:tc>
          <w:tcPr>
            <w:tcW w:w="620" w:type="dxa"/>
            <w:vAlign w:val="bottom"/>
          </w:tcPr>
          <w:p>
            <w:pPr>
              <w:spacing w:after="0"/>
              <w:rPr>
                <w:sz w:val="23"/>
                <w:szCs w:val="23"/>
                <w:color w:val="auto"/>
              </w:rPr>
            </w:pP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293"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ind w:right="400"/>
        <w:spacing w:after="0" w:line="26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ind w:right="8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580" w:type="dxa"/>
        <w:tblCellMar>
          <w:top w:w="0" w:type="dxa"/>
          <w:left w:w="0" w:type="dxa"/>
          <w:bottom w:w="0" w:type="dxa"/>
          <w:right w:w="0" w:type="dxa"/>
        </w:tblCellMar>
      </w:tblPr>
      <w:tr>
        <w:trPr>
          <w:trHeight w:val="254"/>
        </w:trPr>
        <w:tc>
          <w:tcPr>
            <w:tcW w:w="3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900" w:type="dxa"/>
            <w:vAlign w:val="bottom"/>
          </w:tcPr>
          <w:p>
            <w:pPr>
              <w:ind w:left="156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180"/>
              <w:spacing w:after="0"/>
              <w:rPr>
                <w:sz w:val="20"/>
                <w:szCs w:val="20"/>
                <w:color w:val="auto"/>
              </w:rPr>
            </w:pPr>
            <w:r>
              <w:rPr>
                <w:rFonts w:ascii="Arial" w:cs="Arial" w:eastAsia="Arial" w:hAnsi="Arial"/>
                <w:sz w:val="16"/>
                <w:szCs w:val="16"/>
                <w:color w:val="auto"/>
              </w:rPr>
              <w:t>Accelerated filer</w:t>
            </w:r>
          </w:p>
        </w:tc>
        <w:tc>
          <w:tcPr>
            <w:tcW w:w="140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3000" w:type="dxa"/>
            <w:vAlign w:val="bottom"/>
          </w:tcPr>
          <w:p>
            <w:pPr>
              <w:spacing w:after="0"/>
              <w:rPr>
                <w:sz w:val="20"/>
                <w:szCs w:val="20"/>
                <w:color w:val="auto"/>
              </w:rPr>
            </w:pPr>
            <w:r>
              <w:rPr>
                <w:rFonts w:ascii="Arial" w:cs="Arial" w:eastAsia="Arial" w:hAnsi="Arial"/>
                <w:sz w:val="16"/>
                <w:szCs w:val="16"/>
                <w:color w:val="auto"/>
              </w:rPr>
              <w:t>Non-accelerated filer</w:t>
            </w:r>
          </w:p>
        </w:tc>
        <w:tc>
          <w:tcPr>
            <w:tcW w:w="1900" w:type="dxa"/>
            <w:vAlign w:val="bottom"/>
          </w:tcPr>
          <w:p>
            <w:pPr>
              <w:ind w:left="156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180"/>
              <w:spacing w:after="0"/>
              <w:rPr>
                <w:sz w:val="20"/>
                <w:szCs w:val="20"/>
                <w:color w:val="auto"/>
              </w:rPr>
            </w:pPr>
            <w:r>
              <w:rPr>
                <w:rFonts w:ascii="Arial" w:cs="Arial" w:eastAsia="Arial" w:hAnsi="Arial"/>
                <w:sz w:val="16"/>
                <w:szCs w:val="16"/>
                <w:color w:val="auto"/>
              </w:rPr>
              <w:t>Smaller reporting company</w:t>
            </w:r>
          </w:p>
        </w:tc>
        <w:tc>
          <w:tcPr>
            <w:tcW w:w="140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30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200" w:type="dxa"/>
            <w:vAlign w:val="bottom"/>
          </w:tcPr>
          <w:p>
            <w:pPr>
              <w:ind w:left="180"/>
              <w:spacing w:after="0"/>
              <w:rPr>
                <w:sz w:val="20"/>
                <w:szCs w:val="20"/>
                <w:color w:val="auto"/>
              </w:rPr>
            </w:pPr>
            <w:r>
              <w:rPr>
                <w:rFonts w:ascii="Arial" w:cs="Arial" w:eastAsia="Arial" w:hAnsi="Arial"/>
                <w:sz w:val="16"/>
                <w:szCs w:val="16"/>
                <w:color w:val="auto"/>
              </w:rPr>
              <w:t>Emerging growth company</w:t>
            </w:r>
          </w:p>
        </w:tc>
        <w:tc>
          <w:tcPr>
            <w:tcW w:w="140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3"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7" w:lineRule="exact"/>
        <w:rPr>
          <w:sz w:val="24"/>
          <w:szCs w:val="24"/>
          <w:color w:val="auto"/>
        </w:rPr>
      </w:pPr>
    </w:p>
    <w:p>
      <w:pPr>
        <w:ind w:left="5160"/>
        <w:spacing w:after="0" w:line="242"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21"/>
          <w:szCs w:val="21"/>
          <w:color w:val="auto"/>
        </w:rPr>
        <w: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6"/>
          <w:szCs w:val="16"/>
          <w:color w:val="auto"/>
        </w:rPr>
        <w:t>As of July 22, 2020, there were 40,049,291 shares of common stock outstanding.</w:t>
      </w:r>
    </w:p>
    <w:p>
      <w:pPr>
        <w:sectPr>
          <w:pgSz w:w="11900" w:h="16838" w:orient="portrait"/>
          <w:cols w:equalWidth="0" w:num="1">
            <w:col w:w="11240"/>
          </w:cols>
          <w:pgMar w:left="320" w:top="238" w:right="3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Bank of Hawaii Corporation</w:t>
      </w:r>
    </w:p>
    <w:p>
      <w:pPr>
        <w:spacing w:after="0" w:line="1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Index</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34290</wp:posOffset>
            </wp:positionV>
            <wp:extent cx="480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6"/>
          </w:tcPr>
          <w:p>
            <w:pPr>
              <w:spacing w:after="0"/>
              <w:rPr>
                <w:sz w:val="20"/>
                <w:szCs w:val="20"/>
                <w:color w:val="auto"/>
              </w:rPr>
            </w:pPr>
            <w:r>
              <w:rPr>
                <w:rFonts w:ascii="Arial" w:cs="Arial" w:eastAsia="Arial" w:hAnsi="Arial"/>
                <w:sz w:val="18"/>
                <w:szCs w:val="18"/>
                <w:color w:val="auto"/>
              </w:rPr>
              <w:t>Financial Statements (Unaudited)</w:t>
            </w:r>
          </w:p>
        </w:tc>
        <w:tc>
          <w:tcPr>
            <w:tcW w:w="1600" w:type="dxa"/>
            <w:vAlign w:val="bottom"/>
          </w:tcPr>
          <w:p>
            <w:pPr>
              <w:spacing w:after="0"/>
              <w:rPr>
                <w:sz w:val="20"/>
                <w:szCs w:val="20"/>
                <w:color w:val="auto"/>
              </w:rPr>
            </w:pPr>
          </w:p>
        </w:tc>
      </w:tr>
      <w:tr>
        <w:trPr>
          <w:trHeight w:val="499"/>
        </w:trPr>
        <w:tc>
          <w:tcPr>
            <w:tcW w:w="1420" w:type="dxa"/>
            <w:vAlign w:val="bottom"/>
          </w:tcPr>
          <w:p>
            <w:pPr>
              <w:spacing w:after="0"/>
              <w:rPr>
                <w:sz w:val="24"/>
                <w:szCs w:val="24"/>
                <w:color w:val="auto"/>
              </w:rPr>
            </w:pPr>
          </w:p>
        </w:tc>
        <w:tc>
          <w:tcPr>
            <w:tcW w:w="788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w:t>
              </w:r>
            </w:hyperlink>
          </w:p>
        </w:tc>
        <w:tc>
          <w:tcPr>
            <w:tcW w:w="160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2</w:t>
              </w:r>
            </w:hyperlink>
          </w:p>
        </w:tc>
      </w:tr>
      <w:tr>
        <w:trPr>
          <w:trHeight w:val="20"/>
        </w:trPr>
        <w:tc>
          <w:tcPr>
            <w:tcW w:w="142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420" w:type="dxa"/>
            <w:vAlign w:val="bottom"/>
          </w:tcPr>
          <w:p>
            <w:pPr>
              <w:spacing w:after="0"/>
              <w:rPr>
                <w:sz w:val="20"/>
                <w:szCs w:val="20"/>
                <w:color w:val="auto"/>
              </w:rPr>
            </w:pPr>
          </w:p>
        </w:tc>
        <w:tc>
          <w:tcPr>
            <w:tcW w:w="7880" w:type="dxa"/>
            <w:vAlign w:val="bottom"/>
            <w:gridSpan w:val="6"/>
          </w:tcPr>
          <w:p>
            <w:pPr>
              <w:ind w:left="1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Three and six months ended June 30, 2020, and June 30, 2019</w:t>
              </w:r>
            </w:hyperlink>
          </w:p>
        </w:tc>
        <w:tc>
          <w:tcPr>
            <w:tcW w:w="1600" w:type="dxa"/>
            <w:vAlign w:val="bottom"/>
          </w:tcPr>
          <w:p>
            <w:pPr>
              <w:spacing w:after="0"/>
              <w:rPr>
                <w:sz w:val="20"/>
                <w:szCs w:val="20"/>
                <w:color w:val="auto"/>
              </w:rPr>
            </w:pPr>
          </w:p>
        </w:tc>
      </w:tr>
      <w:tr>
        <w:trPr>
          <w:trHeight w:val="499"/>
        </w:trPr>
        <w:tc>
          <w:tcPr>
            <w:tcW w:w="1420" w:type="dxa"/>
            <w:vAlign w:val="bottom"/>
          </w:tcPr>
          <w:p>
            <w:pPr>
              <w:spacing w:after="0"/>
              <w:rPr>
                <w:sz w:val="24"/>
                <w:szCs w:val="24"/>
                <w:color w:val="auto"/>
              </w:rPr>
            </w:pPr>
          </w:p>
        </w:tc>
        <w:tc>
          <w:tcPr>
            <w:tcW w:w="38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Comprehensive Income –</w:t>
              </w:r>
            </w:hyperlink>
          </w:p>
        </w:tc>
        <w:tc>
          <w:tcPr>
            <w:tcW w:w="4000" w:type="dxa"/>
            <w:vAlign w:val="bottom"/>
          </w:tcPr>
          <w:p>
            <w:pPr>
              <w:spacing w:after="0"/>
              <w:rPr>
                <w:sz w:val="24"/>
                <w:szCs w:val="24"/>
                <w:color w:val="auto"/>
              </w:rPr>
            </w:pPr>
          </w:p>
        </w:tc>
        <w:tc>
          <w:tcPr>
            <w:tcW w:w="160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237"/>
        </w:trPr>
        <w:tc>
          <w:tcPr>
            <w:tcW w:w="1420" w:type="dxa"/>
            <w:vAlign w:val="bottom"/>
          </w:tcPr>
          <w:p>
            <w:pPr>
              <w:spacing w:after="0"/>
              <w:rPr>
                <w:sz w:val="20"/>
                <w:szCs w:val="20"/>
                <w:color w:val="auto"/>
              </w:rPr>
            </w:pPr>
          </w:p>
        </w:tc>
        <w:tc>
          <w:tcPr>
            <w:tcW w:w="7880" w:type="dxa"/>
            <w:vAlign w:val="bottom"/>
            <w:gridSpan w:val="6"/>
          </w:tcPr>
          <w:p>
            <w:pPr>
              <w:ind w:left="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Three and six months ended June 30, 2020, and June 30, 2019</w:t>
              </w:r>
            </w:hyperlink>
          </w:p>
        </w:tc>
        <w:tc>
          <w:tcPr>
            <w:tcW w:w="1600" w:type="dxa"/>
            <w:vAlign w:val="bottom"/>
          </w:tcPr>
          <w:p>
            <w:pPr>
              <w:spacing w:after="0"/>
              <w:rPr>
                <w:sz w:val="20"/>
                <w:szCs w:val="20"/>
                <w:color w:val="auto"/>
              </w:rPr>
            </w:pPr>
          </w:p>
        </w:tc>
      </w:tr>
      <w:tr>
        <w:trPr>
          <w:trHeight w:val="499"/>
        </w:trPr>
        <w:tc>
          <w:tcPr>
            <w:tcW w:w="1420" w:type="dxa"/>
            <w:vAlign w:val="bottom"/>
          </w:tcPr>
          <w:p>
            <w:pPr>
              <w:spacing w:after="0"/>
              <w:rPr>
                <w:sz w:val="24"/>
                <w:szCs w:val="24"/>
                <w:color w:val="auto"/>
              </w:rPr>
            </w:pPr>
          </w:p>
        </w:tc>
        <w:tc>
          <w:tcPr>
            <w:tcW w:w="7880" w:type="dxa"/>
            <w:vAlign w:val="bottom"/>
            <w:gridSpan w:val="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Condition –</w:t>
              </w:r>
            </w:hyperlink>
          </w:p>
        </w:tc>
        <w:tc>
          <w:tcPr>
            <w:tcW w:w="160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tc>
      </w:tr>
      <w:tr>
        <w:trPr>
          <w:trHeight w:val="20"/>
        </w:trPr>
        <w:tc>
          <w:tcPr>
            <w:tcW w:w="142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420" w:type="dxa"/>
            <w:vAlign w:val="bottom"/>
          </w:tcPr>
          <w:p>
            <w:pPr>
              <w:spacing w:after="0"/>
              <w:rPr>
                <w:sz w:val="20"/>
                <w:szCs w:val="20"/>
                <w:color w:val="auto"/>
              </w:rPr>
            </w:pPr>
          </w:p>
        </w:tc>
        <w:tc>
          <w:tcPr>
            <w:tcW w:w="7880" w:type="dxa"/>
            <w:vAlign w:val="bottom"/>
            <w:gridSpan w:val="6"/>
          </w:tcPr>
          <w:p>
            <w:pPr>
              <w:ind w:left="1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June 30, 2020, and December 31, 2019</w:t>
              </w:r>
            </w:hyperlink>
          </w:p>
        </w:tc>
        <w:tc>
          <w:tcPr>
            <w:tcW w:w="1600" w:type="dxa"/>
            <w:vAlign w:val="bottom"/>
          </w:tcPr>
          <w:p>
            <w:pPr>
              <w:spacing w:after="0"/>
              <w:rPr>
                <w:sz w:val="20"/>
                <w:szCs w:val="20"/>
                <w:color w:val="auto"/>
              </w:rPr>
            </w:pPr>
          </w:p>
        </w:tc>
      </w:tr>
      <w:tr>
        <w:trPr>
          <w:trHeight w:val="499"/>
        </w:trPr>
        <w:tc>
          <w:tcPr>
            <w:tcW w:w="1420" w:type="dxa"/>
            <w:vAlign w:val="bottom"/>
          </w:tcPr>
          <w:p>
            <w:pPr>
              <w:spacing w:after="0"/>
              <w:rPr>
                <w:sz w:val="24"/>
                <w:szCs w:val="24"/>
                <w:color w:val="auto"/>
              </w:rPr>
            </w:pPr>
          </w:p>
        </w:tc>
        <w:tc>
          <w:tcPr>
            <w:tcW w:w="7880" w:type="dxa"/>
            <w:vAlign w:val="bottom"/>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Shareholders’ Equity –</w:t>
              </w:r>
            </w:hyperlink>
          </w:p>
        </w:tc>
        <w:tc>
          <w:tcPr>
            <w:tcW w:w="160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20"/>
        </w:trPr>
        <w:tc>
          <w:tcPr>
            <w:tcW w:w="14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420" w:type="dxa"/>
            <w:vAlign w:val="bottom"/>
          </w:tcPr>
          <w:p>
            <w:pPr>
              <w:spacing w:after="0"/>
              <w:rPr>
                <w:sz w:val="20"/>
                <w:szCs w:val="20"/>
                <w:color w:val="auto"/>
              </w:rPr>
            </w:pPr>
          </w:p>
        </w:tc>
        <w:tc>
          <w:tcPr>
            <w:tcW w:w="7880" w:type="dxa"/>
            <w:vAlign w:val="bottom"/>
            <w:gridSpan w:val="6"/>
          </w:tcPr>
          <w:p>
            <w:pPr>
              <w:ind w:left="1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Six months ended June 30, 2020, and June 30, 2019</w:t>
              </w:r>
            </w:hyperlink>
          </w:p>
        </w:tc>
        <w:tc>
          <w:tcPr>
            <w:tcW w:w="1600" w:type="dxa"/>
            <w:vAlign w:val="bottom"/>
          </w:tcPr>
          <w:p>
            <w:pPr>
              <w:spacing w:after="0"/>
              <w:rPr>
                <w:sz w:val="20"/>
                <w:szCs w:val="20"/>
                <w:color w:val="auto"/>
              </w:rPr>
            </w:pPr>
          </w:p>
        </w:tc>
      </w:tr>
      <w:tr>
        <w:trPr>
          <w:trHeight w:val="499"/>
        </w:trPr>
        <w:tc>
          <w:tcPr>
            <w:tcW w:w="1420" w:type="dxa"/>
            <w:vAlign w:val="bottom"/>
          </w:tcPr>
          <w:p>
            <w:pPr>
              <w:spacing w:after="0"/>
              <w:rPr>
                <w:sz w:val="24"/>
                <w:szCs w:val="24"/>
                <w:color w:val="auto"/>
              </w:rPr>
            </w:pPr>
          </w:p>
        </w:tc>
        <w:tc>
          <w:tcPr>
            <w:tcW w:w="7880" w:type="dxa"/>
            <w:vAlign w:val="bottom"/>
            <w:gridSpan w:val="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w:t>
              </w:r>
            </w:hyperlink>
          </w:p>
        </w:tc>
        <w:tc>
          <w:tcPr>
            <w:tcW w:w="160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6</w:t>
              </w:r>
            </w:hyperlink>
          </w:p>
        </w:tc>
      </w:tr>
      <w:tr>
        <w:trPr>
          <w:trHeight w:val="20"/>
        </w:trPr>
        <w:tc>
          <w:tcPr>
            <w:tcW w:w="14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420" w:type="dxa"/>
            <w:vAlign w:val="bottom"/>
          </w:tcPr>
          <w:p>
            <w:pPr>
              <w:spacing w:after="0"/>
              <w:rPr>
                <w:sz w:val="20"/>
                <w:szCs w:val="20"/>
                <w:color w:val="auto"/>
              </w:rPr>
            </w:pPr>
          </w:p>
        </w:tc>
        <w:tc>
          <w:tcPr>
            <w:tcW w:w="7880" w:type="dxa"/>
            <w:vAlign w:val="bottom"/>
            <w:gridSpan w:val="6"/>
          </w:tcPr>
          <w:p>
            <w:pPr>
              <w:ind w:left="1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Six months ended June 30, 2020, and June 30, 2019</w:t>
              </w:r>
            </w:hyperlink>
          </w:p>
        </w:tc>
        <w:tc>
          <w:tcPr>
            <w:tcW w:w="1600" w:type="dxa"/>
            <w:vAlign w:val="bottom"/>
          </w:tcPr>
          <w:p>
            <w:pPr>
              <w:spacing w:after="0"/>
              <w:rPr>
                <w:sz w:val="20"/>
                <w:szCs w:val="20"/>
                <w:color w:val="auto"/>
              </w:rPr>
            </w:pPr>
          </w:p>
        </w:tc>
      </w:tr>
      <w:tr>
        <w:trPr>
          <w:trHeight w:val="567"/>
        </w:trPr>
        <w:tc>
          <w:tcPr>
            <w:tcW w:w="1420" w:type="dxa"/>
            <w:vAlign w:val="bottom"/>
          </w:tcPr>
          <w:p>
            <w:pPr>
              <w:spacing w:after="0"/>
              <w:rPr>
                <w:sz w:val="24"/>
                <w:szCs w:val="24"/>
                <w:color w:val="auto"/>
              </w:rPr>
            </w:pPr>
          </w:p>
        </w:tc>
        <w:tc>
          <w:tcPr>
            <w:tcW w:w="7880" w:type="dxa"/>
            <w:vAlign w:val="bottom"/>
            <w:gridSpan w:val="6"/>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Consolidated Financial Statements (Unaudited)</w:t>
              </w:r>
            </w:hyperlink>
          </w:p>
        </w:tc>
        <w:tc>
          <w:tcPr>
            <w:tcW w:w="1600" w:type="dxa"/>
            <w:vAlign w:val="bottom"/>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7</w:t>
              </w:r>
            </w:hyperlink>
          </w:p>
        </w:tc>
      </w:tr>
      <w:tr>
        <w:trPr>
          <w:trHeight w:val="540"/>
        </w:trPr>
        <w:tc>
          <w:tcPr>
            <w:tcW w:w="142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2.</w:t>
              </w:r>
            </w:hyperlink>
          </w:p>
        </w:tc>
        <w:tc>
          <w:tcPr>
            <w:tcW w:w="7880" w:type="dxa"/>
            <w:vAlign w:val="bottom"/>
            <w:gridSpan w:val="6"/>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Management’s Discussion and Analysis of Financial Condition and Results of Operations</w:t>
              </w:r>
            </w:hyperlink>
          </w:p>
        </w:tc>
        <w:tc>
          <w:tcPr>
            <w:tcW w:w="1600" w:type="dxa"/>
            <w:vAlign w:val="bottom"/>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54</w:t>
              </w:r>
            </w:hyperlink>
          </w:p>
        </w:tc>
      </w:tr>
      <w:tr>
        <w:trPr>
          <w:trHeight w:val="540"/>
        </w:trPr>
        <w:tc>
          <w:tcPr>
            <w:tcW w:w="142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Item 3.</w:t>
              </w:r>
            </w:hyperlink>
          </w:p>
        </w:tc>
        <w:tc>
          <w:tcPr>
            <w:tcW w:w="7880" w:type="dxa"/>
            <w:vAlign w:val="bottom"/>
            <w:gridSpan w:val="6"/>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Quantitative and Qualitative Disclosures About Market Risk</w:t>
              </w:r>
            </w:hyperlink>
          </w:p>
        </w:tc>
        <w:tc>
          <w:tcPr>
            <w:tcW w:w="1600" w:type="dxa"/>
            <w:vAlign w:val="bottom"/>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88</w:t>
              </w:r>
            </w:hyperlink>
          </w:p>
        </w:tc>
      </w:tr>
      <w:tr>
        <w:trPr>
          <w:trHeight w:val="540"/>
        </w:trPr>
        <w:tc>
          <w:tcPr>
            <w:tcW w:w="142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Item 4.</w:t>
              </w:r>
            </w:hyperlink>
          </w:p>
        </w:tc>
        <w:tc>
          <w:tcPr>
            <w:tcW w:w="7880" w:type="dxa"/>
            <w:vAlign w:val="bottom"/>
            <w:gridSpan w:val="6"/>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Controls and Procedures</w:t>
              </w:r>
            </w:hyperlink>
          </w:p>
        </w:tc>
        <w:tc>
          <w:tcPr>
            <w:tcW w:w="1600" w:type="dxa"/>
            <w:vAlign w:val="bottom"/>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88</w:t>
              </w:r>
            </w:hyperlink>
          </w:p>
        </w:tc>
      </w:tr>
      <w:tr>
        <w:trPr>
          <w:trHeight w:val="540"/>
        </w:trPr>
        <w:tc>
          <w:tcPr>
            <w:tcW w:w="9300" w:type="dxa"/>
            <w:vAlign w:val="bottom"/>
            <w:gridSpan w:val="7"/>
          </w:tcPr>
          <w:p>
            <w:pPr>
              <w:spacing w:after="0"/>
              <w:rPr>
                <w:rFonts w:ascii="Arial" w:cs="Arial" w:eastAsia="Arial" w:hAnsi="Arial"/>
                <w:sz w:val="18"/>
                <w:szCs w:val="18"/>
                <w:b w:val="1"/>
                <w:bCs w:val="1"/>
                <w:u w:val="single" w:color="auto"/>
                <w:color w:val="0000EE"/>
              </w:rPr>
            </w:pPr>
            <w:hyperlink w:anchor="page94">
              <w:r>
                <w:rPr>
                  <w:rFonts w:ascii="Arial" w:cs="Arial" w:eastAsia="Arial" w:hAnsi="Arial"/>
                  <w:sz w:val="18"/>
                  <w:szCs w:val="18"/>
                  <w:b w:val="1"/>
                  <w:bCs w:val="1"/>
                  <w:u w:val="single" w:color="auto"/>
                  <w:color w:val="0000EE"/>
                </w:rPr>
                <w:t>Part II - Other Information</w:t>
              </w:r>
            </w:hyperlink>
          </w:p>
        </w:tc>
        <w:tc>
          <w:tcPr>
            <w:tcW w:w="1600" w:type="dxa"/>
            <w:vAlign w:val="bottom"/>
          </w:tcPr>
          <w:p>
            <w:pPr>
              <w:spacing w:after="0"/>
              <w:rPr>
                <w:sz w:val="24"/>
                <w:szCs w:val="24"/>
                <w:color w:val="auto"/>
              </w:rPr>
            </w:pPr>
          </w:p>
        </w:tc>
      </w:tr>
      <w:tr>
        <w:trPr>
          <w:trHeight w:val="540"/>
        </w:trPr>
        <w:tc>
          <w:tcPr>
            <w:tcW w:w="1420" w:type="dxa"/>
            <w:vAlign w:val="bottom"/>
          </w:tcPr>
          <w:p>
            <w:pPr>
              <w:spacing w:after="0"/>
              <w:rPr>
                <w:rFonts w:ascii="Arial" w:cs="Arial" w:eastAsia="Arial" w:hAnsi="Arial"/>
                <w:sz w:val="18"/>
                <w:szCs w:val="18"/>
                <w:color w:val="0000EE"/>
              </w:rPr>
            </w:pPr>
            <w:hyperlink w:anchor="page94">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7880" w:type="dxa"/>
            <w:vAlign w:val="bottom"/>
            <w:gridSpan w:val="6"/>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Risk Factors</w:t>
              </w:r>
            </w:hyperlink>
          </w:p>
        </w:tc>
        <w:tc>
          <w:tcPr>
            <w:tcW w:w="1600" w:type="dxa"/>
            <w:vAlign w:val="bottom"/>
          </w:tcPr>
          <w:p>
            <w:pPr>
              <w:jc w:val="right"/>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89</w:t>
              </w:r>
            </w:hyperlink>
          </w:p>
        </w:tc>
      </w:tr>
      <w:tr>
        <w:trPr>
          <w:trHeight w:val="540"/>
        </w:trPr>
        <w:tc>
          <w:tcPr>
            <w:tcW w:w="1420" w:type="dxa"/>
            <w:vAlign w:val="bottom"/>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Item 2.</w:t>
              </w:r>
            </w:hyperlink>
          </w:p>
        </w:tc>
        <w:tc>
          <w:tcPr>
            <w:tcW w:w="7880" w:type="dxa"/>
            <w:vAlign w:val="bottom"/>
            <w:gridSpan w:val="6"/>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Unregistered Sales of Equity Securities and Use of Proceeds</w:t>
              </w:r>
            </w:hyperlink>
          </w:p>
        </w:tc>
        <w:tc>
          <w:tcPr>
            <w:tcW w:w="1600" w:type="dxa"/>
            <w:vAlign w:val="bottom"/>
          </w:tcPr>
          <w:p>
            <w:pPr>
              <w:jc w:val="right"/>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90</w:t>
              </w:r>
            </w:hyperlink>
          </w:p>
        </w:tc>
      </w:tr>
      <w:tr>
        <w:trPr>
          <w:trHeight w:val="540"/>
        </w:trPr>
        <w:tc>
          <w:tcPr>
            <w:tcW w:w="1420" w:type="dxa"/>
            <w:vAlign w:val="bottom"/>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Item 6.</w:t>
              </w:r>
            </w:hyperlink>
          </w:p>
        </w:tc>
        <w:tc>
          <w:tcPr>
            <w:tcW w:w="7880" w:type="dxa"/>
            <w:vAlign w:val="bottom"/>
            <w:gridSpan w:val="6"/>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Exhibits</w:t>
              </w:r>
            </w:hyperlink>
          </w:p>
        </w:tc>
        <w:tc>
          <w:tcPr>
            <w:tcW w:w="1600" w:type="dxa"/>
            <w:vAlign w:val="bottom"/>
          </w:tcPr>
          <w:p>
            <w:pPr>
              <w:jc w:val="right"/>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90</w:t>
              </w:r>
            </w:hyperlink>
          </w:p>
        </w:tc>
      </w:tr>
      <w:tr>
        <w:trPr>
          <w:trHeight w:val="540"/>
        </w:trPr>
        <w:tc>
          <w:tcPr>
            <w:tcW w:w="1420" w:type="dxa"/>
            <w:vAlign w:val="bottom"/>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Signatures</w:t>
              </w:r>
            </w:hyperlink>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0" w:type="dxa"/>
            <w:vAlign w:val="bottom"/>
          </w:tcPr>
          <w:p>
            <w:pPr>
              <w:jc w:val="right"/>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91</w:t>
              </w:r>
            </w:hyperlink>
          </w:p>
        </w:tc>
      </w:tr>
      <w:tr>
        <w:trPr>
          <w:trHeight w:val="459"/>
        </w:trPr>
        <w:tc>
          <w:tcPr>
            <w:tcW w:w="1420" w:type="dxa"/>
            <w:vAlign w:val="bottom"/>
          </w:tcPr>
          <w:p>
            <w:pPr>
              <w:spacing w:after="0"/>
              <w:rPr>
                <w:sz w:val="24"/>
                <w:szCs w:val="24"/>
                <w:color w:val="auto"/>
              </w:rPr>
            </w:pPr>
          </w:p>
        </w:tc>
        <w:tc>
          <w:tcPr>
            <w:tcW w:w="7880" w:type="dxa"/>
            <w:vAlign w:val="bottom"/>
            <w:gridSpan w:val="6"/>
          </w:tcPr>
          <w:p>
            <w:pPr>
              <w:ind w:left="4120"/>
              <w:spacing w:after="0"/>
              <w:rPr>
                <w:sz w:val="20"/>
                <w:szCs w:val="20"/>
                <w:color w:val="auto"/>
              </w:rPr>
            </w:pPr>
            <w:r>
              <w:rPr>
                <w:rFonts w:ascii="Arial" w:cs="Arial" w:eastAsia="Arial" w:hAnsi="Arial"/>
                <w:sz w:val="18"/>
                <w:szCs w:val="18"/>
                <w:color w:val="auto"/>
              </w:rPr>
              <w:t>1</w:t>
            </w:r>
          </w:p>
        </w:tc>
        <w:tc>
          <w:tcPr>
            <w:tcW w:w="1600" w:type="dxa"/>
            <w:vAlign w:val="bottom"/>
          </w:tcPr>
          <w:p>
            <w:pPr>
              <w:spacing w:after="0"/>
              <w:rPr>
                <w:sz w:val="24"/>
                <w:szCs w:val="24"/>
                <w:color w:val="auto"/>
              </w:rPr>
            </w:pPr>
          </w:p>
        </w:tc>
      </w:tr>
    </w:tbl>
    <w:p>
      <w:pPr>
        <w:sectPr>
          <w:pgSz w:w="11900" w:h="16838" w:orient="portrait"/>
          <w:cols w:equalWidth="0" w:num="1">
            <w:col w:w="10940"/>
          </w:cols>
          <w:pgMar w:left="320" w:top="130" w:right="6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60" w:type="dxa"/>
            <w:vAlign w:val="bottom"/>
            <w:gridSpan w:val="4"/>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58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70"/>
        </w:trPr>
        <w:tc>
          <w:tcPr>
            <w:tcW w:w="5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23"/>
                <w:szCs w:val="23"/>
                <w:color w:val="auto"/>
              </w:rPr>
            </w:pPr>
          </w:p>
        </w:tc>
      </w:tr>
      <w:tr>
        <w:trPr>
          <w:trHeight w:val="33"/>
        </w:trPr>
        <w:tc>
          <w:tcPr>
            <w:tcW w:w="5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 except per share amounts)</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5180" w:type="dxa"/>
            <w:vAlign w:val="bottom"/>
          </w:tcPr>
          <w:p>
            <w:pPr>
              <w:ind w:left="280"/>
              <w:spacing w:after="0"/>
              <w:rPr>
                <w:sz w:val="20"/>
                <w:szCs w:val="20"/>
                <w:color w:val="auto"/>
              </w:rPr>
            </w:pPr>
            <w:r>
              <w:rPr>
                <w:rFonts w:ascii="Arial" w:cs="Arial" w:eastAsia="Arial" w:hAnsi="Arial"/>
                <w:sz w:val="16"/>
                <w:szCs w:val="16"/>
                <w:color w:val="auto"/>
              </w:rPr>
              <w:t>Interest and Fees on Loans and Leases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107,628</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110,401</w:t>
            </w:r>
          </w:p>
        </w:tc>
        <w:tc>
          <w:tcPr>
            <w:tcW w:w="2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215,838</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218,912</w:t>
            </w:r>
          </w:p>
        </w:tc>
      </w:tr>
      <w:tr>
        <w:trPr>
          <w:trHeight w:val="33"/>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5180" w:type="dxa"/>
            <w:vAlign w:val="bottom"/>
          </w:tcPr>
          <w:p>
            <w:pPr>
              <w:ind w:left="380"/>
              <w:spacing w:after="0"/>
              <w:rPr>
                <w:sz w:val="20"/>
                <w:szCs w:val="20"/>
                <w:color w:val="auto"/>
              </w:rPr>
            </w:pPr>
            <w:r>
              <w:rPr>
                <w:rFonts w:ascii="Arial" w:cs="Arial" w:eastAsia="Arial" w:hAnsi="Arial"/>
                <w:sz w:val="16"/>
                <w:szCs w:val="16"/>
                <w:color w:val="auto"/>
              </w:rPr>
              <w:t>Available-for-Sale</w:t>
            </w:r>
          </w:p>
        </w:tc>
        <w:tc>
          <w:tcPr>
            <w:tcW w:w="32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14,576</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15,072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31,287</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28,504</w:t>
            </w:r>
          </w:p>
        </w:tc>
      </w:tr>
      <w:tr>
        <w:trPr>
          <w:trHeight w:val="33"/>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Held-to-Maturity</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16,723</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22,149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35,975</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44,070</w:t>
            </w:r>
          </w:p>
        </w:tc>
      </w:tr>
      <w:tr>
        <w:trPr>
          <w:trHeight w:val="237"/>
        </w:trPr>
        <w:tc>
          <w:tcPr>
            <w:tcW w:w="5180" w:type="dxa"/>
            <w:vAlign w:val="bottom"/>
          </w:tcPr>
          <w:p>
            <w:pPr>
              <w:ind w:left="280"/>
              <w:spacing w:after="0"/>
              <w:rPr>
                <w:sz w:val="20"/>
                <w:szCs w:val="20"/>
                <w:color w:val="auto"/>
              </w:rPr>
            </w:pPr>
            <w:r>
              <w:rPr>
                <w:rFonts w:ascii="Arial" w:cs="Arial" w:eastAsia="Arial" w:hAnsi="Arial"/>
                <w:sz w:val="16"/>
                <w:szCs w:val="16"/>
                <w:color w:val="auto"/>
              </w:rPr>
              <w:t>Deposits</w:t>
            </w:r>
          </w:p>
        </w:tc>
        <w:tc>
          <w:tcPr>
            <w:tcW w:w="32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Sold</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92</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638</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2,174</w:t>
            </w:r>
          </w:p>
        </w:tc>
      </w:tr>
      <w:tr>
        <w:trPr>
          <w:trHeight w:val="237"/>
        </w:trPr>
        <w:tc>
          <w:tcPr>
            <w:tcW w:w="5180" w:type="dxa"/>
            <w:vAlign w:val="bottom"/>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125</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343</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529</w:t>
            </w:r>
          </w:p>
        </w:tc>
      </w:tr>
      <w:tr>
        <w:trPr>
          <w:trHeight w:val="33"/>
        </w:trPr>
        <w:tc>
          <w:tcPr>
            <w:tcW w:w="5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139,145</w:t>
            </w: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148,571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284,091</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294,213</w:t>
            </w:r>
          </w:p>
        </w:tc>
      </w:tr>
      <w:tr>
        <w:trPr>
          <w:trHeight w:val="231"/>
        </w:trPr>
        <w:tc>
          <w:tcPr>
            <w:tcW w:w="5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Interest Expense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Deposits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7,954</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18,628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22,214</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33,912</w:t>
            </w:r>
          </w:p>
        </w:tc>
      </w:tr>
      <w:tr>
        <w:trPr>
          <w:trHeight w:val="237"/>
        </w:trPr>
        <w:tc>
          <w:tcPr>
            <w:tcW w:w="518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32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4,020</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4,623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8,045</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9,194</w:t>
            </w:r>
          </w:p>
        </w:tc>
      </w:tr>
      <w:tr>
        <w:trPr>
          <w:trHeight w:val="33"/>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Purchased</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90</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w:t>
            </w:r>
          </w:p>
        </w:tc>
      </w:tr>
      <w:tr>
        <w:trPr>
          <w:trHeight w:val="237"/>
        </w:trPr>
        <w:tc>
          <w:tcPr>
            <w:tcW w:w="5180" w:type="dxa"/>
            <w:vAlign w:val="bottom"/>
          </w:tcPr>
          <w:p>
            <w:pPr>
              <w:ind w:left="280"/>
              <w:spacing w:after="0"/>
              <w:rPr>
                <w:sz w:val="20"/>
                <w:szCs w:val="20"/>
                <w:color w:val="auto"/>
              </w:rPr>
            </w:pPr>
            <w:r>
              <w:rPr>
                <w:rFonts w:ascii="Arial" w:cs="Arial" w:eastAsia="Arial" w:hAnsi="Arial"/>
                <w:sz w:val="16"/>
                <w:szCs w:val="16"/>
                <w:color w:val="auto"/>
              </w:rPr>
              <w:t>Short-Term Borrowings</w:t>
            </w:r>
          </w:p>
        </w:tc>
        <w:tc>
          <w:tcPr>
            <w:tcW w:w="32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61</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33"/>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Debt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440</w:t>
            </w: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1,024</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1,467</w:t>
            </w:r>
          </w:p>
        </w:tc>
      </w:tr>
      <w:tr>
        <w:trPr>
          <w:trHeight w:val="231"/>
        </w:trPr>
        <w:tc>
          <w:tcPr>
            <w:tcW w:w="5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12,454</w:t>
            </w:r>
          </w:p>
        </w:tc>
        <w:tc>
          <w:tcPr>
            <w:tcW w:w="5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24,474</w:t>
            </w: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31,434</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45,279</w:t>
            </w:r>
          </w:p>
        </w:tc>
      </w:tr>
      <w:tr>
        <w:trPr>
          <w:trHeight w:val="33"/>
        </w:trPr>
        <w:tc>
          <w:tcPr>
            <w:tcW w:w="5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126,691</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124,097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252,657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248,934</w:t>
            </w: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32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40,400</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4,000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74,000</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7,000</w:t>
            </w:r>
          </w:p>
        </w:tc>
      </w:tr>
      <w:tr>
        <w:trPr>
          <w:trHeight w:val="33"/>
        </w:trPr>
        <w:tc>
          <w:tcPr>
            <w:tcW w:w="5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86,291</w:t>
            </w: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120,097</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178,657</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241,934</w:t>
            </w:r>
          </w:p>
        </w:tc>
      </w:tr>
      <w:tr>
        <w:trPr>
          <w:trHeight w:val="230"/>
        </w:trPr>
        <w:tc>
          <w:tcPr>
            <w:tcW w:w="5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Income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Trust and Asset Management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10,550</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11,385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21,465</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22,146</w:t>
            </w:r>
          </w:p>
        </w:tc>
      </w:tr>
      <w:tr>
        <w:trPr>
          <w:trHeight w:val="237"/>
        </w:trPr>
        <w:tc>
          <w:tcPr>
            <w:tcW w:w="5180" w:type="dxa"/>
            <w:vAlign w:val="bottom"/>
          </w:tcPr>
          <w:p>
            <w:pPr>
              <w:ind w:left="280"/>
              <w:spacing w:after="0"/>
              <w:rPr>
                <w:sz w:val="20"/>
                <w:szCs w:val="20"/>
                <w:color w:val="auto"/>
              </w:rPr>
            </w:pPr>
            <w:r>
              <w:rPr>
                <w:rFonts w:ascii="Arial" w:cs="Arial" w:eastAsia="Arial" w:hAnsi="Arial"/>
                <w:sz w:val="16"/>
                <w:szCs w:val="16"/>
                <w:color w:val="auto"/>
              </w:rPr>
              <w:t>Mortgage Banking</w:t>
            </w:r>
          </w:p>
        </w:tc>
        <w:tc>
          <w:tcPr>
            <w:tcW w:w="32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4,278</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3,336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6,973</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5,623</w:t>
            </w:r>
          </w:p>
        </w:tc>
      </w:tr>
      <w:tr>
        <w:trPr>
          <w:trHeight w:val="33"/>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Service Charges on Deposit Accounts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5,097</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7,283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12,548</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14,647</w:t>
            </w:r>
          </w:p>
        </w:tc>
      </w:tr>
      <w:tr>
        <w:trPr>
          <w:trHeight w:val="237"/>
        </w:trPr>
        <w:tc>
          <w:tcPr>
            <w:tcW w:w="5180" w:type="dxa"/>
            <w:vAlign w:val="bottom"/>
          </w:tcPr>
          <w:p>
            <w:pPr>
              <w:ind w:left="280"/>
              <w:spacing w:after="0"/>
              <w:rPr>
                <w:sz w:val="20"/>
                <w:szCs w:val="20"/>
                <w:color w:val="auto"/>
              </w:rPr>
            </w:pPr>
            <w:r>
              <w:rPr>
                <w:rFonts w:ascii="Arial" w:cs="Arial" w:eastAsia="Arial" w:hAnsi="Arial"/>
                <w:sz w:val="16"/>
                <w:szCs w:val="16"/>
                <w:color w:val="auto"/>
              </w:rPr>
              <w:t>Fees, Exchange, and Other Service Charges</w:t>
            </w:r>
          </w:p>
        </w:tc>
        <w:tc>
          <w:tcPr>
            <w:tcW w:w="32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9,417</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14,252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22,617</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28,460</w:t>
            </w:r>
          </w:p>
        </w:tc>
      </w:tr>
      <w:tr>
        <w:trPr>
          <w:trHeight w:val="33"/>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Gains (Losses),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13,216</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12,246</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(1,611)</w:t>
            </w:r>
          </w:p>
        </w:tc>
      </w:tr>
      <w:tr>
        <w:trPr>
          <w:trHeight w:val="237"/>
        </w:trPr>
        <w:tc>
          <w:tcPr>
            <w:tcW w:w="5180" w:type="dxa"/>
            <w:vAlign w:val="bottom"/>
          </w:tcPr>
          <w:p>
            <w:pPr>
              <w:ind w:left="280"/>
              <w:spacing w:after="0"/>
              <w:rPr>
                <w:sz w:val="20"/>
                <w:szCs w:val="20"/>
                <w:color w:val="auto"/>
              </w:rPr>
            </w:pPr>
            <w:r>
              <w:rPr>
                <w:rFonts w:ascii="Arial" w:cs="Arial" w:eastAsia="Arial" w:hAnsi="Arial"/>
                <w:sz w:val="16"/>
                <w:szCs w:val="16"/>
                <w:color w:val="auto"/>
              </w:rPr>
              <w:t>Annuity and Insurance</w:t>
            </w:r>
          </w:p>
        </w:tc>
        <w:tc>
          <w:tcPr>
            <w:tcW w:w="32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883</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1,806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1,811</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4,384</w:t>
            </w:r>
          </w:p>
        </w:tc>
      </w:tr>
      <w:tr>
        <w:trPr>
          <w:trHeight w:val="33"/>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Bank-Owned Life Insurance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1,649</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3,229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3,489</w:t>
            </w:r>
          </w:p>
        </w:tc>
      </w:tr>
      <w:tr>
        <w:trPr>
          <w:trHeight w:val="237"/>
        </w:trPr>
        <w:tc>
          <w:tcPr>
            <w:tcW w:w="5180" w:type="dxa"/>
            <w:vAlign w:val="bottom"/>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6,178</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6,385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16,528</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11,991</w:t>
            </w:r>
          </w:p>
        </w:tc>
      </w:tr>
      <w:tr>
        <w:trPr>
          <w:trHeight w:val="33"/>
        </w:trPr>
        <w:tc>
          <w:tcPr>
            <w:tcW w:w="5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51,268</w:t>
            </w: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45,450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97,417</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89,129</w:t>
            </w:r>
          </w:p>
        </w:tc>
      </w:tr>
      <w:tr>
        <w:trPr>
          <w:trHeight w:val="230"/>
        </w:trPr>
        <w:tc>
          <w:tcPr>
            <w:tcW w:w="5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Expense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Salaries and Benefits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50,715</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53,511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105,178</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110,097</w:t>
            </w:r>
          </w:p>
        </w:tc>
      </w:tr>
      <w:tr>
        <w:trPr>
          <w:trHeight w:val="237"/>
        </w:trPr>
        <w:tc>
          <w:tcPr>
            <w:tcW w:w="5180" w:type="dxa"/>
            <w:vAlign w:val="bottom"/>
          </w:tcPr>
          <w:p>
            <w:pPr>
              <w:ind w:left="280"/>
              <w:spacing w:after="0"/>
              <w:rPr>
                <w:sz w:val="20"/>
                <w:szCs w:val="20"/>
                <w:color w:val="auto"/>
              </w:rPr>
            </w:pPr>
            <w:r>
              <w:rPr>
                <w:rFonts w:ascii="Arial" w:cs="Arial" w:eastAsia="Arial" w:hAnsi="Arial"/>
                <w:sz w:val="16"/>
                <w:szCs w:val="16"/>
                <w:color w:val="auto"/>
              </w:rPr>
              <w:t>Net Occupancy</w:t>
            </w:r>
          </w:p>
        </w:tc>
        <w:tc>
          <w:tcPr>
            <w:tcW w:w="32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8,761</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8,579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17,716</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16,173</w:t>
            </w:r>
          </w:p>
        </w:tc>
      </w:tr>
      <w:tr>
        <w:trPr>
          <w:trHeight w:val="33"/>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8,195</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6,895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16,651</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13,728</w:t>
            </w:r>
          </w:p>
        </w:tc>
      </w:tr>
      <w:tr>
        <w:trPr>
          <w:trHeight w:val="237"/>
        </w:trPr>
        <w:tc>
          <w:tcPr>
            <w:tcW w:w="5180" w:type="dxa"/>
            <w:vAlign w:val="bottom"/>
          </w:tcPr>
          <w:p>
            <w:pPr>
              <w:ind w:left="280"/>
              <w:spacing w:after="0"/>
              <w:rPr>
                <w:sz w:val="20"/>
                <w:szCs w:val="20"/>
                <w:color w:val="auto"/>
              </w:rPr>
            </w:pPr>
            <w:r>
              <w:rPr>
                <w:rFonts w:ascii="Arial" w:cs="Arial" w:eastAsia="Arial" w:hAnsi="Arial"/>
                <w:sz w:val="16"/>
                <w:szCs w:val="16"/>
                <w:color w:val="auto"/>
              </w:rPr>
              <w:t>Data Processing</w:t>
            </w:r>
          </w:p>
        </w:tc>
        <w:tc>
          <w:tcPr>
            <w:tcW w:w="32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4,416</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4,727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9,204</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9,253</w:t>
            </w:r>
          </w:p>
        </w:tc>
      </w:tr>
      <w:tr>
        <w:trPr>
          <w:trHeight w:val="33"/>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Professional Fees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3,061</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6,269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4,630</w:t>
            </w:r>
          </w:p>
        </w:tc>
      </w:tr>
      <w:tr>
        <w:trPr>
          <w:trHeight w:val="237"/>
        </w:trPr>
        <w:tc>
          <w:tcPr>
            <w:tcW w:w="5180" w:type="dxa"/>
            <w:vAlign w:val="bottom"/>
          </w:tcPr>
          <w:p>
            <w:pPr>
              <w:ind w:left="280"/>
              <w:spacing w:after="0"/>
              <w:rPr>
                <w:sz w:val="20"/>
                <w:szCs w:val="20"/>
                <w:color w:val="auto"/>
              </w:rPr>
            </w:pPr>
            <w:r>
              <w:rPr>
                <w:rFonts w:ascii="Arial" w:cs="Arial" w:eastAsia="Arial" w:hAnsi="Arial"/>
                <w:sz w:val="16"/>
                <w:szCs w:val="16"/>
                <w:color w:val="auto"/>
              </w:rPr>
              <w:t>FDIC Insurance</w:t>
            </w:r>
          </w:p>
        </w:tc>
        <w:tc>
          <w:tcPr>
            <w:tcW w:w="32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1,558</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1,290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3,014</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2,559</w:t>
            </w:r>
          </w:p>
        </w:tc>
      </w:tr>
      <w:tr>
        <w:trPr>
          <w:trHeight w:val="33"/>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12,186</w:t>
            </w: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15,546</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27,172</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29,342</w:t>
            </w:r>
          </w:p>
        </w:tc>
      </w:tr>
      <w:tr>
        <w:trPr>
          <w:trHeight w:val="230"/>
        </w:trPr>
        <w:tc>
          <w:tcPr>
            <w:tcW w:w="5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88,892</w:t>
            </w:r>
          </w:p>
        </w:tc>
        <w:tc>
          <w:tcPr>
            <w:tcW w:w="5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92,725</w:t>
            </w: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185,204</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185,782</w:t>
            </w:r>
          </w:p>
        </w:tc>
      </w:tr>
      <w:tr>
        <w:trPr>
          <w:trHeight w:val="33"/>
        </w:trPr>
        <w:tc>
          <w:tcPr>
            <w:tcW w:w="5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48,667</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72,822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90,870</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145,281</w:t>
            </w: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9,759</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15,903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17,220</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29,563</w:t>
            </w:r>
          </w:p>
        </w:tc>
      </w:tr>
      <w:tr>
        <w:trPr>
          <w:trHeight w:val="33"/>
        </w:trPr>
        <w:tc>
          <w:tcPr>
            <w:tcW w:w="5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38,908</w:t>
            </w:r>
          </w:p>
        </w:tc>
        <w:tc>
          <w:tcPr>
            <w:tcW w:w="5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56,919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73,650</w:t>
            </w:r>
          </w:p>
        </w:tc>
        <w:tc>
          <w:tcPr>
            <w:tcW w:w="5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115,718</w:t>
            </w:r>
          </w:p>
        </w:tc>
      </w:tr>
      <w:tr>
        <w:trPr>
          <w:trHeight w:val="20"/>
        </w:trPr>
        <w:tc>
          <w:tcPr>
            <w:tcW w:w="5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18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0.98</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2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1.86</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2.84</w:t>
            </w:r>
          </w:p>
        </w:tc>
      </w:tr>
      <w:tr>
        <w:trPr>
          <w:trHeight w:val="33"/>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0.98</w:t>
            </w:r>
          </w:p>
        </w:tc>
        <w:tc>
          <w:tcPr>
            <w:tcW w:w="5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1.85</w:t>
            </w:r>
          </w:p>
        </w:tc>
        <w:tc>
          <w:tcPr>
            <w:tcW w:w="5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Dividends Declared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0.67</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0.65</w:t>
            </w:r>
          </w:p>
        </w:tc>
        <w:tc>
          <w:tcPr>
            <w:tcW w:w="2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1.34</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1.27</w:t>
            </w:r>
          </w:p>
        </w:tc>
      </w:tr>
      <w:tr>
        <w:trPr>
          <w:trHeight w:val="33"/>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Shares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39,703,735</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40,541,594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39,692,695</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40,738,772</w:t>
            </w: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Diluted Weighted Average Shares</w:t>
            </w:r>
          </w:p>
        </w:tc>
        <w:tc>
          <w:tcPr>
            <w:tcW w:w="32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39,832,475</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40,769,767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39,873,334</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40,988,001</w:t>
            </w:r>
          </w:p>
        </w:tc>
      </w:tr>
      <w:tr>
        <w:trPr>
          <w:trHeight w:val="33"/>
        </w:trPr>
        <w:tc>
          <w:tcPr>
            <w:tcW w:w="5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ectPr>
          <w:pgSz w:w="11900" w:h="16838" w:orient="portrait"/>
          <w:cols w:equalWidth="0" w:num="1">
            <w:col w:w="11240"/>
          </w:cols>
          <w:pgMar w:left="320" w:top="130" w:right="339" w:bottom="784"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30" w:right="339" w:bottom="784"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720" w:type="dxa"/>
            <w:vAlign w:val="bottom"/>
          </w:tcPr>
          <w:p>
            <w:pPr>
              <w:spacing w:after="0"/>
              <w:rPr>
                <w:sz w:val="18"/>
                <w:szCs w:val="18"/>
                <w:color w:val="auto"/>
              </w:rPr>
            </w:pPr>
          </w:p>
        </w:tc>
      </w:tr>
      <w:tr>
        <w:trPr>
          <w:trHeight w:val="270"/>
        </w:trPr>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8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6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23"/>
                <w:szCs w:val="23"/>
                <w:color w:val="auto"/>
              </w:rPr>
            </w:pPr>
          </w:p>
        </w:tc>
      </w:tr>
      <w:tr>
        <w:trPr>
          <w:trHeight w:val="33"/>
        </w:trPr>
        <w:tc>
          <w:tcPr>
            <w:tcW w:w="5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8"/>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8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49"/>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38,908</w:t>
            </w:r>
          </w:p>
        </w:tc>
        <w:tc>
          <w:tcPr>
            <w:tcW w:w="88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56,919</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73,650</w:t>
            </w:r>
          </w:p>
        </w:tc>
        <w:tc>
          <w:tcPr>
            <w:tcW w:w="7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115,718</w:t>
            </w: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5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7,730</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16,209</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49,289</w:t>
            </w: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23,128</w:t>
            </w:r>
          </w:p>
        </w:tc>
      </w:tr>
      <w:tr>
        <w:trPr>
          <w:trHeight w:val="237"/>
        </w:trPr>
        <w:tc>
          <w:tcPr>
            <w:tcW w:w="5180" w:type="dxa"/>
            <w:vAlign w:val="bottom"/>
          </w:tcPr>
          <w:p>
            <w:pPr>
              <w:ind w:left="380"/>
              <w:spacing w:after="0"/>
              <w:rPr>
                <w:sz w:val="20"/>
                <w:szCs w:val="20"/>
                <w:color w:val="auto"/>
              </w:rPr>
            </w:pPr>
            <w:r>
              <w:rPr>
                <w:rFonts w:ascii="Arial" w:cs="Arial" w:eastAsia="Arial" w:hAnsi="Arial"/>
                <w:sz w:val="16"/>
                <w:szCs w:val="16"/>
                <w:color w:val="auto"/>
              </w:rPr>
              <w:t>Defined Benefit Plans</w:t>
            </w:r>
          </w:p>
        </w:tc>
        <w:tc>
          <w:tcPr>
            <w:tcW w:w="44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374</w:t>
            </w:r>
          </w:p>
        </w:tc>
        <w:tc>
          <w:tcPr>
            <w:tcW w:w="8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245</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748</w:t>
            </w:r>
          </w:p>
        </w:tc>
        <w:tc>
          <w:tcPr>
            <w:tcW w:w="7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491</w:t>
            </w:r>
          </w:p>
        </w:tc>
      </w:tr>
      <w:tr>
        <w:trPr>
          <w:trHeight w:val="33"/>
        </w:trPr>
        <w:tc>
          <w:tcPr>
            <w:tcW w:w="5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8"/>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8,104</w:t>
            </w:r>
          </w:p>
        </w:tc>
        <w:tc>
          <w:tcPr>
            <w:tcW w:w="8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16,454</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50,037</w:t>
            </w:r>
          </w:p>
        </w:tc>
        <w:tc>
          <w:tcPr>
            <w:tcW w:w="7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23,619</w:t>
            </w:r>
          </w:p>
        </w:tc>
      </w:tr>
      <w:tr>
        <w:trPr>
          <w:trHeight w:val="231"/>
        </w:trPr>
        <w:tc>
          <w:tcPr>
            <w:tcW w:w="5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Comprehensive Income</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47,012</w:t>
            </w:r>
          </w:p>
        </w:tc>
        <w:tc>
          <w:tcPr>
            <w:tcW w:w="88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73,373</w:t>
            </w:r>
          </w:p>
        </w:tc>
        <w:tc>
          <w:tcPr>
            <w:tcW w:w="2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123,687</w:t>
            </w:r>
          </w:p>
        </w:tc>
        <w:tc>
          <w:tcPr>
            <w:tcW w:w="76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139,337</w:t>
            </w:r>
          </w:p>
        </w:tc>
      </w:tr>
      <w:tr>
        <w:trPr>
          <w:trHeight w:val="33"/>
        </w:trPr>
        <w:tc>
          <w:tcPr>
            <w:tcW w:w="5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0" w:right="3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Condition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054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7"/>
                <w:szCs w:val="17"/>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Interest-Bearing Deposits in Other Banks</w:t>
            </w:r>
          </w:p>
        </w:tc>
        <w:tc>
          <w:tcPr>
            <w:tcW w:w="22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2,310</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4,979</w:t>
            </w:r>
          </w:p>
        </w:tc>
      </w:tr>
      <w:tr>
        <w:trPr>
          <w:trHeight w:val="33"/>
        </w:trPr>
        <w:tc>
          <w:tcPr>
            <w:tcW w:w="6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Funds Sold</w:t>
            </w:r>
          </w:p>
        </w:tc>
        <w:tc>
          <w:tcPr>
            <w:tcW w:w="2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800,857</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254,574</w:t>
            </w: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Investment Securities</w:t>
            </w:r>
          </w:p>
        </w:tc>
        <w:tc>
          <w:tcPr>
            <w:tcW w:w="2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Available-for-Sale</w:t>
            </w:r>
          </w:p>
        </w:tc>
        <w:tc>
          <w:tcPr>
            <w:tcW w:w="2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2,726,478</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2,619,003</w:t>
            </w:r>
          </w:p>
        </w:tc>
      </w:tr>
      <w:tr>
        <w:trPr>
          <w:trHeight w:val="237"/>
        </w:trPr>
        <w:tc>
          <w:tcPr>
            <w:tcW w:w="6020" w:type="dxa"/>
            <w:vAlign w:val="bottom"/>
          </w:tcPr>
          <w:p>
            <w:pPr>
              <w:ind w:left="280"/>
              <w:spacing w:after="0"/>
              <w:rPr>
                <w:sz w:val="20"/>
                <w:szCs w:val="20"/>
                <w:color w:val="auto"/>
              </w:rPr>
            </w:pPr>
            <w:r>
              <w:rPr>
                <w:rFonts w:ascii="Arial" w:cs="Arial" w:eastAsia="Arial" w:hAnsi="Arial"/>
                <w:sz w:val="16"/>
                <w:szCs w:val="16"/>
                <w:color w:val="auto"/>
              </w:rPr>
              <w:t>Held-to-Maturity (Fair Value of $3,374,294 and $3,602,882)</w:t>
            </w:r>
          </w:p>
        </w:tc>
        <w:tc>
          <w:tcPr>
            <w:tcW w:w="220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3,276,829</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3,042,294</w:t>
            </w:r>
          </w:p>
        </w:tc>
      </w:tr>
      <w:tr>
        <w:trPr>
          <w:trHeight w:val="33"/>
        </w:trPr>
        <w:tc>
          <w:tcPr>
            <w:tcW w:w="6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2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20,711</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39,062</w:t>
            </w: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Loans and Leases</w:t>
            </w:r>
          </w:p>
        </w:tc>
        <w:tc>
          <w:tcPr>
            <w:tcW w:w="220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11,805,370</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10,990,892</w:t>
            </w:r>
          </w:p>
        </w:tc>
      </w:tr>
      <w:tr>
        <w:trPr>
          <w:trHeight w:val="33"/>
        </w:trPr>
        <w:tc>
          <w:tcPr>
            <w:tcW w:w="6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Allowance for Credit Losses</w:t>
            </w:r>
          </w:p>
        </w:tc>
        <w:tc>
          <w:tcPr>
            <w:tcW w:w="2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(173,439)</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(110,027)</w:t>
            </w:r>
          </w:p>
        </w:tc>
      </w:tr>
      <w:tr>
        <w:trPr>
          <w:trHeight w:val="231"/>
        </w:trPr>
        <w:tc>
          <w:tcPr>
            <w:tcW w:w="602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Loans and Leases</w:t>
            </w:r>
          </w:p>
        </w:tc>
        <w:tc>
          <w:tcPr>
            <w:tcW w:w="2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11,631,931</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10,880,865</w:t>
            </w:r>
          </w:p>
        </w:tc>
      </w:tr>
      <w:tr>
        <w:trPr>
          <w:trHeight w:val="33"/>
        </w:trPr>
        <w:tc>
          <w:tcPr>
            <w:tcW w:w="60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Earning Assets</w:t>
            </w:r>
          </w:p>
        </w:tc>
        <w:tc>
          <w:tcPr>
            <w:tcW w:w="2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18,459,116</w:t>
            </w: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16,840,777</w:t>
            </w:r>
          </w:p>
        </w:tc>
      </w:tr>
      <w:tr>
        <w:trPr>
          <w:trHeight w:val="231"/>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Cash and Due From Banks</w:t>
            </w:r>
          </w:p>
        </w:tc>
        <w:tc>
          <w:tcPr>
            <w:tcW w:w="2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242,423</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299,105</w:t>
            </w:r>
          </w:p>
        </w:tc>
      </w:tr>
      <w:tr>
        <w:trPr>
          <w:trHeight w:val="33"/>
        </w:trPr>
        <w:tc>
          <w:tcPr>
            <w:tcW w:w="6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Premises and Equipment, Net</w:t>
            </w:r>
          </w:p>
        </w:tc>
        <w:tc>
          <w:tcPr>
            <w:tcW w:w="2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198,582</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188,388</w:t>
            </w: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220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97,166</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100,838</w:t>
            </w:r>
          </w:p>
        </w:tc>
      </w:tr>
      <w:tr>
        <w:trPr>
          <w:trHeight w:val="33"/>
        </w:trPr>
        <w:tc>
          <w:tcPr>
            <w:tcW w:w="6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 Receivable</w:t>
            </w:r>
          </w:p>
        </w:tc>
        <w:tc>
          <w:tcPr>
            <w:tcW w:w="2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50,645</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46,476</w:t>
            </w: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Foreclosed Real Estate</w:t>
            </w:r>
          </w:p>
        </w:tc>
        <w:tc>
          <w:tcPr>
            <w:tcW w:w="220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2,506</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2,737</w:t>
            </w:r>
          </w:p>
        </w:tc>
      </w:tr>
      <w:tr>
        <w:trPr>
          <w:trHeight w:val="33"/>
        </w:trPr>
        <w:tc>
          <w:tcPr>
            <w:tcW w:w="6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Servicing Rights</w:t>
            </w:r>
          </w:p>
        </w:tc>
        <w:tc>
          <w:tcPr>
            <w:tcW w:w="2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22,904</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25,022</w:t>
            </w: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Goodwill</w:t>
            </w:r>
          </w:p>
        </w:tc>
        <w:tc>
          <w:tcPr>
            <w:tcW w:w="220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31,517</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31,517</w:t>
            </w:r>
          </w:p>
        </w:tc>
      </w:tr>
      <w:tr>
        <w:trPr>
          <w:trHeight w:val="33"/>
        </w:trPr>
        <w:tc>
          <w:tcPr>
            <w:tcW w:w="6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Bank-Owned Life Insurance</w:t>
            </w:r>
          </w:p>
        </w:tc>
        <w:tc>
          <w:tcPr>
            <w:tcW w:w="2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291,185</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287,962</w:t>
            </w: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20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373,898</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272,674</w:t>
            </w:r>
          </w:p>
        </w:tc>
      </w:tr>
      <w:tr>
        <w:trPr>
          <w:trHeight w:val="33"/>
        </w:trPr>
        <w:tc>
          <w:tcPr>
            <w:tcW w:w="60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2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19,769,942</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18,095,496</w:t>
            </w:r>
          </w:p>
        </w:tc>
      </w:tr>
      <w:tr>
        <w:trPr>
          <w:trHeight w:val="20"/>
        </w:trPr>
        <w:tc>
          <w:tcPr>
            <w:tcW w:w="602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60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Deposits</w:t>
            </w:r>
          </w:p>
        </w:tc>
        <w:tc>
          <w:tcPr>
            <w:tcW w:w="2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Noninterest-Bearing Demand</w:t>
            </w:r>
          </w:p>
        </w:tc>
        <w:tc>
          <w:tcPr>
            <w:tcW w:w="22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5,485,015</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4,489,525</w:t>
            </w:r>
          </w:p>
        </w:tc>
      </w:tr>
      <w:tr>
        <w:trPr>
          <w:trHeight w:val="237"/>
        </w:trPr>
        <w:tc>
          <w:tcPr>
            <w:tcW w:w="6020" w:type="dxa"/>
            <w:vAlign w:val="bottom"/>
          </w:tcPr>
          <w:p>
            <w:pPr>
              <w:ind w:left="280"/>
              <w:spacing w:after="0"/>
              <w:rPr>
                <w:sz w:val="20"/>
                <w:szCs w:val="20"/>
                <w:color w:val="auto"/>
              </w:rPr>
            </w:pPr>
            <w:r>
              <w:rPr>
                <w:rFonts w:ascii="Arial" w:cs="Arial" w:eastAsia="Arial" w:hAnsi="Arial"/>
                <w:sz w:val="16"/>
                <w:szCs w:val="16"/>
                <w:color w:val="auto"/>
              </w:rPr>
              <w:t>Interest-Bearing Demand</w:t>
            </w:r>
          </w:p>
        </w:tc>
        <w:tc>
          <w:tcPr>
            <w:tcW w:w="220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3,437,654</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3,127,205</w:t>
            </w:r>
          </w:p>
        </w:tc>
      </w:tr>
      <w:tr>
        <w:trPr>
          <w:trHeight w:val="33"/>
        </w:trPr>
        <w:tc>
          <w:tcPr>
            <w:tcW w:w="6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Savings</w:t>
            </w:r>
          </w:p>
        </w:tc>
        <w:tc>
          <w:tcPr>
            <w:tcW w:w="2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6,821,710</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6,365,321</w:t>
            </w:r>
          </w:p>
        </w:tc>
      </w:tr>
      <w:tr>
        <w:trPr>
          <w:trHeight w:val="237"/>
        </w:trPr>
        <w:tc>
          <w:tcPr>
            <w:tcW w:w="6020" w:type="dxa"/>
            <w:vAlign w:val="bottom"/>
          </w:tcPr>
          <w:p>
            <w:pPr>
              <w:ind w:left="280"/>
              <w:spacing w:after="0"/>
              <w:rPr>
                <w:sz w:val="20"/>
                <w:szCs w:val="20"/>
                <w:color w:val="auto"/>
              </w:rPr>
            </w:pPr>
            <w:r>
              <w:rPr>
                <w:rFonts w:ascii="Arial" w:cs="Arial" w:eastAsia="Arial" w:hAnsi="Arial"/>
                <w:sz w:val="16"/>
                <w:szCs w:val="16"/>
                <w:color w:val="auto"/>
              </w:rPr>
              <w:t>Time</w:t>
            </w:r>
          </w:p>
        </w:tc>
        <w:tc>
          <w:tcPr>
            <w:tcW w:w="220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1,678,776</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1,802,431</w:t>
            </w:r>
          </w:p>
        </w:tc>
      </w:tr>
      <w:tr>
        <w:trPr>
          <w:trHeight w:val="33"/>
        </w:trPr>
        <w:tc>
          <w:tcPr>
            <w:tcW w:w="60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Deposits</w:t>
            </w:r>
          </w:p>
        </w:tc>
        <w:tc>
          <w:tcPr>
            <w:tcW w:w="2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17,423,155</w:t>
            </w: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15,784,482</w:t>
            </w:r>
          </w:p>
        </w:tc>
      </w:tr>
      <w:tr>
        <w:trPr>
          <w:trHeight w:val="230"/>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2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603,206</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604,306</w:t>
            </w:r>
          </w:p>
        </w:tc>
      </w:tr>
      <w:tr>
        <w:trPr>
          <w:trHeight w:val="33"/>
        </w:trPr>
        <w:tc>
          <w:tcPr>
            <w:tcW w:w="6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Debt</w:t>
            </w:r>
          </w:p>
        </w:tc>
        <w:tc>
          <w:tcPr>
            <w:tcW w:w="2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60,524</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85,565</w:t>
            </w: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Operating Lease Liabilities</w:t>
            </w:r>
          </w:p>
        </w:tc>
        <w:tc>
          <w:tcPr>
            <w:tcW w:w="220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104,741</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108,210</w:t>
            </w:r>
          </w:p>
        </w:tc>
      </w:tr>
      <w:tr>
        <w:trPr>
          <w:trHeight w:val="33"/>
        </w:trPr>
        <w:tc>
          <w:tcPr>
            <w:tcW w:w="6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Benefits Payable</w:t>
            </w:r>
          </w:p>
        </w:tc>
        <w:tc>
          <w:tcPr>
            <w:tcW w:w="2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43,833</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44,504</w:t>
            </w: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Accrued Interest Payable</w:t>
            </w:r>
          </w:p>
        </w:tc>
        <w:tc>
          <w:tcPr>
            <w:tcW w:w="220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7,775</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8,040</w:t>
            </w:r>
          </w:p>
        </w:tc>
      </w:tr>
      <w:tr>
        <w:trPr>
          <w:trHeight w:val="33"/>
        </w:trPr>
        <w:tc>
          <w:tcPr>
            <w:tcW w:w="6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 Payable and Deferred Taxes</w:t>
            </w:r>
          </w:p>
        </w:tc>
        <w:tc>
          <w:tcPr>
            <w:tcW w:w="2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38,297</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16,085</w:t>
            </w: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20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136,329</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157,472</w:t>
            </w:r>
          </w:p>
        </w:tc>
      </w:tr>
      <w:tr>
        <w:trPr>
          <w:trHeight w:val="33"/>
        </w:trPr>
        <w:tc>
          <w:tcPr>
            <w:tcW w:w="60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18,417,860</w:t>
            </w: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16,808,664</w:t>
            </w:r>
          </w:p>
        </w:tc>
      </w:tr>
      <w:tr>
        <w:trPr>
          <w:trHeight w:val="230"/>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6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($.01 par value; authorized 500,000,000 shares;</w:t>
            </w:r>
          </w:p>
        </w:tc>
        <w:tc>
          <w:tcPr>
            <w:tcW w:w="2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03"/>
        </w:trPr>
        <w:tc>
          <w:tcPr>
            <w:tcW w:w="6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issued / outstanding: June 30, 2020 - 58,263,452 / 40,047,694</w:t>
            </w:r>
          </w:p>
        </w:tc>
        <w:tc>
          <w:tcPr>
            <w:tcW w:w="2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December 31, 2019 - 58,166,910 / 40,039,695)</w:t>
            </w:r>
          </w:p>
        </w:tc>
        <w:tc>
          <w:tcPr>
            <w:tcW w:w="2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580</w:t>
            </w:r>
          </w:p>
        </w:tc>
        <w:tc>
          <w:tcPr>
            <w:tcW w:w="4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w:t>
            </w: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Capital Surplus</w:t>
            </w:r>
          </w:p>
        </w:tc>
        <w:tc>
          <w:tcPr>
            <w:tcW w:w="220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586,946</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582,566</w:t>
            </w:r>
          </w:p>
        </w:tc>
      </w:tr>
      <w:tr>
        <w:trPr>
          <w:trHeight w:val="33"/>
        </w:trPr>
        <w:tc>
          <w:tcPr>
            <w:tcW w:w="6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Income (Loss)</w:t>
            </w:r>
          </w:p>
        </w:tc>
        <w:tc>
          <w:tcPr>
            <w:tcW w:w="2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18,925</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(31,112)</w:t>
            </w: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220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1,786,351</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1,761,415</w:t>
            </w:r>
          </w:p>
        </w:tc>
      </w:tr>
      <w:tr>
        <w:trPr>
          <w:trHeight w:val="33"/>
        </w:trPr>
        <w:tc>
          <w:tcPr>
            <w:tcW w:w="6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Treasury Stock, at Cost (Shares; June 30, 2020 - 18,215,758</w:t>
            </w:r>
          </w:p>
        </w:tc>
        <w:tc>
          <w:tcPr>
            <w:tcW w:w="2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December 31, 2019 - 18,127,215)</w:t>
            </w:r>
          </w:p>
        </w:tc>
        <w:tc>
          <w:tcPr>
            <w:tcW w:w="2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(1,040,720)</w:t>
            </w: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(1,026,616)</w:t>
            </w:r>
          </w:p>
        </w:tc>
      </w:tr>
      <w:tr>
        <w:trPr>
          <w:trHeight w:val="230"/>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Shareholders’ Equity</w:t>
            </w:r>
          </w:p>
        </w:tc>
        <w:tc>
          <w:tcPr>
            <w:tcW w:w="2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1,352,082</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1,286,832</w:t>
            </w:r>
          </w:p>
        </w:tc>
      </w:tr>
      <w:tr>
        <w:trPr>
          <w:trHeight w:val="33"/>
        </w:trPr>
        <w:tc>
          <w:tcPr>
            <w:tcW w:w="60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22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19,769,942</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18,095,496</w:t>
            </w:r>
          </w:p>
        </w:tc>
      </w:tr>
      <w:tr>
        <w:trPr>
          <w:trHeight w:val="20"/>
        </w:trPr>
        <w:tc>
          <w:tcPr>
            <w:tcW w:w="602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sectPr>
          <w:pgSz w:w="11900" w:h="16838" w:orient="portrait"/>
          <w:cols w:equalWidth="0" w:num="1">
            <w:col w:w="11120"/>
          </w:cols>
          <w:pgMar w:left="320" w:top="130" w:right="459" w:bottom="1440" w:gutter="0" w:footer="0" w:header="0"/>
        </w:sectPr>
      </w:pPr>
    </w:p>
    <w:p>
      <w:pPr>
        <w:jc w:val="center"/>
        <w:ind w:right="-159"/>
        <w:spacing w:after="0"/>
        <w:rPr>
          <w:sz w:val="20"/>
          <w:szCs w:val="20"/>
          <w:color w:val="auto"/>
        </w:rPr>
      </w:pPr>
      <w:r>
        <w:rPr>
          <w:rFonts w:ascii="Arial" w:cs="Arial" w:eastAsia="Arial" w:hAnsi="Arial"/>
          <w:sz w:val="12"/>
          <w:szCs w:val="12"/>
          <w:color w:val="auto"/>
        </w:rPr>
        <w:t>The accompanying notes are an integral part of the Consolidated Financial Statements (Unaudited).</w:t>
      </w:r>
    </w:p>
    <w:p>
      <w:pPr>
        <w:sectPr>
          <w:pgSz w:w="11900" w:h="16838" w:orient="portrait"/>
          <w:cols w:equalWidth="0" w:num="1">
            <w:col w:w="11120"/>
          </w:cols>
          <w:pgMar w:left="320" w:top="130" w:right="45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019"/>
          </w:cols>
          <w:pgMar w:left="1440" w:top="638" w:right="1440"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Accum. Other</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Common</w:t>
            </w:r>
          </w:p>
        </w:tc>
        <w:tc>
          <w:tcPr>
            <w:tcW w:w="30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Compre-</w:t>
            </w:r>
          </w:p>
        </w:tc>
        <w:tc>
          <w:tcPr>
            <w:tcW w:w="28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12"/>
                <w:szCs w:val="12"/>
                <w:color w:val="auto"/>
              </w:rPr>
            </w:pP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8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hensive</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Surplus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Income(Loss)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Stock</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2019</w:t>
            </w:r>
          </w:p>
        </w:tc>
        <w:tc>
          <w:tcPr>
            <w:tcW w:w="1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40,039,695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579</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582,566</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(31,112)</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1,761,415</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(1,026,616)</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1,286,832</w:t>
            </w:r>
          </w:p>
        </w:tc>
        <w:tc>
          <w:tcPr>
            <w:tcW w:w="0" w:type="dxa"/>
            <w:vAlign w:val="bottom"/>
          </w:tcPr>
          <w:p>
            <w:pPr>
              <w:spacing w:after="0"/>
              <w:rPr>
                <w:sz w:val="1"/>
                <w:szCs w:val="1"/>
                <w:color w:val="auto"/>
              </w:rPr>
            </w:pP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34,742</w:t>
            </w:r>
          </w:p>
        </w:tc>
        <w:tc>
          <w:tcPr>
            <w:tcW w:w="26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34,742</w:t>
            </w:r>
          </w:p>
        </w:tc>
        <w:tc>
          <w:tcPr>
            <w:tcW w:w="0" w:type="dxa"/>
            <w:vAlign w:val="bottom"/>
          </w:tcPr>
          <w:p>
            <w:pPr>
              <w:spacing w:after="0"/>
              <w:rPr>
                <w:sz w:val="1"/>
                <w:szCs w:val="1"/>
                <w:color w:val="auto"/>
              </w:rPr>
            </w:pPr>
          </w:p>
        </w:tc>
      </w:tr>
      <w:tr>
        <w:trPr>
          <w:trHeight w:val="276"/>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41,933</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41,933</w:t>
            </w:r>
          </w:p>
        </w:tc>
        <w:tc>
          <w:tcPr>
            <w:tcW w:w="0" w:type="dxa"/>
            <w:vAlign w:val="bottom"/>
          </w:tcPr>
          <w:p>
            <w:pPr>
              <w:spacing w:after="0"/>
              <w:rPr>
                <w:sz w:val="1"/>
                <w:szCs w:val="1"/>
                <w:color w:val="auto"/>
              </w:rPr>
            </w:pP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w w:val="97"/>
              </w:rPr>
              <w:t>Cumulative Change in Accounting Principle</w:t>
            </w: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3,632</w:t>
            </w:r>
          </w:p>
        </w:tc>
        <w:tc>
          <w:tcPr>
            <w:tcW w:w="26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3,632</w:t>
            </w:r>
          </w:p>
        </w:tc>
        <w:tc>
          <w:tcPr>
            <w:tcW w:w="0" w:type="dxa"/>
            <w:vAlign w:val="bottom"/>
          </w:tcPr>
          <w:p>
            <w:pPr>
              <w:spacing w:after="0"/>
              <w:rPr>
                <w:sz w:val="1"/>
                <w:szCs w:val="1"/>
                <w:color w:val="auto"/>
              </w:rPr>
            </w:pPr>
          </w:p>
        </w:tc>
      </w:tr>
      <w:tr>
        <w:trPr>
          <w:trHeight w:val="276"/>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1,497</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1,497</w:t>
            </w:r>
          </w:p>
        </w:tc>
        <w:tc>
          <w:tcPr>
            <w:tcW w:w="0" w:type="dxa"/>
            <w:vAlign w:val="bottom"/>
          </w:tcPr>
          <w:p>
            <w:pPr>
              <w:spacing w:after="0"/>
              <w:rPr>
                <w:sz w:val="1"/>
                <w:szCs w:val="1"/>
                <w:color w:val="auto"/>
              </w:rPr>
            </w:pPr>
          </w:p>
        </w:tc>
      </w:tr>
      <w:tr>
        <w:trPr>
          <w:trHeight w:val="157"/>
        </w:trPr>
        <w:tc>
          <w:tcPr>
            <w:tcW w:w="2680" w:type="dxa"/>
            <w:vAlign w:val="bottom"/>
          </w:tcPr>
          <w:p>
            <w:pPr>
              <w:ind w:left="40"/>
              <w:spacing w:after="0" w:line="157" w:lineRule="exact"/>
              <w:rPr>
                <w:sz w:val="20"/>
                <w:szCs w:val="20"/>
                <w:color w:val="auto"/>
              </w:rPr>
            </w:pPr>
            <w:r>
              <w:rPr>
                <w:rFonts w:ascii="Arial" w:cs="Arial" w:eastAsia="Arial" w:hAnsi="Arial"/>
                <w:sz w:val="14"/>
                <w:szCs w:val="14"/>
                <w:color w:val="auto"/>
                <w:w w:val="96"/>
              </w:rPr>
              <w:t>Common Stock Issued under Purchase and</w:t>
            </w:r>
          </w:p>
        </w:tc>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80" w:type="dxa"/>
            <w:vAlign w:val="bottom"/>
          </w:tcPr>
          <w:p>
            <w:pPr>
              <w:ind w:left="40"/>
              <w:spacing w:after="0"/>
              <w:rPr>
                <w:sz w:val="20"/>
                <w:szCs w:val="20"/>
                <w:color w:val="auto"/>
              </w:rPr>
            </w:pPr>
            <w:r>
              <w:rPr>
                <w:rFonts w:ascii="Arial" w:cs="Arial" w:eastAsia="Arial" w:hAnsi="Arial"/>
                <w:sz w:val="14"/>
                <w:szCs w:val="14"/>
                <w:color w:val="auto"/>
              </w:rPr>
              <w:t>Equity Compensation Plans</w:t>
            </w: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154,091</w:t>
            </w:r>
          </w:p>
        </w:tc>
        <w:tc>
          <w:tcPr>
            <w:tcW w:w="24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329</w:t>
            </w:r>
          </w:p>
        </w:tc>
        <w:tc>
          <w:tcPr>
            <w:tcW w:w="28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653</w:t>
            </w:r>
          </w:p>
        </w:tc>
        <w:tc>
          <w:tcPr>
            <w:tcW w:w="26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2,779</w:t>
            </w:r>
          </w:p>
        </w:tc>
        <w:tc>
          <w:tcPr>
            <w:tcW w:w="2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3,761</w:t>
            </w:r>
          </w:p>
        </w:tc>
        <w:tc>
          <w:tcPr>
            <w:tcW w:w="0" w:type="dxa"/>
            <w:vAlign w:val="bottom"/>
          </w:tcPr>
          <w:p>
            <w:pPr>
              <w:spacing w:after="0"/>
              <w:rPr>
                <w:sz w:val="1"/>
                <w:szCs w:val="1"/>
                <w:color w:val="auto"/>
              </w:rPr>
            </w:pPr>
          </w:p>
        </w:tc>
      </w:tr>
      <w:tr>
        <w:trPr>
          <w:trHeight w:val="276"/>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Repurchased</w:t>
            </w:r>
          </w:p>
        </w:tc>
        <w:tc>
          <w:tcPr>
            <w:tcW w:w="1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(197,276)</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(17,633)</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(17,633)</w:t>
            </w:r>
          </w:p>
        </w:tc>
        <w:tc>
          <w:tcPr>
            <w:tcW w:w="0" w:type="dxa"/>
            <w:vAlign w:val="bottom"/>
          </w:tcPr>
          <w:p>
            <w:pPr>
              <w:spacing w:after="0"/>
              <w:rPr>
                <w:sz w:val="1"/>
                <w:szCs w:val="1"/>
                <w:color w:val="auto"/>
              </w:rPr>
            </w:pPr>
          </w:p>
        </w:tc>
      </w:tr>
      <w:tr>
        <w:trPr>
          <w:trHeight w:val="264"/>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7"/>
              </w:rPr>
              <w:t>Cash Dividends Declared ($0.67 per share)</w:t>
            </w:r>
          </w:p>
        </w:tc>
        <w:tc>
          <w:tcPr>
            <w:tcW w:w="1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(26,835)</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(26,835)</w:t>
            </w:r>
          </w:p>
        </w:tc>
        <w:tc>
          <w:tcPr>
            <w:tcW w:w="0" w:type="dxa"/>
            <w:vAlign w:val="bottom"/>
          </w:tcPr>
          <w:p>
            <w:pPr>
              <w:spacing w:after="0"/>
              <w:rPr>
                <w:sz w:val="1"/>
                <w:szCs w:val="1"/>
                <w:color w:val="auto"/>
              </w:rPr>
            </w:pPr>
          </w:p>
        </w:tc>
      </w:tr>
      <w:tr>
        <w:trPr>
          <w:trHeight w:val="264"/>
        </w:trPr>
        <w:tc>
          <w:tcPr>
            <w:tcW w:w="2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March 31, 2020</w:t>
            </w:r>
          </w:p>
        </w:tc>
        <w:tc>
          <w:tcPr>
            <w:tcW w:w="1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39,996,510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579</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584,392</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10,821</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1,773,607</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(1,041,470)</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1,327,929</w:t>
            </w:r>
          </w:p>
        </w:tc>
        <w:tc>
          <w:tcPr>
            <w:tcW w:w="0" w:type="dxa"/>
            <w:vAlign w:val="bottom"/>
          </w:tcPr>
          <w:p>
            <w:pPr>
              <w:spacing w:after="0"/>
              <w:rPr>
                <w:sz w:val="1"/>
                <w:szCs w:val="1"/>
                <w:color w:val="auto"/>
              </w:rPr>
            </w:pPr>
          </w:p>
        </w:tc>
      </w:tr>
      <w:tr>
        <w:trPr>
          <w:trHeight w:val="134"/>
        </w:trPr>
        <w:tc>
          <w:tcPr>
            <w:tcW w:w="26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38,908</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38,908</w:t>
            </w:r>
          </w:p>
        </w:tc>
        <w:tc>
          <w:tcPr>
            <w:tcW w:w="0" w:type="dxa"/>
            <w:vAlign w:val="bottom"/>
          </w:tcPr>
          <w:p>
            <w:pPr>
              <w:spacing w:after="0"/>
              <w:rPr>
                <w:sz w:val="1"/>
                <w:szCs w:val="1"/>
                <w:color w:val="auto"/>
              </w:rPr>
            </w:pP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8,104</w:t>
            </w:r>
          </w:p>
        </w:tc>
        <w:tc>
          <w:tcPr>
            <w:tcW w:w="28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8,104</w:t>
            </w:r>
          </w:p>
        </w:tc>
        <w:tc>
          <w:tcPr>
            <w:tcW w:w="0" w:type="dxa"/>
            <w:vAlign w:val="bottom"/>
          </w:tcPr>
          <w:p>
            <w:pPr>
              <w:spacing w:after="0"/>
              <w:rPr>
                <w:sz w:val="1"/>
                <w:szCs w:val="1"/>
                <w:color w:val="auto"/>
              </w:rPr>
            </w:pPr>
          </w:p>
        </w:tc>
      </w:tr>
      <w:tr>
        <w:trPr>
          <w:trHeight w:val="276"/>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2,207</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2,207</w:t>
            </w:r>
          </w:p>
        </w:tc>
        <w:tc>
          <w:tcPr>
            <w:tcW w:w="0" w:type="dxa"/>
            <w:vAlign w:val="bottom"/>
          </w:tcPr>
          <w:p>
            <w:pPr>
              <w:spacing w:after="0"/>
              <w:rPr>
                <w:sz w:val="1"/>
                <w:szCs w:val="1"/>
                <w:color w:val="auto"/>
              </w:rPr>
            </w:pPr>
          </w:p>
        </w:tc>
      </w:tr>
      <w:tr>
        <w:trPr>
          <w:trHeight w:val="157"/>
        </w:trPr>
        <w:tc>
          <w:tcPr>
            <w:tcW w:w="2680" w:type="dxa"/>
            <w:vAlign w:val="bottom"/>
          </w:tcPr>
          <w:p>
            <w:pPr>
              <w:ind w:left="40"/>
              <w:spacing w:after="0" w:line="157" w:lineRule="exact"/>
              <w:rPr>
                <w:sz w:val="20"/>
                <w:szCs w:val="20"/>
                <w:color w:val="auto"/>
              </w:rPr>
            </w:pPr>
            <w:r>
              <w:rPr>
                <w:rFonts w:ascii="Arial" w:cs="Arial" w:eastAsia="Arial" w:hAnsi="Arial"/>
                <w:sz w:val="14"/>
                <w:szCs w:val="14"/>
                <w:color w:val="auto"/>
                <w:w w:val="96"/>
              </w:rPr>
              <w:t>Common Stock Issued under Purchase and</w:t>
            </w:r>
          </w:p>
        </w:tc>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80" w:type="dxa"/>
            <w:vAlign w:val="bottom"/>
          </w:tcPr>
          <w:p>
            <w:pPr>
              <w:ind w:left="40"/>
              <w:spacing w:after="0"/>
              <w:rPr>
                <w:sz w:val="20"/>
                <w:szCs w:val="20"/>
                <w:color w:val="auto"/>
              </w:rPr>
            </w:pPr>
            <w:r>
              <w:rPr>
                <w:rFonts w:ascii="Arial" w:cs="Arial" w:eastAsia="Arial" w:hAnsi="Arial"/>
                <w:sz w:val="14"/>
                <w:szCs w:val="14"/>
                <w:color w:val="auto"/>
              </w:rPr>
              <w:t>Equity Compensation Plans</w:t>
            </w: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53,672</w:t>
            </w:r>
          </w:p>
        </w:tc>
        <w:tc>
          <w:tcPr>
            <w:tcW w:w="24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347</w:t>
            </w:r>
          </w:p>
        </w:tc>
        <w:tc>
          <w:tcPr>
            <w:tcW w:w="28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680</w:t>
            </w:r>
          </w:p>
        </w:tc>
        <w:tc>
          <w:tcPr>
            <w:tcW w:w="26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898</w:t>
            </w:r>
          </w:p>
        </w:tc>
        <w:tc>
          <w:tcPr>
            <w:tcW w:w="2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1,926</w:t>
            </w:r>
          </w:p>
        </w:tc>
        <w:tc>
          <w:tcPr>
            <w:tcW w:w="0" w:type="dxa"/>
            <w:vAlign w:val="bottom"/>
          </w:tcPr>
          <w:p>
            <w:pPr>
              <w:spacing w:after="0"/>
              <w:rPr>
                <w:sz w:val="1"/>
                <w:szCs w:val="1"/>
                <w:color w:val="auto"/>
              </w:rPr>
            </w:pPr>
          </w:p>
        </w:tc>
      </w:tr>
      <w:tr>
        <w:trPr>
          <w:trHeight w:val="276"/>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Repurchased</w:t>
            </w:r>
          </w:p>
        </w:tc>
        <w:tc>
          <w:tcPr>
            <w:tcW w:w="1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(2,488)</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64"/>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7"/>
              </w:rPr>
              <w:t>Cash Dividends Declared ($0.67 per share)</w:t>
            </w:r>
          </w:p>
        </w:tc>
        <w:tc>
          <w:tcPr>
            <w:tcW w:w="1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(26,844)</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(26,844)</w:t>
            </w:r>
          </w:p>
        </w:tc>
        <w:tc>
          <w:tcPr>
            <w:tcW w:w="0" w:type="dxa"/>
            <w:vAlign w:val="bottom"/>
          </w:tcPr>
          <w:p>
            <w:pPr>
              <w:spacing w:after="0"/>
              <w:rPr>
                <w:sz w:val="1"/>
                <w:szCs w:val="1"/>
                <w:color w:val="auto"/>
              </w:rPr>
            </w:pPr>
          </w:p>
        </w:tc>
      </w:tr>
      <w:tr>
        <w:trPr>
          <w:trHeight w:val="263"/>
        </w:trPr>
        <w:tc>
          <w:tcPr>
            <w:tcW w:w="2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June 30, 2020</w:t>
            </w:r>
          </w:p>
        </w:tc>
        <w:tc>
          <w:tcPr>
            <w:tcW w:w="1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40,047,694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580</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586,946</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18,925</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1,786,351</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(1,040,720)</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1,352,082</w:t>
            </w:r>
          </w:p>
        </w:tc>
        <w:tc>
          <w:tcPr>
            <w:tcW w:w="0" w:type="dxa"/>
            <w:vAlign w:val="bottom"/>
          </w:tcPr>
          <w:p>
            <w:pPr>
              <w:spacing w:after="0"/>
              <w:rPr>
                <w:sz w:val="1"/>
                <w:szCs w:val="1"/>
                <w:color w:val="auto"/>
              </w:rPr>
            </w:pPr>
          </w:p>
        </w:tc>
      </w:tr>
      <w:tr>
        <w:trPr>
          <w:trHeight w:val="189"/>
        </w:trPr>
        <w:tc>
          <w:tcPr>
            <w:tcW w:w="26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2018</w:t>
            </w:r>
          </w:p>
        </w:tc>
        <w:tc>
          <w:tcPr>
            <w:tcW w:w="1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41,499,898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577</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571,704</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(51,043)</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1,641,314</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(894,352)</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1,268,200</w:t>
            </w:r>
          </w:p>
        </w:tc>
        <w:tc>
          <w:tcPr>
            <w:tcW w:w="0" w:type="dxa"/>
            <w:vAlign w:val="bottom"/>
          </w:tcPr>
          <w:p>
            <w:pPr>
              <w:spacing w:after="0"/>
              <w:rPr>
                <w:sz w:val="1"/>
                <w:szCs w:val="1"/>
                <w:color w:val="auto"/>
              </w:rPr>
            </w:pP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58,799</w:t>
            </w:r>
          </w:p>
        </w:tc>
        <w:tc>
          <w:tcPr>
            <w:tcW w:w="26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58,799</w:t>
            </w:r>
          </w:p>
        </w:tc>
        <w:tc>
          <w:tcPr>
            <w:tcW w:w="0" w:type="dxa"/>
            <w:vAlign w:val="bottom"/>
          </w:tcPr>
          <w:p>
            <w:pPr>
              <w:spacing w:after="0"/>
              <w:rPr>
                <w:sz w:val="1"/>
                <w:szCs w:val="1"/>
                <w:color w:val="auto"/>
              </w:rPr>
            </w:pPr>
          </w:p>
        </w:tc>
      </w:tr>
      <w:tr>
        <w:trPr>
          <w:trHeight w:val="276"/>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7,165</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7,165</w:t>
            </w:r>
          </w:p>
        </w:tc>
        <w:tc>
          <w:tcPr>
            <w:tcW w:w="0" w:type="dxa"/>
            <w:vAlign w:val="bottom"/>
          </w:tcPr>
          <w:p>
            <w:pPr>
              <w:spacing w:after="0"/>
              <w:rPr>
                <w:sz w:val="1"/>
                <w:szCs w:val="1"/>
                <w:color w:val="auto"/>
              </w:rPr>
            </w:pP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2,274</w:t>
            </w:r>
          </w:p>
        </w:tc>
        <w:tc>
          <w:tcPr>
            <w:tcW w:w="28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2,274</w:t>
            </w:r>
          </w:p>
        </w:tc>
        <w:tc>
          <w:tcPr>
            <w:tcW w:w="0" w:type="dxa"/>
            <w:vAlign w:val="bottom"/>
          </w:tcPr>
          <w:p>
            <w:pPr>
              <w:spacing w:after="0"/>
              <w:rPr>
                <w:sz w:val="1"/>
                <w:szCs w:val="1"/>
                <w:color w:val="auto"/>
              </w:rPr>
            </w:pPr>
          </w:p>
        </w:tc>
      </w:tr>
      <w:tr>
        <w:trPr>
          <w:trHeight w:val="163"/>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Common Stock Issued under Purchase and</w:t>
            </w:r>
          </w:p>
        </w:tc>
        <w:tc>
          <w:tcPr>
            <w:tcW w:w="1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Compensation Plans</w:t>
            </w:r>
          </w:p>
        </w:tc>
        <w:tc>
          <w:tcPr>
            <w:tcW w:w="1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131,529</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616</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1,673</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2,087</w:t>
            </w:r>
          </w:p>
        </w:tc>
        <w:tc>
          <w:tcPr>
            <w:tcW w:w="0" w:type="dxa"/>
            <w:vAlign w:val="bottom"/>
          </w:tcPr>
          <w:p>
            <w:pPr>
              <w:spacing w:after="0"/>
              <w:rPr>
                <w:sz w:val="1"/>
                <w:szCs w:val="1"/>
                <w:color w:val="auto"/>
              </w:rPr>
            </w:pP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rPr>
              <w:t>Common Stock Repurchased</w:t>
            </w:r>
          </w:p>
        </w:tc>
        <w:tc>
          <w:tcPr>
            <w:tcW w:w="1880" w:type="dxa"/>
            <w:vAlign w:val="bottom"/>
          </w:tcPr>
          <w:p>
            <w:pPr>
              <w:jc w:val="right"/>
              <w:ind w:right="48"/>
              <w:spacing w:after="0"/>
              <w:rPr>
                <w:sz w:val="20"/>
                <w:szCs w:val="20"/>
                <w:color w:val="auto"/>
              </w:rPr>
            </w:pPr>
            <w:r>
              <w:rPr>
                <w:rFonts w:ascii="Arial" w:cs="Arial" w:eastAsia="Arial" w:hAnsi="Arial"/>
                <w:sz w:val="14"/>
                <w:szCs w:val="14"/>
                <w:color w:val="auto"/>
              </w:rPr>
              <w:t>(552,739)</w:t>
            </w:r>
          </w:p>
        </w:tc>
        <w:tc>
          <w:tcPr>
            <w:tcW w:w="24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(43,189)</w:t>
            </w: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(43,189)</w:t>
            </w:r>
          </w:p>
        </w:tc>
        <w:tc>
          <w:tcPr>
            <w:tcW w:w="0" w:type="dxa"/>
            <w:vAlign w:val="bottom"/>
          </w:tcPr>
          <w:p>
            <w:pPr>
              <w:spacing w:after="0"/>
              <w:rPr>
                <w:sz w:val="1"/>
                <w:szCs w:val="1"/>
                <w:color w:val="auto"/>
              </w:rPr>
            </w:pPr>
          </w:p>
        </w:tc>
      </w:tr>
      <w:tr>
        <w:trPr>
          <w:trHeight w:val="270"/>
        </w:trPr>
        <w:tc>
          <w:tcPr>
            <w:tcW w:w="2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97"/>
              </w:rPr>
              <w:t>Cash Dividends Declared ($0.62 per share)</w:t>
            </w:r>
          </w:p>
        </w:tc>
        <w:tc>
          <w:tcPr>
            <w:tcW w:w="1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(25,646)</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(25,646)</w:t>
            </w:r>
          </w:p>
        </w:tc>
        <w:tc>
          <w:tcPr>
            <w:tcW w:w="0" w:type="dxa"/>
            <w:vAlign w:val="bottom"/>
          </w:tcPr>
          <w:p>
            <w:pPr>
              <w:spacing w:after="0"/>
              <w:rPr>
                <w:sz w:val="1"/>
                <w:szCs w:val="1"/>
                <w:color w:val="auto"/>
              </w:rPr>
            </w:pPr>
          </w:p>
        </w:tc>
      </w:tr>
      <w:tr>
        <w:trPr>
          <w:trHeight w:val="263"/>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as of March 31, 2019</w:t>
            </w:r>
          </w:p>
        </w:tc>
        <w:tc>
          <w:tcPr>
            <w:tcW w:w="1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41,078,688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578</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574,594</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(43,878)</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1,674,264</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(935,868)</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1,269,690</w:t>
            </w:r>
          </w:p>
        </w:tc>
        <w:tc>
          <w:tcPr>
            <w:tcW w:w="0" w:type="dxa"/>
            <w:vAlign w:val="bottom"/>
          </w:tcPr>
          <w:p>
            <w:pPr>
              <w:spacing w:after="0"/>
              <w:rPr>
                <w:sz w:val="1"/>
                <w:szCs w:val="1"/>
                <w:color w:val="auto"/>
              </w:rPr>
            </w:pPr>
          </w:p>
        </w:tc>
      </w:tr>
      <w:tr>
        <w:trPr>
          <w:trHeight w:val="135"/>
        </w:trPr>
        <w:tc>
          <w:tcPr>
            <w:tcW w:w="26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56,919</w:t>
            </w:r>
          </w:p>
        </w:tc>
        <w:tc>
          <w:tcPr>
            <w:tcW w:w="26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56,919</w:t>
            </w:r>
          </w:p>
        </w:tc>
        <w:tc>
          <w:tcPr>
            <w:tcW w:w="0" w:type="dxa"/>
            <w:vAlign w:val="bottom"/>
          </w:tcPr>
          <w:p>
            <w:pPr>
              <w:spacing w:after="0"/>
              <w:rPr>
                <w:sz w:val="1"/>
                <w:szCs w:val="1"/>
                <w:color w:val="auto"/>
              </w:rPr>
            </w:pPr>
          </w:p>
        </w:tc>
      </w:tr>
      <w:tr>
        <w:trPr>
          <w:trHeight w:val="276"/>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16,454</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16,454</w:t>
            </w:r>
          </w:p>
        </w:tc>
        <w:tc>
          <w:tcPr>
            <w:tcW w:w="0" w:type="dxa"/>
            <w:vAlign w:val="bottom"/>
          </w:tcPr>
          <w:p>
            <w:pPr>
              <w:spacing w:after="0"/>
              <w:rPr>
                <w:sz w:val="1"/>
                <w:szCs w:val="1"/>
                <w:color w:val="auto"/>
              </w:rPr>
            </w:pP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2,164</w:t>
            </w:r>
          </w:p>
        </w:tc>
        <w:tc>
          <w:tcPr>
            <w:tcW w:w="28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2,164</w:t>
            </w:r>
          </w:p>
        </w:tc>
        <w:tc>
          <w:tcPr>
            <w:tcW w:w="0" w:type="dxa"/>
            <w:vAlign w:val="bottom"/>
          </w:tcPr>
          <w:p>
            <w:pPr>
              <w:spacing w:after="0"/>
              <w:rPr>
                <w:sz w:val="1"/>
                <w:szCs w:val="1"/>
                <w:color w:val="auto"/>
              </w:rPr>
            </w:pPr>
          </w:p>
        </w:tc>
      </w:tr>
      <w:tr>
        <w:trPr>
          <w:trHeight w:val="163"/>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Common Stock Issued under Purchase and</w:t>
            </w:r>
          </w:p>
        </w:tc>
        <w:tc>
          <w:tcPr>
            <w:tcW w:w="1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Compensation Plans</w:t>
            </w:r>
          </w:p>
        </w:tc>
        <w:tc>
          <w:tcPr>
            <w:tcW w:w="1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43,180</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588</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365</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1,308</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2,262</w:t>
            </w:r>
          </w:p>
        </w:tc>
        <w:tc>
          <w:tcPr>
            <w:tcW w:w="0" w:type="dxa"/>
            <w:vAlign w:val="bottom"/>
          </w:tcPr>
          <w:p>
            <w:pPr>
              <w:spacing w:after="0"/>
              <w:rPr>
                <w:sz w:val="1"/>
                <w:szCs w:val="1"/>
                <w:color w:val="auto"/>
              </w:rPr>
            </w:pP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rPr>
              <w:t>Common Stock Repurchased</w:t>
            </w:r>
          </w:p>
        </w:tc>
        <w:tc>
          <w:tcPr>
            <w:tcW w:w="1880" w:type="dxa"/>
            <w:vAlign w:val="bottom"/>
          </w:tcPr>
          <w:p>
            <w:pPr>
              <w:jc w:val="right"/>
              <w:ind w:right="48"/>
              <w:spacing w:after="0"/>
              <w:rPr>
                <w:sz w:val="20"/>
                <w:szCs w:val="20"/>
                <w:color w:val="auto"/>
              </w:rPr>
            </w:pPr>
            <w:r>
              <w:rPr>
                <w:rFonts w:ascii="Arial" w:cs="Arial" w:eastAsia="Arial" w:hAnsi="Arial"/>
                <w:sz w:val="14"/>
                <w:szCs w:val="14"/>
                <w:color w:val="auto"/>
              </w:rPr>
              <w:t>(434,149)</w:t>
            </w:r>
          </w:p>
        </w:tc>
        <w:tc>
          <w:tcPr>
            <w:tcW w:w="24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(34,986)</w:t>
            </w: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(34,986)</w:t>
            </w:r>
          </w:p>
        </w:tc>
        <w:tc>
          <w:tcPr>
            <w:tcW w:w="0" w:type="dxa"/>
            <w:vAlign w:val="bottom"/>
          </w:tcPr>
          <w:p>
            <w:pPr>
              <w:spacing w:after="0"/>
              <w:rPr>
                <w:sz w:val="1"/>
                <w:szCs w:val="1"/>
                <w:color w:val="auto"/>
              </w:rPr>
            </w:pPr>
          </w:p>
        </w:tc>
      </w:tr>
      <w:tr>
        <w:trPr>
          <w:trHeight w:val="270"/>
        </w:trPr>
        <w:tc>
          <w:tcPr>
            <w:tcW w:w="2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97"/>
              </w:rPr>
              <w:t>Cash Dividends Declared ($0.65 per share)</w:t>
            </w:r>
          </w:p>
        </w:tc>
        <w:tc>
          <w:tcPr>
            <w:tcW w:w="1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(26,555)</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(26,555)</w:t>
            </w:r>
          </w:p>
        </w:tc>
        <w:tc>
          <w:tcPr>
            <w:tcW w:w="0" w:type="dxa"/>
            <w:vAlign w:val="bottom"/>
          </w:tcPr>
          <w:p>
            <w:pPr>
              <w:spacing w:after="0"/>
              <w:rPr>
                <w:sz w:val="1"/>
                <w:szCs w:val="1"/>
                <w:color w:val="auto"/>
              </w:rPr>
            </w:pPr>
          </w:p>
        </w:tc>
      </w:tr>
      <w:tr>
        <w:trPr>
          <w:trHeight w:val="264"/>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as of June 30, 2019</w:t>
            </w:r>
          </w:p>
        </w:tc>
        <w:tc>
          <w:tcPr>
            <w:tcW w:w="1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40,687,719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579</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577,346</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(27,424)</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1,704,993</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(969,546)</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1,285,948</w:t>
            </w:r>
          </w:p>
        </w:tc>
        <w:tc>
          <w:tcPr>
            <w:tcW w:w="0" w:type="dxa"/>
            <w:vAlign w:val="bottom"/>
          </w:tcPr>
          <w:p>
            <w:pPr>
              <w:spacing w:after="0"/>
              <w:rPr>
                <w:sz w:val="1"/>
                <w:szCs w:val="1"/>
                <w:color w:val="auto"/>
              </w:rPr>
            </w:pPr>
          </w:p>
        </w:tc>
      </w:tr>
      <w:tr>
        <w:trPr>
          <w:trHeight w:val="298"/>
        </w:trPr>
        <w:tc>
          <w:tcPr>
            <w:tcW w:w="2680" w:type="dxa"/>
            <w:vAlign w:val="bottom"/>
          </w:tcPr>
          <w:p>
            <w:pPr>
              <w:spacing w:after="0"/>
              <w:rPr>
                <w:sz w:val="24"/>
                <w:szCs w:val="24"/>
                <w:color w:val="auto"/>
              </w:rPr>
            </w:pPr>
          </w:p>
        </w:tc>
        <w:tc>
          <w:tcPr>
            <w:tcW w:w="6380" w:type="dxa"/>
            <w:vAlign w:val="bottom"/>
            <w:gridSpan w:val="9"/>
          </w:tcPr>
          <w:p>
            <w:pPr>
              <w:jc w:val="right"/>
              <w:ind w:right="508"/>
              <w:spacing w:after="0"/>
              <w:rPr>
                <w:sz w:val="20"/>
                <w:szCs w:val="20"/>
                <w:color w:val="auto"/>
              </w:rPr>
            </w:pPr>
            <w:r>
              <w:rPr>
                <w:rFonts w:ascii="Arial" w:cs="Arial" w:eastAsia="Arial" w:hAnsi="Arial"/>
                <w:sz w:val="14"/>
                <w:szCs w:val="14"/>
                <w:color w:val="auto"/>
                <w:w w:val="93"/>
              </w:rPr>
              <w:t>The accompanying notes are an integral part of the Consolidated Financial Statements (Unaudited).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0" w:right="3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860" w:type="dxa"/>
            <w:vAlign w:val="bottom"/>
          </w:tcPr>
          <w:p>
            <w:pPr>
              <w:spacing w:after="0"/>
              <w:rPr>
                <w:sz w:val="18"/>
                <w:szCs w:val="18"/>
                <w:color w:val="auto"/>
              </w:rPr>
            </w:pPr>
          </w:p>
        </w:tc>
      </w:tr>
      <w:tr>
        <w:trPr>
          <w:trHeight w:val="257"/>
        </w:trPr>
        <w:tc>
          <w:tcPr>
            <w:tcW w:w="8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8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22"/>
                <w:szCs w:val="22"/>
                <w:color w:val="auto"/>
              </w:rPr>
            </w:pPr>
          </w:p>
        </w:tc>
      </w:tr>
      <w:tr>
        <w:trPr>
          <w:trHeight w:val="33"/>
        </w:trPr>
        <w:tc>
          <w:tcPr>
            <w:tcW w:w="8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1"/>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7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73,650</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115,718</w:t>
            </w:r>
          </w:p>
        </w:tc>
      </w:tr>
      <w:tr>
        <w:trPr>
          <w:trHeight w:val="33"/>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Provision for Credit Losses</w:t>
            </w:r>
          </w:p>
        </w:tc>
        <w:tc>
          <w:tcPr>
            <w:tcW w:w="40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74,000</w:t>
            </w:r>
          </w:p>
        </w:tc>
        <w:tc>
          <w:tcPr>
            <w:tcW w:w="7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7,000</w:t>
            </w:r>
          </w:p>
        </w:tc>
      </w:tr>
      <w:tr>
        <w:trPr>
          <w:trHeight w:val="33"/>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9,729</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8,232</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Amortization of Deferred Loan and Lease Fees</w:t>
            </w:r>
          </w:p>
        </w:tc>
        <w:tc>
          <w:tcPr>
            <w:tcW w:w="4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(586)</w:t>
            </w:r>
          </w:p>
        </w:tc>
        <w:tc>
          <w:tcPr>
            <w:tcW w:w="7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33"/>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and Accretion of Premiums/Discounts on Investment Securities, Net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11,395</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9,951</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Amortization of Operating Lease Right-of-Use Assets</w:t>
            </w:r>
          </w:p>
        </w:tc>
        <w:tc>
          <w:tcPr>
            <w:tcW w:w="40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6,155</w:t>
            </w:r>
          </w:p>
        </w:tc>
        <w:tc>
          <w:tcPr>
            <w:tcW w:w="7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6,359</w:t>
            </w:r>
          </w:p>
        </w:tc>
      </w:tr>
      <w:tr>
        <w:trPr>
          <w:trHeight w:val="33"/>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3,704</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4,438</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Benefit Plan Contributions</w:t>
            </w:r>
          </w:p>
        </w:tc>
        <w:tc>
          <w:tcPr>
            <w:tcW w:w="4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(718)</w:t>
            </w:r>
          </w:p>
        </w:tc>
        <w:tc>
          <w:tcPr>
            <w:tcW w:w="7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(887)</w:t>
            </w:r>
          </w:p>
        </w:tc>
      </w:tr>
      <w:tr>
        <w:trPr>
          <w:trHeight w:val="33"/>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(18,920)</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(2,711)</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Gains on Sale of Premises and Equipment</w:t>
            </w:r>
          </w:p>
        </w:tc>
        <w:tc>
          <w:tcPr>
            <w:tcW w:w="40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(558)</w:t>
            </w:r>
          </w:p>
        </w:tc>
      </w:tr>
      <w:tr>
        <w:trPr>
          <w:trHeight w:val="33"/>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Gains on Sales of Loans and Leases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(5,398)</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(2,166)</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Net Losses (Gains) on Sales of Investment Securities</w:t>
            </w:r>
          </w:p>
        </w:tc>
        <w:tc>
          <w:tcPr>
            <w:tcW w:w="4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(12,246)</w:t>
            </w:r>
          </w:p>
        </w:tc>
        <w:tc>
          <w:tcPr>
            <w:tcW w:w="7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1,611</w:t>
            </w:r>
          </w:p>
        </w:tc>
      </w:tr>
      <w:tr>
        <w:trPr>
          <w:trHeight w:val="33"/>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Sales of Loans Held for Sale</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238,053</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162,426</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Originations of Loans Held for Sale</w:t>
            </w:r>
          </w:p>
        </w:tc>
        <w:tc>
          <w:tcPr>
            <w:tcW w:w="4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(239,735)</w:t>
            </w:r>
          </w:p>
        </w:tc>
        <w:tc>
          <w:tcPr>
            <w:tcW w:w="7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(173,117)</w:t>
            </w:r>
          </w:p>
        </w:tc>
      </w:tr>
      <w:tr>
        <w:trPr>
          <w:trHeight w:val="33"/>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Tax Benefits from Share-Based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476</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Net Change in Other Assets and Other Liabilities</w:t>
            </w:r>
          </w:p>
        </w:tc>
        <w:tc>
          <w:tcPr>
            <w:tcW w:w="4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(103,794)</w:t>
            </w:r>
          </w:p>
        </w:tc>
        <w:tc>
          <w:tcPr>
            <w:tcW w:w="7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(36,486)</w:t>
            </w:r>
          </w:p>
        </w:tc>
      </w:tr>
      <w:tr>
        <w:trPr>
          <w:trHeight w:val="33"/>
        </w:trPr>
        <w:tc>
          <w:tcPr>
            <w:tcW w:w="8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35,765</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99,960</w:t>
            </w:r>
          </w:p>
        </w:tc>
      </w:tr>
      <w:tr>
        <w:trPr>
          <w:trHeight w:val="162"/>
        </w:trPr>
        <w:tc>
          <w:tcPr>
            <w:tcW w:w="8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Investment Securities Available-for-Sale:</w:t>
            </w: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Sales, Prepayments and Maturities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477,253</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1,423,672</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Purchases</w:t>
            </w:r>
          </w:p>
        </w:tc>
        <w:tc>
          <w:tcPr>
            <w:tcW w:w="4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(509,271)</w:t>
            </w:r>
          </w:p>
        </w:tc>
        <w:tc>
          <w:tcPr>
            <w:tcW w:w="7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5"/>
              </w:rPr>
              <w:t>(1,029,942)</w:t>
            </w:r>
          </w:p>
        </w:tc>
      </w:tr>
      <w:tr>
        <w:trPr>
          <w:trHeight w:val="33"/>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Securities Held-to-Maturity:</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Proceeds from Prepayments and Maturities</w:t>
            </w:r>
          </w:p>
        </w:tc>
        <w:tc>
          <w:tcPr>
            <w:tcW w:w="40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576,930</w:t>
            </w:r>
          </w:p>
        </w:tc>
        <w:tc>
          <w:tcPr>
            <w:tcW w:w="7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367,211</w:t>
            </w:r>
          </w:p>
        </w:tc>
      </w:tr>
      <w:tr>
        <w:trPr>
          <w:trHeight w:val="33"/>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(819,130)</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(864,955)</w:t>
            </w: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Net Change in Loans and Leases</w:t>
            </w:r>
          </w:p>
        </w:tc>
        <w:tc>
          <w:tcPr>
            <w:tcW w:w="4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(801,879)</w:t>
            </w:r>
          </w:p>
        </w:tc>
        <w:tc>
          <w:tcPr>
            <w:tcW w:w="7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(316,228)</w:t>
            </w:r>
          </w:p>
        </w:tc>
      </w:tr>
      <w:tr>
        <w:trPr>
          <w:trHeight w:val="33"/>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Premises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(19,923)</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(26,146)</w:t>
            </w: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Proceeds from Sale of Premises and Equipment</w:t>
            </w:r>
          </w:p>
        </w:tc>
        <w:tc>
          <w:tcPr>
            <w:tcW w:w="40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639</w:t>
            </w:r>
          </w:p>
        </w:tc>
      </w:tr>
      <w:tr>
        <w:trPr>
          <w:trHeight w:val="33"/>
        </w:trPr>
        <w:tc>
          <w:tcPr>
            <w:tcW w:w="8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Cash 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(1,096,020)</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(445,749)</w:t>
            </w:r>
          </w:p>
        </w:tc>
      </w:tr>
      <w:tr>
        <w:trPr>
          <w:trHeight w:val="162"/>
        </w:trPr>
        <w:tc>
          <w:tcPr>
            <w:tcW w:w="8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Net Change in Deposits</w:t>
            </w:r>
          </w:p>
        </w:tc>
        <w:tc>
          <w:tcPr>
            <w:tcW w:w="40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1,638,673</w:t>
            </w:r>
          </w:p>
        </w:tc>
        <w:tc>
          <w:tcPr>
            <w:tcW w:w="7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461,579</w:t>
            </w:r>
          </w:p>
        </w:tc>
      </w:tr>
      <w:tr>
        <w:trPr>
          <w:trHeight w:val="33"/>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Change in Short-Term Borrowings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(1,100)</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Proceeds from Long-Term Debt</w:t>
            </w:r>
          </w:p>
        </w:tc>
        <w:tc>
          <w:tcPr>
            <w:tcW w:w="40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50,000</w:t>
            </w:r>
          </w:p>
        </w:tc>
        <w:tc>
          <w:tcPr>
            <w:tcW w:w="7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of Long-Term Debt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(75,041)</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(25,038)</w:t>
            </w: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Proceeds from Issuance of Common Stock</w:t>
            </w:r>
          </w:p>
        </w:tc>
        <w:tc>
          <w:tcPr>
            <w:tcW w:w="40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6,115</w:t>
            </w:r>
          </w:p>
        </w:tc>
        <w:tc>
          <w:tcPr>
            <w:tcW w:w="7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4,214</w:t>
            </w:r>
          </w:p>
        </w:tc>
      </w:tr>
      <w:tr>
        <w:trPr>
          <w:trHeight w:val="33"/>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(17,781)</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(78,175)</w:t>
            </w: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Cash Dividends Paid</w:t>
            </w:r>
          </w:p>
        </w:tc>
        <w:tc>
          <w:tcPr>
            <w:tcW w:w="4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(53,679)</w:t>
            </w:r>
          </w:p>
        </w:tc>
        <w:tc>
          <w:tcPr>
            <w:tcW w:w="7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(52,201)</w:t>
            </w:r>
          </w:p>
        </w:tc>
      </w:tr>
      <w:tr>
        <w:trPr>
          <w:trHeight w:val="33"/>
        </w:trPr>
        <w:tc>
          <w:tcPr>
            <w:tcW w:w="8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Cash Provided by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1,547,187</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310,183</w:t>
            </w:r>
          </w:p>
        </w:tc>
      </w:tr>
      <w:tr>
        <w:trPr>
          <w:trHeight w:val="162"/>
        </w:trPr>
        <w:tc>
          <w:tcPr>
            <w:tcW w:w="8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486,932</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(35,606)</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40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558,658</w:t>
            </w:r>
          </w:p>
        </w:tc>
        <w:tc>
          <w:tcPr>
            <w:tcW w:w="7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525,969</w:t>
            </w:r>
          </w:p>
        </w:tc>
      </w:tr>
      <w:tr>
        <w:trPr>
          <w:trHeight w:val="33"/>
        </w:trPr>
        <w:tc>
          <w:tcPr>
            <w:tcW w:w="8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1,045,590</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490,363</w:t>
            </w:r>
          </w:p>
        </w:tc>
      </w:tr>
      <w:tr>
        <w:trPr>
          <w:trHeight w:val="20"/>
        </w:trPr>
        <w:tc>
          <w:tcPr>
            <w:tcW w:w="8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100" w:type="dxa"/>
            <w:vAlign w:val="bottom"/>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Interest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31,700</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44,077</w:t>
            </w: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Cash Paid for Income Taxes</w:t>
            </w:r>
          </w:p>
        </w:tc>
        <w:tc>
          <w:tcPr>
            <w:tcW w:w="40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6,895</w:t>
            </w:r>
          </w:p>
        </w:tc>
        <w:tc>
          <w:tcPr>
            <w:tcW w:w="7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29,868</w:t>
            </w:r>
          </w:p>
        </w:tc>
      </w:tr>
      <w:tr>
        <w:trPr>
          <w:trHeight w:val="33"/>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Investing and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Initial Recognition of Operating Lease Right-of-Use Assets</w:t>
            </w:r>
          </w:p>
        </w:tc>
        <w:tc>
          <w:tcPr>
            <w:tcW w:w="40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106,514</w:t>
            </w:r>
          </w:p>
        </w:tc>
      </w:tr>
      <w:tr>
        <w:trPr>
          <w:trHeight w:val="33"/>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Initial Recognition of Operating Lease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113,394</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Transfer from Investment Securities Held-To-Maturity to Investment Securities Available-For-Sale</w:t>
            </w:r>
          </w:p>
        </w:tc>
        <w:tc>
          <w:tcPr>
            <w:tcW w:w="40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1,014,859</w:t>
            </w:r>
          </w:p>
        </w:tc>
      </w:tr>
      <w:tr>
        <w:trPr>
          <w:trHeight w:val="33"/>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81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Transfer from Loans to Foreclosed Real Estate</w:t>
            </w: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1,869</w:t>
            </w:r>
          </w:p>
        </w:tc>
      </w:tr>
      <w:tr>
        <w:trPr>
          <w:trHeight w:val="33"/>
        </w:trPr>
        <w:tc>
          <w:tcPr>
            <w:tcW w:w="8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 Consolidated Financial Statements (Unaudited).</w:t>
      </w:r>
    </w:p>
    <w:p>
      <w:pPr>
        <w:sectPr>
          <w:pgSz w:w="11900" w:h="16838" w:orient="portrait"/>
          <w:cols w:equalWidth="0" w:num="1">
            <w:col w:w="11240"/>
          </w:cols>
          <w:pgMar w:left="320" w:top="130" w:right="339" w:bottom="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341" w:right="1440"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Bank of Hawaii Corporation and its subsidiaries (collectively, the “Company”) provide a broad range of financial products and services to customers in Hawaii, Guam, and other Pacific Islands. The accompanying consolidated financial statements include the accounts of the Parent and its subsidiaries. The Parent’s principal operating subsidiary is Bank of Hawaii (the “Bank”).</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consolidated financial statements in this report have not been audited by an independent registered public accounting firm, but, in the opinion of management, reflect all adjustments necessary for a fair presentation of the results for the interim periods. All such adjustments are of a normal recurring nature. Intercompany accounts and transactions have been eliminated in consolidation. Certain prior period information has been reclassified to conform to the current period presentation. Operating results for the interim periods disclosed herein are not necessarily indicative of the results that may be expected for the full fiscal year or for any future period.</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for interim financial information and with the instructions to Form 10-Q and Rule 10-01 of Regulation S-X. Accordingly, they do not include all of the information and accompanying notes required by GAAP for complete financial statements and should be read in conjunction with the audited consolidated financial statements and related notes included in the Company’s Annual Report on Form 10-K for the year ended December 31,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in the financial statements and accompanying notes. Actual results may differ from those estimates and such differences could be material to the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Variable interests are defined as contractual ownership or other interests in an entity that change with fluctuations in an entity’s net asset value. The primary beneficiary consolidates the variable interest entity (“VIE”). The primary beneficiary is defined as the enterprise that has both (i) the power to direct the activities of the VIE that most significantly impact the entity’s economic performance and (ii) the obligation to absorb losses or the right to receive benefits that could be significant to the VIE.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participates in limited partnerships or limited liability companies that sponsor low-income housing projects. These entities provide funds for the construction and operation of apartment complexes that provide affordable housing to lower-income households. If these developments successfully attract a specified percentage of residents falling in that lower-income range, state and/or federal income tax credits are made available to the partners. The tax credits are generally recognized over 10 years for federal and 5 years for state. In order to continue receiving the tax credits each year over the life of the entity, the low-income residency targets must be maintained.</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Prior to January 1, 2015, the Company utilized the effective yield method whereby the Company recognized tax credits generally over 10 years and amortized the initial cost of the investment to provide a constant effective yield over the period that tax credits are allocated to the Company. On January 1, 2015, the Company adopted ASU No. 2014-01, </w:t>
      </w:r>
      <w:r>
        <w:rPr>
          <w:rFonts w:ascii="Arial" w:cs="Arial" w:eastAsia="Arial" w:hAnsi="Arial"/>
          <w:sz w:val="17"/>
          <w:szCs w:val="17"/>
          <w:i w:val="1"/>
          <w:iCs w:val="1"/>
          <w:color w:val="auto"/>
        </w:rPr>
        <w:t>“Accounting for Investments in Qualified Affordable Housing Projects”</w:t>
      </w:r>
      <w:r>
        <w:rPr>
          <w:rFonts w:ascii="Arial" w:cs="Arial" w:eastAsia="Arial" w:hAnsi="Arial"/>
          <w:sz w:val="17"/>
          <w:szCs w:val="17"/>
          <w:color w:val="auto"/>
        </w:rPr>
        <w:t xml:space="preserve"> prospectively for new investments. ASU No. 2014-01 permits reporting entities to make an accounting policy election to account for their investments in qualified affordable housing projects using the proportional amortization method if certain conditions are met. As permitted by ASU No. 2014-01, the Company elected to continue to utilize the effective yield method for investments made prior to January 1, 2015.</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30" w:right="3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 xml:space="preserve">Unfunded commitments to fund these low-income housing entities were $13.5 million and $21.3 million as of June 30, 2020, and December 31, 2019, respectively. These unfunded commitments are unconditional and legally binding and are recorded in other liabilities in the consolidated statements of condition. See Note 6 </w:t>
      </w:r>
      <w:r>
        <w:rPr>
          <w:rFonts w:ascii="Arial" w:cs="Arial" w:eastAsia="Arial" w:hAnsi="Arial"/>
          <w:sz w:val="17"/>
          <w:szCs w:val="17"/>
          <w:i w:val="1"/>
          <w:iCs w:val="1"/>
          <w:color w:val="auto"/>
        </w:rPr>
        <w:t>Affordable Housing Projects Tax Credit Partnerships</w:t>
      </w:r>
      <w:r>
        <w:rPr>
          <w:rFonts w:ascii="Arial" w:cs="Arial" w:eastAsia="Arial" w:hAnsi="Arial"/>
          <w:sz w:val="17"/>
          <w:szCs w:val="17"/>
          <w:color w:val="auto"/>
        </w:rPr>
        <w:t xml:space="preserve"> for more information.</w:t>
      </w:r>
    </w:p>
    <w:p>
      <w:pPr>
        <w:spacing w:after="0" w:line="16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Company also has limited partnership interests in solar energy tax credit partnership investments. These partnerships develop, build, own and operate solar renewable energy projects. Over the course of these investments, the Company expects to receive federal and state tax credits, tax-related benefits, and excess cash available for distribution, if any. The Company may be called to sell its interest in the limited partnerships through a call option once all investment tax credits have been recognized. Tax benefits associated with these investments are generally recognized over 6 years.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Although these entities meet the definition of a VIE, the Company is not the primary beneficiary of the entities, as the general partner has both the power to direct the activities that most significantly impact the economic performance of the entities and the obligation to absorb losses or the right to receive benefits that could be significant to the entities. While the partnership agreements allow the limited partners, through a majority vote, to remove the general partner, this right is not deemed to be substantive as the general partner can only be removed for cause.</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investments in these entities are initially recorded at cost, which approximates the maximum exposure to loss as a result of the Company’s involvement with these unconsolidated entities. The balance of the Company’s investments in these entities was $95.8 million and $84.6 million as of June 30, 2020, and December 31, 2019, respectively, and is included in other assets in the consolidated statements of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Loans and Leases</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current expected credit loss (“CECL”) approach requires an estimate of the credit losses expected over the life of an exposure (or pool of exposures). It replaces the incurred loss approach’s threshold that delayed the recognition of a credit loss until it was probable a loss event was incurred.</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estimate of expected credit losses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historical period used. The Company considers future economic conditions and portfolio performance as part of a reasonable and supportable forecast period.</w:t>
      </w:r>
    </w:p>
    <w:p>
      <w:pPr>
        <w:spacing w:after="0" w:line="18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Portfolio segment is defined as the level at which an entity develops and documents a systematic methodology to determine its allowance for credit losses (“ACL”). The Company has designated two portfolio segments of loans and leases, commercial and consumer. These portfolio segments are further disaggregated into classes, which represent loans and leases of similar type, risk characteristics, and methods for monitoring and assessing credit risk. The commercial portfolio segment is disaggregated into four classes, commercial and industrial, commercial mortgage, construction, and lease financing. The consumer portfolio segment is also disaggregated into four classes, residential mortgage, home equity, auto, and other (which is comprised of revolving credit, installment, and consumer lease financing arrangements). Each commercial and consumer portfolio class is also segmented based on risk characteristics.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 portfolio segment</w:t>
      </w:r>
    </w:p>
    <w:p>
      <w:pPr>
        <w:spacing w:after="0" w:line="23"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The historical loss experience for the commercial portfolio segment is primarily determined using a Cohort method. This method pools loans into groups (“cohorts”) sharing similar risk characteristics and tracks each cohort’s historical net charge-offs to calculate a historical loss rate. The historical loss rates for each cohort are then averaged to calculate an overall historical loss rate which is applied to current loan balances to arrive at the quantitative baseline portion of the ACL for most of the commercial portfolio segment.</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also considers qualitative adjustments to the quantitative baseline. For example, the Company considers the impact of current environmental factors at the reporting date that did not exist over the period from which historical experience was used. Relevant factors include, but are not limited to, concentrations of credit risk (geographic, large borrower, and industry), economic trends and conditions, changes in underwriting standards, experience and depth of lending staff, trends in delinquencies, and the level of criticized loans.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0" w:right="3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also incorporates a one-year reasonable and supportable (“R&amp;S”) loss forecast period to account for the effect of forecasted economic conditions and other factors on the performance of the commercial portfolio, which could differ from historical loss experience. The Company performs a quarterly asset quality review which includes a review of forecasted gross charge-offs and recoveries, nonperforming assets, criticized loans and leases, and risk rating migration. The asset quality review is reviewed by management and the results are used to consider a qualitative overlay to the quantitative baseline. After the one-year R&amp;S loss forecast period, this overlay adjustment assumes an immediate reversion to historical loss rates for the remaining expected life of the loan.</w:t>
      </w:r>
    </w:p>
    <w:p>
      <w:pPr>
        <w:spacing w:after="0" w:line="19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establishes a specific reserve for individually evaluated loans which do not share similar risk characteristics with the loans included in the quantitative baseline. These individually evaluated loans are removed from the pooling approach discussed above for the quantitative baseline, and include non-accrual loans, troubled debt restructurings (“TDRs”), and other loans as deemed appropriate by management. In addition, the Company individually evaluates “reasonably expected” TDRs, which are identified by the Company as a commercial loan expected to be classified as a TDR within the next six months. Management judgment is utilized to make this determination.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Consumer portfolio segment</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historical loss experience for the consumer portfolio segment is primarily determined using a Vintage method. This method measures historical loss behavior in the form of a historical loss rate for homogenous loan pools that originate in the same period, known as a vintage. The historical loss rates are then applied to origination loan balances by vintage to determine the quantitative baseline portion of the ACL for most of the consumer portfolio segment. The homogenous loan pools are segmented according to similar risk characteristics (e.g., residential mortgage, home equity) and may be sub-segmented further (e.g., geography, lien position) depending on the product.</w:t>
      </w:r>
    </w:p>
    <w:p>
      <w:pPr>
        <w:spacing w:after="0" w:line="19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After determining the ACL quantitative baseline, the Company also considers qualitative adjustments to the quantitative baseline. For example, the Company considers the impact of current environmental factors at the reporting date that did not exist over the period from which historical experience was used. The environmental factors considered for the consumer portfolio are similar to the aforementioned factors considered for the commercial portfolio.</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also incorporates a one-year R&amp;S loss forecast period to account for forecasted economic conditions and other factors on the performance of the consumer portfolio which could differ from historical loss experience. The Company performs a quarterly asset quality review designed to estimate gross charge-offs and recoveries for the forecast period. Management evaluates additional factors that may not be reflected in the net charge-off forecast to determine whether a qualitative overlay adjustment is warranted.</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the January 1, 2020, implementation date, and following the one-year R&amp;S loss forecast period, the Company chose a reversion back to average historical loss rates using a straight line method based on forecasted and relatively benign economic conditions at the measurement date, with the exception of the home equity portfolio. For the home equity portfolio, the Company elected to revert back to average historical loss rates using a straight line method over the halfway point of the average life of the portfolio. The halfway point is used for the home equity portfolio given the longer average life length compared to the other consumer portfolios.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June 30, 2020, following the one-year R&amp;S loss forecast period, the Company chose an immediate reversion back to average historical loss rates. The reversion method was due to the impact of COVID-19 which created a much more volatile and uncertain economic outlook. The Company is forecasting that losses during the R&amp;S loss forecast period will be impacted by the unprecedented fiscal, monetary and regulatory programs to support the economy, as well as the assistance the Company is providing to borrowers through its various credit assistance programs. Given this forecast and the uncertainty of the impact of COVID-19 after the one-year R&amp;S loss forecast period, the Company determined that an immediate reversion was appropriate for this measurement date.</w:t>
      </w:r>
    </w:p>
    <w:p>
      <w:pPr>
        <w:spacing w:after="0" w:line="19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establishes a specific reserve for individually evaluated loans that do not share similar risk characteristics with the loans included in the quantitative baseline. These individually evaluated loans include “reasonably expected” TDRs, identified by the Company as a consumer loan for which a borrower’s application of loan modification due to hardship has been approved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Loans and Leases and the Allowance for Credit Losses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30" w:right="3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Held-to-Maturity (“HTM”) Debt Securities</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Company’s HTM debt securities are also required to utilize the CECL approach to estimate expected credit losses. Substantially all of the Company’s HTM debt securities are issued by U.S. government agencies or U.S. government-sponsored enterprises. These securities carry the explicit and/or implicit guarantee of the U.S. government, are widely recognized as “risk free,” and have a long history of zero credit loss. Therefore, the Company did not record an allowance for credit losses for these securities.</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The Company also carries a limited portfolio of HTM municipal bonds. As of June 30, 2020, the entire portfolio consisted of State of Hawaii bonds carrying a Moody’s rating of Aa1, with a portion of these bonds escrowed to maturity. To estimate the expected credit losses, the Company utilized the probability of default (“PD”)/loss given default (“LGD”) methodology. The PD, which represents the percentage likelihood that a bond will default over a given time period, is primarily based upon the bond’s current credit rating and maturity and computed using Moody’s rating transition matrix, which provides the probability of a rating migrating to default within a one-year period (adjustments are made for longer maturities). The LGD, which represents the percentage of loss if a default occurs, is based on the median recovery rate for municipals according to Moody’s. The Company’s exposure at default, represented by the carrying value of the municipal bond portfolio, is multiplied with the PD and the LGD to arrive at the expected credit loss. Management may exercise discretion to make adjustments based on environmental factors. As of June 30, 2020, the Company determined that the expected credit loss on its municipal bond portfolio was de minimis, and therefore, an allowance for credit losses was not recorded. See Note 3 </w:t>
      </w:r>
      <w:r>
        <w:rPr>
          <w:rFonts w:ascii="Arial" w:cs="Arial" w:eastAsia="Arial" w:hAnsi="Arial"/>
          <w:sz w:val="17"/>
          <w:szCs w:val="17"/>
          <w:i w:val="1"/>
          <w:iCs w:val="1"/>
          <w:color w:val="auto"/>
        </w:rPr>
        <w:t>Investment Securities</w:t>
      </w:r>
      <w:r>
        <w:rPr>
          <w:rFonts w:ascii="Arial" w:cs="Arial" w:eastAsia="Arial" w:hAnsi="Arial"/>
          <w:sz w:val="17"/>
          <w:szCs w:val="17"/>
          <w:color w:val="auto"/>
        </w:rPr>
        <w:t xml:space="preserve">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Available-for-Sale (“AFS”) Debt Securities</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The impairment model for available-for-sale (“AFS”) debt securities differs from the CECL approach utilized by HTM debt securities because AFS debt securities are measured at fair value rather than amortized cost. Although ASU No. 2016-13 replaced the legacy other-than-temporary impairment (“OTTI”) model with a credit loss model, it retained the fundamental nature of the legacy OTTI model. One notable change from the legacy OTTI model is when evaluating whether credit loss exists, an entity may no longer consider the length of time fair value has been less than amortized cost. For AFS debt securities in an unrealized loss position, the Company first assesses whether it intends to sell, or it is more likely than not that it will be required to sell the security before recovery of its amortized cost basis. If either criteria is met, the security’s amortized cost basis is written down to fair value through income. For AFS debt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 Changes in the allowance for credit losses are recorded as a provision for (or reversal of) credit losses. Losses are charged against the allowance when management believes the uncollectibility of an AFS security is confirmed or when either of the criteria regarding intent or requirement to sell is met. As of June 30, 2020, the Company determined that the unrealized loss positions in AFS securities were not the result of credit losses, and therefore, an allowance for credit losses was not recorded. See Note 3 </w:t>
      </w:r>
      <w:r>
        <w:rPr>
          <w:rFonts w:ascii="Arial" w:cs="Arial" w:eastAsia="Arial" w:hAnsi="Arial"/>
          <w:sz w:val="17"/>
          <w:szCs w:val="17"/>
          <w:i w:val="1"/>
          <w:iCs w:val="1"/>
          <w:color w:val="auto"/>
        </w:rPr>
        <w:t>Investment Securities</w:t>
      </w:r>
      <w:r>
        <w:rPr>
          <w:rFonts w:ascii="Arial" w:cs="Arial" w:eastAsia="Arial" w:hAnsi="Arial"/>
          <w:sz w:val="17"/>
          <w:szCs w:val="17"/>
          <w:color w:val="auto"/>
        </w:rPr>
        <w:t xml:space="preserve"> for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Upon adoption of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and its related amendments on January 1, 2020,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made the following elections regarding accrued interest receivable:</w:t>
      </w:r>
    </w:p>
    <w:p>
      <w:pPr>
        <w:spacing w:after="0" w:line="1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Presenting accrued interest receivable balances separately within another consolidated statements of condition line item.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Excluding accrued interest receivable that is included in the amortized cost of financing receivables from related disclosure requirements.</w:t>
      </w:r>
    </w:p>
    <w:p>
      <w:pPr>
        <w:spacing w:after="0" w:line="20" w:lineRule="exact"/>
        <w:rPr>
          <w:rFonts w:ascii="Arial" w:cs="Arial" w:eastAsia="Arial" w:hAnsi="Arial"/>
          <w:sz w:val="17"/>
          <w:szCs w:val="17"/>
          <w:color w:val="auto"/>
        </w:rPr>
      </w:pPr>
    </w:p>
    <w:p>
      <w:pPr>
        <w:ind w:left="660" w:hanging="328"/>
        <w:spacing w:after="0" w:line="27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Continuing our policy to write off accrued interest receivable by reversing interest income. For commercial loans, the write off typically occurs upon becoming 90 days past due. For consumer loans, the write off typically occurs upon becoming 120 days past due. Historically, the Company has not experienced uncollectible accrued interest receivable on its investment securities. However, the Company would generally write off accrued interest receivable by reversing interest income if the Company does not reasonably expect to receive payments. Due to the timely manner in which accrued interest receivables are written off, the amounts of such write offs are immaterial.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30" w:right="3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right="4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measuring an allowance for credit losses for accrued interest receivable due to the Company’s policy of writing off uncollectible accrued interest receivable balances in a timely manner, as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Collateral-Dependent Loans</w:t>
      </w:r>
    </w:p>
    <w:p>
      <w:pPr>
        <w:spacing w:after="0" w:line="22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 financial asset is considered collateral-dependent when the debtor is experiencing financial difficulty and repayment is expected to be provided substantially through the sale or operation of the collateral. For all classes of loans and leases deemed collateral-dependent, the Company elected the practical expedient to estimate expected credit losses based on the collateral’s fair value less cost to sell. In most cases, the Company records a partial charge-off to reduce the loan’s carrying value to the collateral’s fair value less cost to sell. Substantially all of the collateral consists of various types of real estate including residential properties; commercial properties such as retail centers, office buildings, and lodging; agriculture land; and vacant land.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Unfunded Commitments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reserve for unfunded commitments (the “Unfunded Reserve”) represents the expected credit losses on off-balance sheet commitments such as unfunded commitments to extend credit and standby letters of credit. However, a liability is not recognized for commitments unconditionally cancellable by the Company. The Unfunded Reserve is recognized as a liability (other liabilities in the consolidated statements of condition), with adjustments to the reserve recognized in other noninterest expense in the consolidated statements of income. The Unfunded Reserve is determined by estimating future draws and applying the expected loss rates on those draws. Future draws are based on historical averages of utilization rates (i.e., the likelihood of draws taken). To estimate future draws on unfunded balances, current utilization rates are compared to historical utilization rates. If current utilization rates are below historical utilization rates, the rate difference is applied to the committed balance to estimate the future draw. Loss rates are estimated by utilizing the same loss rates calculated for the Allowance general reserves. For the commercial portfolio, the historical loss rates were calculated utilizing the Cohort methodology, while the consumer portfolio utilized the Vintage methodology.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Accounting and Reporting Considerations related to COVID-19</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COVID-19 pandemic has negatively impacted the global economy, including Hawaii and the Pacific Islands. In response to this crisis, the Coronavirus Aid, Relief, and Economic Security (“CARES”) Act was passed by Congress and signed into law on March 27, 2020. The CARES Act provides an estimated $2.2 trillion to fight the COVID-19 pandemic and stimulate the economy by supporting individuals and businesses through loans, grants, tax changes, and other types of relief. Some of the provisions applicable to the Company include, but are not limited to:</w:t>
      </w:r>
    </w:p>
    <w:p>
      <w:pPr>
        <w:spacing w:after="0" w:line="171" w:lineRule="exact"/>
        <w:rPr>
          <w:sz w:val="20"/>
          <w:szCs w:val="20"/>
          <w:color w:val="auto"/>
        </w:rPr>
      </w:pPr>
    </w:p>
    <w:p>
      <w:pPr>
        <w:ind w:left="660" w:right="10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Accounting for Loan Modifications </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231F20"/>
        </w:rPr>
        <w:t>CARES Act provides that a financial institution may elect to suspend (1) the requirements under GAAP</w:t>
      </w:r>
      <w:r>
        <w:rPr>
          <w:rFonts w:ascii="Arial" w:cs="Arial" w:eastAsia="Arial" w:hAnsi="Arial"/>
          <w:sz w:val="18"/>
          <w:szCs w:val="18"/>
          <w:i w:val="1"/>
          <w:iCs w:val="1"/>
          <w:color w:val="auto"/>
        </w:rPr>
        <w:t xml:space="preserve"> </w:t>
      </w:r>
      <w:r>
        <w:rPr>
          <w:rFonts w:ascii="Arial" w:cs="Arial" w:eastAsia="Arial" w:hAnsi="Arial"/>
          <w:sz w:val="18"/>
          <w:szCs w:val="18"/>
          <w:color w:val="231F20"/>
        </w:rPr>
        <w:t xml:space="preserve">for certain loan modifications that would otherwise be categorized as a TDR and (2) any determination that such loan modifications would be considered a TDR, including the related impairment for accounting purposes. </w:t>
      </w:r>
      <w:r>
        <w:rPr>
          <w:rFonts w:ascii="Arial" w:cs="Arial" w:eastAsia="Arial" w:hAnsi="Arial"/>
          <w:sz w:val="18"/>
          <w:szCs w:val="18"/>
          <w:color w:val="000000"/>
        </w:rPr>
        <w:t>See Note 4</w:t>
      </w:r>
      <w:r>
        <w:rPr>
          <w:rFonts w:ascii="Arial" w:cs="Arial" w:eastAsia="Arial" w:hAnsi="Arial"/>
          <w:sz w:val="18"/>
          <w:szCs w:val="18"/>
          <w:color w:val="231F20"/>
        </w:rPr>
        <w:t xml:space="preserve"> </w:t>
      </w:r>
      <w:r>
        <w:rPr>
          <w:rFonts w:ascii="Arial" w:cs="Arial" w:eastAsia="Arial" w:hAnsi="Arial"/>
          <w:sz w:val="18"/>
          <w:szCs w:val="18"/>
          <w:i w:val="1"/>
          <w:iCs w:val="1"/>
          <w:color w:val="000000"/>
        </w:rPr>
        <w:t>Loans and Leases and the Allowance for Credit Losses</w:t>
      </w:r>
      <w:r>
        <w:rPr>
          <w:rFonts w:ascii="Arial" w:cs="Arial" w:eastAsia="Arial" w:hAnsi="Arial"/>
          <w:sz w:val="18"/>
          <w:szCs w:val="18"/>
          <w:color w:val="231F20"/>
        </w:rPr>
        <w:t xml:space="preserve"> </w:t>
      </w:r>
      <w:r>
        <w:rPr>
          <w:rFonts w:ascii="Arial" w:cs="Arial" w:eastAsia="Arial" w:hAnsi="Arial"/>
          <w:sz w:val="18"/>
          <w:szCs w:val="18"/>
          <w:color w:val="000000"/>
        </w:rPr>
        <w:t>for more information.</w:t>
      </w:r>
    </w:p>
    <w:p>
      <w:pPr>
        <w:spacing w:after="0" w:line="186" w:lineRule="exact"/>
        <w:rPr>
          <w:rFonts w:ascii="Arial" w:cs="Arial" w:eastAsia="Arial" w:hAnsi="Arial"/>
          <w:sz w:val="18"/>
          <w:szCs w:val="18"/>
          <w:color w:val="auto"/>
        </w:rPr>
      </w:pPr>
    </w:p>
    <w:p>
      <w:pPr>
        <w:ind w:left="660" w:right="160" w:hanging="328"/>
        <w:spacing w:after="0" w:line="31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Paycheck Protection Program </w:t>
      </w:r>
      <w:r>
        <w:rPr>
          <w:rFonts w:ascii="Arial" w:cs="Arial" w:eastAsia="Arial" w:hAnsi="Arial"/>
          <w:sz w:val="16"/>
          <w:szCs w:val="16"/>
          <w:color w:val="auto"/>
        </w:rPr>
        <w:t>- The CARES Act established the Paycheck Protection Program (“PPP”), an expansion of the Small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Administration’s (“SBA”) 7(a) loan program and the Economic Injury Disaster Loan Program (“EIDL”), administered directly by the SBA. The Company is a participant in the PPP. See Note 4 </w:t>
      </w:r>
      <w:r>
        <w:rPr>
          <w:rFonts w:ascii="Arial" w:cs="Arial" w:eastAsia="Arial" w:hAnsi="Arial"/>
          <w:sz w:val="16"/>
          <w:szCs w:val="16"/>
          <w:i w:val="1"/>
          <w:iCs w:val="1"/>
          <w:color w:val="auto"/>
        </w:rPr>
        <w:t>Loans and Leases and the Allowance for Credit Losses</w:t>
      </w:r>
      <w:r>
        <w:rPr>
          <w:rFonts w:ascii="Arial" w:cs="Arial" w:eastAsia="Arial" w:hAnsi="Arial"/>
          <w:sz w:val="16"/>
          <w:szCs w:val="16"/>
          <w:color w:val="auto"/>
        </w:rPr>
        <w:t xml:space="preserve"> for more information.</w:t>
      </w:r>
    </w:p>
    <w:p>
      <w:pPr>
        <w:spacing w:after="0" w:line="148" w:lineRule="exact"/>
        <w:rPr>
          <w:rFonts w:ascii="Arial" w:cs="Arial" w:eastAsia="Arial" w:hAnsi="Arial"/>
          <w:sz w:val="16"/>
          <w:szCs w:val="16"/>
          <w:color w:val="auto"/>
        </w:rPr>
      </w:pPr>
    </w:p>
    <w:p>
      <w:pPr>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Mortgage Forbearance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231F20"/>
        </w:rPr>
        <w:t>Under the CARES Act, through the earlier of December 31, 2020, or the termination date of the COVID-19 national</w:t>
      </w:r>
      <w:r>
        <w:rPr>
          <w:rFonts w:ascii="Arial" w:cs="Arial" w:eastAsia="Arial" w:hAnsi="Arial"/>
          <w:sz w:val="18"/>
          <w:szCs w:val="18"/>
          <w:i w:val="1"/>
          <w:iCs w:val="1"/>
          <w:color w:val="auto"/>
        </w:rPr>
        <w:t xml:space="preserve"> </w:t>
      </w:r>
      <w:r>
        <w:rPr>
          <w:rFonts w:ascii="Arial" w:cs="Arial" w:eastAsia="Arial" w:hAnsi="Arial"/>
          <w:sz w:val="18"/>
          <w:szCs w:val="18"/>
          <w:color w:val="231F20"/>
        </w:rPr>
        <w:t>emergency, a borrower with a federally backed mortgage loan that is experiencing financial hardship due to COVID-19 may request a forbearance. A multifamily borrower with a federally backed multifamily mortgage loan that was current as of February 1, 2020, and is experiencing financial hardship due to COVID-19 may request forbearance on the loan for up to 30 days, with up to two additional 30-day periods at the borrower’s request.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0" w:right="3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Also in response to the COVID-19 pandemic, the Board of Governors of the Federal Reserve System (“FRB”), the Federal Deposit Insurance Corporation (“FDIC”), the National Credit Union Administration (“NCUA”), the Office of the Comptroller of the Currency (“OCC”), and the Consumer Financial Protection Bureau (“CFPB”), in consultation with the state financial regulators (collectively, the “agencies”) issued a joint interagency statement (issued March 22, 2020; revised statement issued April 7, 2020). Some of the provisions applicable to the Company include, but are not limited to:</w:t>
      </w:r>
    </w:p>
    <w:p>
      <w:pPr>
        <w:spacing w:after="0" w:line="157" w:lineRule="exact"/>
        <w:rPr>
          <w:sz w:val="20"/>
          <w:szCs w:val="20"/>
          <w:color w:val="auto"/>
        </w:rPr>
      </w:pPr>
    </w:p>
    <w:p>
      <w:pPr>
        <w:ind w:left="660" w:right="20" w:hanging="328"/>
        <w:spacing w:after="0" w:line="25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Accounting for Loan Modifications </w:t>
      </w:r>
      <w:r>
        <w:rPr>
          <w:rFonts w:ascii="Arial" w:cs="Arial" w:eastAsia="Arial" w:hAnsi="Arial"/>
          <w:sz w:val="18"/>
          <w:szCs w:val="18"/>
          <w:color w:val="auto"/>
        </w:rPr>
        <w:t>- Loan modifications that do not meet the conditions of the CARES Act may still qualify as a modification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does not need to be accounted for as a TDR. The agencies confirmed with FASB staff that short-term modifications made on a good faith basis in response to COVID-19 to borrowers who were current prior to any relief are not TDRs. This includes short-term (e.g., six months) modifications such as payment deferrals, fee waivers, extensions of repayment terms, or insignificant delays in payment. See Note 4 </w:t>
      </w:r>
      <w:r>
        <w:rPr>
          <w:rFonts w:ascii="Arial" w:cs="Arial" w:eastAsia="Arial" w:hAnsi="Arial"/>
          <w:sz w:val="18"/>
          <w:szCs w:val="18"/>
          <w:i w:val="1"/>
          <w:iCs w:val="1"/>
          <w:color w:val="auto"/>
        </w:rPr>
        <w:t>Loans and Leases and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Allowance for Credit Losses </w:t>
      </w:r>
      <w:r>
        <w:rPr>
          <w:rFonts w:ascii="Arial" w:cs="Arial" w:eastAsia="Arial" w:hAnsi="Arial"/>
          <w:sz w:val="18"/>
          <w:szCs w:val="18"/>
          <w:color w:val="auto"/>
        </w:rPr>
        <w:t>for more information.</w:t>
      </w:r>
    </w:p>
    <w:p>
      <w:pPr>
        <w:spacing w:after="0" w:line="187" w:lineRule="exact"/>
        <w:rPr>
          <w:rFonts w:ascii="Arial" w:cs="Arial" w:eastAsia="Arial" w:hAnsi="Arial"/>
          <w:sz w:val="18"/>
          <w:szCs w:val="18"/>
          <w:i w:val="1"/>
          <w:iCs w:val="1"/>
          <w:color w:val="auto"/>
        </w:rPr>
      </w:pPr>
    </w:p>
    <w:p>
      <w:pPr>
        <w:ind w:left="660" w:right="200" w:hanging="328"/>
        <w:spacing w:after="0" w:line="31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Past Due Reporting </w:t>
      </w:r>
      <w:r>
        <w:rPr>
          <w:rFonts w:ascii="Arial" w:cs="Arial" w:eastAsia="Arial" w:hAnsi="Arial"/>
          <w:sz w:val="16"/>
          <w:szCs w:val="16"/>
          <w:color w:val="auto"/>
        </w:rPr>
        <w:t>- With regard to loans not otherwise reportable as past due, financial institutions are not expected to designate loans with</w:t>
      </w:r>
      <w:r>
        <w:rPr>
          <w:rFonts w:ascii="Arial" w:cs="Arial" w:eastAsia="Arial" w:hAnsi="Arial"/>
          <w:sz w:val="16"/>
          <w:szCs w:val="16"/>
          <w:i w:val="1"/>
          <w:iCs w:val="1"/>
          <w:color w:val="auto"/>
        </w:rPr>
        <w:t xml:space="preserve"> </w:t>
      </w:r>
      <w:r>
        <w:rPr>
          <w:rFonts w:ascii="Arial" w:cs="Arial" w:eastAsia="Arial" w:hAnsi="Arial"/>
          <w:sz w:val="16"/>
          <w:szCs w:val="16"/>
          <w:color w:val="auto"/>
        </w:rPr>
        <w:t>deferrals granted due to COVID-19 as past due because of the deferral. A loan’s payment date is governed by the due date stipulated in the legal agreement. If a financial institution agrees to a payment deferral, these loans would not be considered past due during the period of the deferral.</w:t>
      </w:r>
    </w:p>
    <w:p>
      <w:pPr>
        <w:spacing w:after="0" w:line="1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Nonaccrual Status and Charge-offs </w:t>
      </w:r>
      <w:r>
        <w:rPr>
          <w:rFonts w:ascii="Arial" w:cs="Arial" w:eastAsia="Arial" w:hAnsi="Arial"/>
          <w:sz w:val="18"/>
          <w:szCs w:val="18"/>
          <w:color w:val="auto"/>
        </w:rPr>
        <w:t>- During short-term COVID-19 modifications, these loans generally should not be reported as nonaccrual or as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April 2020, the FASB staff issued a Q&amp;A document on accounting for lease concessions related to the effects of the COVID-19 pandemic. The FASB staff noted that entities may elect to not evaluate whether certain concessions provided by lessors to mitigate the effects of COVID-19 on lessees are lease modifications. This option is intended to reduce the operational challenges of individually assessing every COVID-19 related lease concession to determine whether it results in having to apply Topic 842 lease modification guidance. </w:t>
      </w:r>
      <w:r>
        <w:rPr>
          <w:rFonts w:ascii="Arial" w:cs="Arial" w:eastAsia="Arial" w:hAnsi="Arial"/>
          <w:sz w:val="17"/>
          <w:szCs w:val="17"/>
          <w:color w:val="231F20"/>
        </w:rPr>
        <w:t>This election is available only for concessions related to the effects of the</w:t>
      </w:r>
      <w:r>
        <w:rPr>
          <w:rFonts w:ascii="Arial" w:cs="Arial" w:eastAsia="Arial" w:hAnsi="Arial"/>
          <w:sz w:val="17"/>
          <w:szCs w:val="17"/>
          <w:color w:val="auto"/>
        </w:rPr>
        <w:t xml:space="preserve"> </w:t>
      </w:r>
      <w:r>
        <w:rPr>
          <w:rFonts w:ascii="Arial" w:cs="Arial" w:eastAsia="Arial" w:hAnsi="Arial"/>
          <w:sz w:val="17"/>
          <w:szCs w:val="17"/>
          <w:color w:val="231F20"/>
        </w:rPr>
        <w:t>COVID-19 pandemic that do not result in a substantial increase in either the rights of the lessor or the obligations of the lessee. For entities that choose this election, they may account for the concession as if no changes to the lease contract were made. Under that accounting, a lessor would continue to recognize income. The Company has elected to apply the relief provided by the FASB not to evaluate individual contracts. The Company also elected not to apply the lease modification framework for concessions granted.</w:t>
      </w:r>
    </w:p>
    <w:p>
      <w:pPr>
        <w:spacing w:after="0" w:line="178"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231F20"/>
        </w:rPr>
        <w:t>The Company, as lessor, granted lease concessions on some of its sales-type finance leases for equipment and automobiles. The concessions primarily consist of six-month extension programs whereby lease payments currently due are deferred and shifted to the end of the lease term. Interest income continues to accrue during the deferral period.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 xml:space="preserve">The Company, as lessor, leases and subleases real property to lessee tenants under operating leases. As of June 30, 2020, no material lease concessions have been granted to lessees. The Company, as lessee, also leases </w:t>
      </w:r>
      <w:r>
        <w:rPr>
          <w:rFonts w:ascii="Arial" w:cs="Arial" w:eastAsia="Arial" w:hAnsi="Arial"/>
          <w:sz w:val="18"/>
          <w:szCs w:val="18"/>
          <w:color w:val="000000"/>
        </w:rPr>
        <w:t>real estate property for branch locations, ATM locations, and office space. As of June 30, 2020,</w:t>
      </w:r>
      <w:r>
        <w:rPr>
          <w:rFonts w:ascii="Arial" w:cs="Arial" w:eastAsia="Arial" w:hAnsi="Arial"/>
          <w:sz w:val="18"/>
          <w:szCs w:val="18"/>
          <w:color w:val="231F20"/>
        </w:rPr>
        <w:t xml:space="preserve"> </w:t>
      </w:r>
      <w:r>
        <w:rPr>
          <w:rFonts w:ascii="Arial" w:cs="Arial" w:eastAsia="Arial" w:hAnsi="Arial"/>
          <w:sz w:val="18"/>
          <w:szCs w:val="18"/>
          <w:color w:val="000000"/>
        </w:rPr>
        <w:t>the Company has not requested any lease concessions.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2020</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This ASU significantly changes how entities measure credit losses for most financial assets and certain other instruments that are not measured at fair value through net income. The standard replaces the “incurred loss” approach with an “expected loss” approach known as current expected credit loss (“CECL”). CECL applies to: (1) financial assets measured at amortized cost, and (2) certain off-balance sheet credit exposures. This includes, but is not limited to, loans, leases, held-to-maturity securities, loan commitments, and financial guarantees. The CECL approach does not apply to AFS debt securities. For AFS debt securities with unrealized losses, entities measure credit losses in a similar manner to legacy GAAP except that the credit losses are now recognized as allowances rather than reductions in the amortized cost of the securities. As a result, entities will recognize improvements to estimated credit losses immediately in earnings rather than as interest income over time. ASU No. 2016-13 also changes the accounting for purchased credit-impaired debt securities and loans. ASU 2016-13 expanded or revised the disclosure requirements related to loans and debt securities. In addition, entities are required to disclose the amortized cost balance for each class of financial asset by credit quality indicator, disaggregated by the year of origination. ASU No. 2016-13 was effective for interim and annual reporting periods beginning after December 15, 2019.</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adopted the standard on January 1, 2020, and applied the standard’s provisions as a cumulative-effect adjustment to retained earnings, as of January 1, 2020 (i.e., modified retrospective approach). Upon adoption of the standard, the Company recorded a $5.1 million decrease to the reserve for credit losses, which resulted in a $3.6 million after-tax increase to retained earnings as of January 1, 2020. The tax effect resulted in an increase to deferred tax liabilities. This “Day 1” impact of CECL adoption is summarized below:</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w w:val="99"/>
              </w:rPr>
              <w:t>CECL Adoption</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7"/>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8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December 31, 2019</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Impact</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7"/>
              </w:rPr>
              <w:t>January 1, 2020</w:t>
            </w:r>
          </w:p>
        </w:tc>
      </w:tr>
      <w:tr>
        <w:trPr>
          <w:trHeight w:val="250"/>
        </w:trPr>
        <w:tc>
          <w:tcPr>
            <w:tcW w:w="45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Allowance for Credit Losses:</w:t>
            </w:r>
          </w:p>
        </w:tc>
        <w:tc>
          <w:tcPr>
            <w:tcW w:w="240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spacing w:after="0"/>
              <w:rPr>
                <w:sz w:val="21"/>
                <w:szCs w:val="21"/>
                <w:color w:val="auto"/>
              </w:rPr>
            </w:pPr>
          </w:p>
        </w:tc>
      </w:tr>
      <w:tr>
        <w:trPr>
          <w:trHeight w:val="237"/>
        </w:trPr>
        <w:tc>
          <w:tcPr>
            <w:tcW w:w="450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24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73,801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(18,789)</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55,012</w:t>
            </w:r>
          </w:p>
        </w:tc>
      </w:tr>
      <w:tr>
        <w:trPr>
          <w:trHeight w:val="33"/>
        </w:trPr>
        <w:tc>
          <w:tcPr>
            <w:tcW w:w="4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45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Consumer</w:t>
            </w:r>
          </w:p>
        </w:tc>
        <w:tc>
          <w:tcPr>
            <w:tcW w:w="2400" w:type="dxa"/>
            <w:vAlign w:val="bottom"/>
            <w:tcBorders>
              <w:bottom w:val="single" w:sz="8" w:color="BFE4FF"/>
            </w:tcBorders>
            <w:shd w:val="clear" w:color="auto" w:fill="BFE4FF"/>
          </w:tcPr>
          <w:p>
            <w:pPr>
              <w:spacing w:after="0"/>
              <w:rPr>
                <w:sz w:val="23"/>
                <w:szCs w:val="23"/>
                <w:color w:val="auto"/>
              </w:rPr>
            </w:pPr>
          </w:p>
        </w:tc>
        <w:tc>
          <w:tcPr>
            <w:tcW w:w="108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36,226</w:t>
            </w:r>
          </w:p>
        </w:tc>
        <w:tc>
          <w:tcPr>
            <w:tcW w:w="300" w:type="dxa"/>
            <w:vAlign w:val="bottom"/>
            <w:tcBorders>
              <w:bottom w:val="single" w:sz="8" w:color="BFE4FF"/>
            </w:tcBorders>
            <w:shd w:val="clear" w:color="auto" w:fill="BFE4FF"/>
          </w:tcPr>
          <w:p>
            <w:pPr>
              <w:spacing w:after="0"/>
              <w:rPr>
                <w:sz w:val="23"/>
                <w:szCs w:val="23"/>
                <w:color w:val="auto"/>
              </w:rPr>
            </w:pPr>
          </w:p>
        </w:tc>
        <w:tc>
          <w:tcPr>
            <w:tcW w:w="13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17,052</w:t>
            </w:r>
          </w:p>
        </w:tc>
        <w:tc>
          <w:tcPr>
            <w:tcW w:w="38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53,278</w:t>
            </w:r>
          </w:p>
        </w:tc>
      </w:tr>
      <w:tr>
        <w:trPr>
          <w:trHeight w:val="231"/>
        </w:trPr>
        <w:tc>
          <w:tcPr>
            <w:tcW w:w="45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Allowance for Credit Losses</w:t>
            </w:r>
          </w:p>
        </w:tc>
        <w:tc>
          <w:tcPr>
            <w:tcW w:w="2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110,027</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(1,737)</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108,290</w:t>
            </w:r>
          </w:p>
        </w:tc>
      </w:tr>
      <w:tr>
        <w:trPr>
          <w:trHeight w:val="33"/>
        </w:trPr>
        <w:tc>
          <w:tcPr>
            <w:tcW w:w="4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45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Reserve for Unfunded Commitments</w:t>
            </w:r>
          </w:p>
        </w:tc>
        <w:tc>
          <w:tcPr>
            <w:tcW w:w="2400" w:type="dxa"/>
            <w:vAlign w:val="bottom"/>
            <w:tcBorders>
              <w:bottom w:val="single" w:sz="8" w:color="BFE4FF"/>
            </w:tcBorders>
            <w:shd w:val="clear" w:color="auto" w:fill="BFE4FF"/>
          </w:tcPr>
          <w:p>
            <w:pPr>
              <w:spacing w:after="0"/>
              <w:rPr>
                <w:sz w:val="23"/>
                <w:szCs w:val="23"/>
                <w:color w:val="auto"/>
              </w:rPr>
            </w:pPr>
          </w:p>
        </w:tc>
        <w:tc>
          <w:tcPr>
            <w:tcW w:w="108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6,822</w:t>
            </w:r>
          </w:p>
        </w:tc>
        <w:tc>
          <w:tcPr>
            <w:tcW w:w="300" w:type="dxa"/>
            <w:vAlign w:val="bottom"/>
            <w:tcBorders>
              <w:bottom w:val="single" w:sz="8" w:color="BFE4FF"/>
            </w:tcBorders>
            <w:shd w:val="clear" w:color="auto" w:fill="BFE4FF"/>
          </w:tcPr>
          <w:p>
            <w:pPr>
              <w:spacing w:after="0"/>
              <w:rPr>
                <w:sz w:val="23"/>
                <w:szCs w:val="23"/>
                <w:color w:val="auto"/>
              </w:rPr>
            </w:pPr>
          </w:p>
        </w:tc>
        <w:tc>
          <w:tcPr>
            <w:tcW w:w="13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(3,335)</w:t>
            </w:r>
          </w:p>
        </w:tc>
        <w:tc>
          <w:tcPr>
            <w:tcW w:w="38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3,487</w:t>
            </w:r>
          </w:p>
        </w:tc>
      </w:tr>
      <w:tr>
        <w:trPr>
          <w:trHeight w:val="231"/>
        </w:trPr>
        <w:tc>
          <w:tcPr>
            <w:tcW w:w="45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Reserve for Credit Losses</w:t>
            </w:r>
          </w:p>
        </w:tc>
        <w:tc>
          <w:tcPr>
            <w:tcW w:w="24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116,849</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(5,072)</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111,777</w:t>
            </w:r>
          </w:p>
        </w:tc>
      </w:tr>
      <w:tr>
        <w:trPr>
          <w:trHeight w:val="73"/>
        </w:trPr>
        <w:tc>
          <w:tcPr>
            <w:tcW w:w="450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0"/>
        </w:trPr>
        <w:tc>
          <w:tcPr>
            <w:tcW w:w="4500" w:type="dxa"/>
            <w:vAlign w:val="bottom"/>
            <w:shd w:val="clear" w:color="auto" w:fill="BFE4FF"/>
          </w:tcPr>
          <w:p>
            <w:pPr>
              <w:spacing w:after="0"/>
              <w:rPr>
                <w:sz w:val="21"/>
                <w:szCs w:val="21"/>
                <w:color w:val="auto"/>
              </w:rPr>
            </w:pPr>
          </w:p>
        </w:tc>
        <w:tc>
          <w:tcPr>
            <w:tcW w:w="2400" w:type="dxa"/>
            <w:vAlign w:val="bottom"/>
            <w:shd w:val="clear" w:color="auto" w:fill="BFE4FF"/>
          </w:tcPr>
          <w:p>
            <w:pPr>
              <w:spacing w:after="0"/>
              <w:rPr>
                <w:sz w:val="21"/>
                <w:szCs w:val="21"/>
                <w:color w:val="auto"/>
              </w:rPr>
            </w:pPr>
          </w:p>
        </w:tc>
        <w:tc>
          <w:tcPr>
            <w:tcW w:w="1080" w:type="dxa"/>
            <w:vAlign w:val="bottom"/>
            <w:shd w:val="clear" w:color="auto" w:fill="BFE4FF"/>
          </w:tcPr>
          <w:p>
            <w:pPr>
              <w:spacing w:after="0"/>
              <w:rPr>
                <w:sz w:val="21"/>
                <w:szCs w:val="21"/>
                <w:color w:val="auto"/>
              </w:rPr>
            </w:pPr>
          </w:p>
        </w:tc>
        <w:tc>
          <w:tcPr>
            <w:tcW w:w="300" w:type="dxa"/>
            <w:vAlign w:val="bottom"/>
            <w:shd w:val="clear" w:color="auto" w:fill="BFE4FF"/>
          </w:tcPr>
          <w:p>
            <w:pPr>
              <w:spacing w:after="0"/>
              <w:rPr>
                <w:sz w:val="21"/>
                <w:szCs w:val="21"/>
                <w:color w:val="auto"/>
              </w:rPr>
            </w:pPr>
          </w:p>
        </w:tc>
        <w:tc>
          <w:tcPr>
            <w:tcW w:w="1300" w:type="dxa"/>
            <w:vAlign w:val="bottom"/>
            <w:shd w:val="clear" w:color="auto" w:fill="BFE4FF"/>
          </w:tcPr>
          <w:p>
            <w:pPr>
              <w:spacing w:after="0"/>
              <w:rPr>
                <w:sz w:val="21"/>
                <w:szCs w:val="21"/>
                <w:color w:val="auto"/>
              </w:rPr>
            </w:pPr>
          </w:p>
        </w:tc>
        <w:tc>
          <w:tcPr>
            <w:tcW w:w="380" w:type="dxa"/>
            <w:vAlign w:val="bottom"/>
            <w:shd w:val="clear" w:color="auto" w:fill="BFE4FF"/>
          </w:tcPr>
          <w:p>
            <w:pPr>
              <w:spacing w:after="0"/>
              <w:rPr>
                <w:sz w:val="21"/>
                <w:szCs w:val="21"/>
                <w:color w:val="auto"/>
              </w:rPr>
            </w:pPr>
          </w:p>
        </w:tc>
        <w:tc>
          <w:tcPr>
            <w:tcW w:w="1280" w:type="dxa"/>
            <w:vAlign w:val="bottom"/>
            <w:shd w:val="clear" w:color="auto" w:fill="BFE4FF"/>
          </w:tcPr>
          <w:p>
            <w:pPr>
              <w:spacing w:after="0"/>
              <w:rPr>
                <w:sz w:val="21"/>
                <w:szCs w:val="21"/>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6"/>
                <w:szCs w:val="16"/>
                <w:b w:val="1"/>
                <w:bCs w:val="1"/>
                <w:color w:val="auto"/>
              </w:rPr>
              <w:t>Retained Earnings</w:t>
            </w:r>
          </w:p>
        </w:tc>
        <w:tc>
          <w:tcPr>
            <w:tcW w:w="2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4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5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Total Pre-tax Impact</w:t>
            </w:r>
          </w:p>
        </w:tc>
        <w:tc>
          <w:tcPr>
            <w:tcW w:w="240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5,072</w:t>
            </w:r>
          </w:p>
        </w:tc>
        <w:tc>
          <w:tcPr>
            <w:tcW w:w="38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spacing w:after="0"/>
              <w:rPr>
                <w:sz w:val="21"/>
                <w:szCs w:val="21"/>
                <w:color w:val="auto"/>
              </w:rPr>
            </w:pPr>
          </w:p>
        </w:tc>
      </w:tr>
      <w:tr>
        <w:trPr>
          <w:trHeight w:val="237"/>
        </w:trPr>
        <w:tc>
          <w:tcPr>
            <w:tcW w:w="4500" w:type="dxa"/>
            <w:vAlign w:val="bottom"/>
          </w:tcPr>
          <w:p>
            <w:pPr>
              <w:ind w:left="180"/>
              <w:spacing w:after="0"/>
              <w:rPr>
                <w:sz w:val="20"/>
                <w:szCs w:val="20"/>
                <w:color w:val="auto"/>
              </w:rPr>
            </w:pPr>
            <w:r>
              <w:rPr>
                <w:rFonts w:ascii="Arial" w:cs="Arial" w:eastAsia="Arial" w:hAnsi="Arial"/>
                <w:sz w:val="16"/>
                <w:szCs w:val="16"/>
                <w:color w:val="auto"/>
              </w:rPr>
              <w:t>Tax Effect</w:t>
            </w:r>
          </w:p>
        </w:tc>
        <w:tc>
          <w:tcPr>
            <w:tcW w:w="2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(1,440)</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45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BFE4FF"/>
            </w:tcBorders>
          </w:tcPr>
          <w:p>
            <w:pPr>
              <w:spacing w:after="0"/>
              <w:rPr>
                <w:sz w:val="2"/>
                <w:szCs w:val="2"/>
                <w:color w:val="auto"/>
              </w:rPr>
            </w:pPr>
          </w:p>
        </w:tc>
        <w:tc>
          <w:tcPr>
            <w:tcW w:w="1280" w:type="dxa"/>
            <w:vAlign w:val="bottom"/>
            <w:tcBorders>
              <w:bottom w:val="single" w:sz="8" w:color="BFE4FF"/>
            </w:tcBorders>
          </w:tcPr>
          <w:p>
            <w:pPr>
              <w:spacing w:after="0"/>
              <w:rPr>
                <w:sz w:val="2"/>
                <w:szCs w:val="2"/>
                <w:color w:val="auto"/>
              </w:rPr>
            </w:pPr>
          </w:p>
        </w:tc>
      </w:tr>
      <w:tr>
        <w:trPr>
          <w:trHeight w:val="268"/>
        </w:trPr>
        <w:tc>
          <w:tcPr>
            <w:tcW w:w="45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Increase to Retained Earnings</w:t>
            </w:r>
          </w:p>
        </w:tc>
        <w:tc>
          <w:tcPr>
            <w:tcW w:w="2400" w:type="dxa"/>
            <w:vAlign w:val="bottom"/>
            <w:tcBorders>
              <w:bottom w:val="single" w:sz="8" w:color="BFE4FF"/>
            </w:tcBorders>
            <w:shd w:val="clear" w:color="auto" w:fill="BFE4FF"/>
          </w:tcPr>
          <w:p>
            <w:pPr>
              <w:spacing w:after="0"/>
              <w:rPr>
                <w:sz w:val="22"/>
                <w:szCs w:val="22"/>
                <w:color w:val="auto"/>
              </w:rPr>
            </w:pPr>
          </w:p>
        </w:tc>
        <w:tc>
          <w:tcPr>
            <w:tcW w:w="108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3,632</w:t>
            </w:r>
          </w:p>
        </w:tc>
        <w:tc>
          <w:tcPr>
            <w:tcW w:w="380" w:type="dxa"/>
            <w:vAlign w:val="bottom"/>
            <w:tcBorders>
              <w:bottom w:val="single" w:sz="8" w:color="BFE4FF"/>
            </w:tcBorders>
            <w:shd w:val="clear" w:color="auto" w:fill="BFE4FF"/>
          </w:tcPr>
          <w:p>
            <w:pPr>
              <w:spacing w:after="0"/>
              <w:rPr>
                <w:sz w:val="22"/>
                <w:szCs w:val="22"/>
                <w:color w:val="auto"/>
              </w:rPr>
            </w:pPr>
          </w:p>
        </w:tc>
        <w:tc>
          <w:tcPr>
            <w:tcW w:w="1280" w:type="dxa"/>
            <w:vAlign w:val="bottom"/>
            <w:tcBorders>
              <w:bottom w:val="single" w:sz="8" w:color="BFE4FF"/>
            </w:tcBorders>
            <w:shd w:val="clear" w:color="auto" w:fill="BFE4FF"/>
          </w:tcPr>
          <w:p>
            <w:pPr>
              <w:spacing w:after="0"/>
              <w:rPr>
                <w:sz w:val="22"/>
                <w:szCs w:val="22"/>
                <w:color w:val="auto"/>
              </w:rPr>
            </w:pPr>
          </w:p>
        </w:tc>
      </w:tr>
      <w:tr>
        <w:trPr>
          <w:trHeight w:val="20"/>
        </w:trPr>
        <w:tc>
          <w:tcPr>
            <w:tcW w:w="450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BFE4FF"/>
            </w:tcBorders>
          </w:tcPr>
          <w:p>
            <w:pPr>
              <w:spacing w:after="0" w:line="20" w:lineRule="exact"/>
              <w:rPr>
                <w:sz w:val="1"/>
                <w:szCs w:val="1"/>
                <w:color w:val="auto"/>
              </w:rPr>
            </w:pPr>
          </w:p>
        </w:tc>
        <w:tc>
          <w:tcPr>
            <w:tcW w:w="1280" w:type="dxa"/>
            <w:vAlign w:val="bottom"/>
            <w:tcBorders>
              <w:top w:val="single" w:sz="8" w:color="BFE4FF"/>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The Company did not record an allowance for AFS or HTM securities on Day 1 as the investment portfolio consists primarily of debt securities explicitly or implicitly backed by the U.S. Government for which credit risk is deemed minimal. The impact going forward will depend on the composition, characteristics, and credit quality of the loan and securities portfolios as well as the economic conditions at future reporting periods. See Note 3 </w:t>
      </w:r>
      <w:r>
        <w:rPr>
          <w:rFonts w:ascii="Arial" w:cs="Arial" w:eastAsia="Arial" w:hAnsi="Arial"/>
          <w:sz w:val="17"/>
          <w:szCs w:val="17"/>
          <w:i w:val="1"/>
          <w:iCs w:val="1"/>
          <w:color w:val="auto"/>
        </w:rPr>
        <w:t>Investment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Securities </w:t>
      </w:r>
      <w:r>
        <w:rPr>
          <w:rFonts w:ascii="Arial" w:cs="Arial" w:eastAsia="Arial" w:hAnsi="Arial"/>
          <w:sz w:val="17"/>
          <w:szCs w:val="17"/>
          <w:color w:val="auto"/>
        </w:rPr>
        <w:t>and Note 4</w:t>
      </w:r>
      <w:r>
        <w:rPr>
          <w:rFonts w:ascii="Arial" w:cs="Arial" w:eastAsia="Arial" w:hAnsi="Arial"/>
          <w:sz w:val="17"/>
          <w:szCs w:val="17"/>
          <w:i w:val="1"/>
          <w:iCs w:val="1"/>
          <w:color w:val="auto"/>
        </w:rPr>
        <w:t xml:space="preserve"> Loans and Leases and the Allowance for Credit Losses </w:t>
      </w:r>
      <w:r>
        <w:rPr>
          <w:rFonts w:ascii="Arial" w:cs="Arial" w:eastAsia="Arial" w:hAnsi="Arial"/>
          <w:sz w:val="17"/>
          <w:szCs w:val="17"/>
          <w:color w:val="auto"/>
        </w:rPr>
        <w:t>for more information.</w:t>
      </w:r>
    </w:p>
    <w:p>
      <w:pPr>
        <w:spacing w:after="0" w:line="171"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“Disclosure Framework - Changes to the Disclosure Requirements for Fair Value Measurement.”</w:t>
      </w:r>
      <w:r>
        <w:rPr>
          <w:rFonts w:ascii="Arial" w:cs="Arial" w:eastAsia="Arial" w:hAnsi="Arial"/>
          <w:sz w:val="17"/>
          <w:szCs w:val="17"/>
          <w:color w:val="auto"/>
        </w:rPr>
        <w:t xml:space="preserve"> This ASU eliminates, adds and modifies certain disclosure requirements for fair value measurements.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No. 2018-13 was effective for interim and annual reporting periods beginning after December 15, 2019; early adoption is permitted. As ASU No. 2018-13 only revises disclosure requirements, it did not have a material impact on the Company’s Consolidated Financial Statements.</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In April 2019, the FASB issued ASU No. 2019-04, </w:t>
      </w:r>
      <w:r>
        <w:rPr>
          <w:rFonts w:ascii="Arial" w:cs="Arial" w:eastAsia="Arial" w:hAnsi="Arial"/>
          <w:sz w:val="17"/>
          <w:szCs w:val="17"/>
          <w:i w:val="1"/>
          <w:iCs w:val="1"/>
          <w:color w:val="auto"/>
        </w:rPr>
        <w:t>“Codification Improvements to Topic 326, Financial Instruments - Credit Losses, Topic 815,</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Derivatives and Hedging, and Topic 825, Financial Instruments.” </w:t>
      </w:r>
      <w:r>
        <w:rPr>
          <w:rFonts w:ascii="Arial" w:cs="Arial" w:eastAsia="Arial" w:hAnsi="Arial"/>
          <w:sz w:val="17"/>
          <w:szCs w:val="17"/>
          <w:color w:val="auto"/>
        </w:rPr>
        <w:t>With respect to Topic 326, ASU 2019-04 clarifies the scope of the credit losses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and addresses issues related to accrued interest receivable balances, recoveries, variable interest rates and prepayments, among other things. The Company made the accounting policy elections not to measure an allowance for credit losses on accrued interest receivable, to write-off accrued interest amounts by reversing interest income, and to present accrued interest receivable separately from the related financial asset on the statements of financial condition. The amendments to Topic 326 were adopted concurrently with ASU 2016-13 on January 1, 2020. The financial statement impact in regards to the amendments to Topic 326 are incorporated within ASU 2016-13 mentioned above. With respect to Topic 825, on recognizing and measuring financial instruments, ASU 2019-04 addresses the scope of the guidance, the requirement for remeasurement under ASC 820 when using the measurement alternative, certain disclosure requirements and which equity securities have to be remeasured at historical exchange rates. The amendments to Topic 825 were effective for interim and annual reporting periods beginning after December 15, 2019, and did not have a material impact on the Company’s Consolidated Financial Statements. The Company elected to early adopt the amendments to Topic 815 in June 2019. See Note 1 to the Company’s Annual Report on Form 10-K for the year ended December 31, 2019, for more information.</w:t>
      </w:r>
    </w:p>
    <w:p>
      <w:pPr>
        <w:spacing w:after="0" w:line="17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In May 2019, the FASB issued ASU No. 2019-05, </w:t>
      </w:r>
      <w:r>
        <w:rPr>
          <w:rFonts w:ascii="Arial" w:cs="Arial" w:eastAsia="Arial" w:hAnsi="Arial"/>
          <w:sz w:val="18"/>
          <w:szCs w:val="18"/>
          <w:i w:val="1"/>
          <w:iCs w:val="1"/>
          <w:color w:val="auto"/>
        </w:rPr>
        <w:t>“Financial Instruments - Credit Losses (Topic 326); Targeted Transition Relief.”</w:t>
      </w:r>
      <w:r>
        <w:rPr>
          <w:rFonts w:ascii="Arial" w:cs="Arial" w:eastAsia="Arial" w:hAnsi="Arial"/>
          <w:sz w:val="18"/>
          <w:szCs w:val="18"/>
          <w:color w:val="auto"/>
        </w:rPr>
        <w:t xml:space="preserve"> This ASU allows entities to irrevocably elect, upon adoption of ASU 2016-13, the fair value option on financial instruments that (1) were previously recorded at amortized cost and (2) are within the scope of ASC 326-20 if the instruments are eligible for the fair value option under ASC 825-10. The fair value option election does not apply to HTM debt securities. Entities are required to make this election on an instrument-by-instrument basis. ASU 2019-05 was adopted concurrently with ASU 2016-13 on January 1, 2020. The Company did not elect the fair value option, and therefore, ASU 2019-05 did not impact the Company’s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 xml:space="preserve">In November 2019, the FASB issued ASU No. 2019-11, </w:t>
      </w:r>
      <w:r>
        <w:rPr>
          <w:rFonts w:ascii="Arial" w:cs="Arial" w:eastAsia="Arial" w:hAnsi="Arial"/>
          <w:sz w:val="16"/>
          <w:szCs w:val="16"/>
          <w:i w:val="1"/>
          <w:iCs w:val="1"/>
          <w:color w:val="auto"/>
        </w:rPr>
        <w:t>“Codification Improvements to Topic 326, Financial Instruments - Credit Losses.”</w:t>
      </w:r>
      <w:r>
        <w:rPr>
          <w:rFonts w:ascii="Arial" w:cs="Arial" w:eastAsia="Arial" w:hAnsi="Arial"/>
          <w:sz w:val="16"/>
          <w:szCs w:val="16"/>
          <w:color w:val="auto"/>
        </w:rPr>
        <w:t xml:space="preserve"> This ASU requires entities to include certain expected recoveries of the amortized cost basis previously written off, or expected to be written off, in the allowance for credit losses for purchased credit-deteriorated (“PCD”) financial assets. It also provides transition relief related to TDRs, allows entities to exclude accrued interest amounts from certain required disclosures and clarifies the requirements for applying the collateral maintenance practical expedient. ASU 2019-11 was adopted concurrently with ASU 2016-13 on January 1, 2020, and did not have a material impact to the Company’s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statements of condition that sum to the total of the same such amounts shown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200" w:type="dxa"/>
            <w:vAlign w:val="bottom"/>
          </w:tcPr>
          <w:p>
            <w:pPr>
              <w:jc w:val="right"/>
              <w:ind w:right="133"/>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7"/>
                <w:szCs w:val="17"/>
                <w:color w:val="auto"/>
              </w:rPr>
            </w:pPr>
          </w:p>
        </w:tc>
        <w:tc>
          <w:tcPr>
            <w:tcW w:w="1260" w:type="dxa"/>
            <w:vAlign w:val="bottom"/>
          </w:tcPr>
          <w:p>
            <w:pPr>
              <w:jc w:val="right"/>
              <w:ind w:right="53"/>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0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2019</w:t>
            </w: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Interest-Bearing Deposits in Other Banks</w:t>
            </w:r>
          </w:p>
        </w:tc>
        <w:tc>
          <w:tcPr>
            <w:tcW w:w="30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2,310</w:t>
            </w: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4,979</w:t>
            </w:r>
          </w:p>
        </w:tc>
      </w:tr>
      <w:tr>
        <w:trPr>
          <w:trHeight w:val="243"/>
        </w:trPr>
        <w:tc>
          <w:tcPr>
            <w:tcW w:w="532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300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800,857</w:t>
            </w:r>
          </w:p>
        </w:tc>
        <w:tc>
          <w:tcPr>
            <w:tcW w:w="46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254,574</w:t>
            </w:r>
          </w:p>
        </w:tc>
      </w:tr>
      <w:tr>
        <w:trPr>
          <w:trHeight w:val="27"/>
        </w:trPr>
        <w:tc>
          <w:tcPr>
            <w:tcW w:w="53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Due From Banks</w:t>
            </w:r>
          </w:p>
        </w:tc>
        <w:tc>
          <w:tcPr>
            <w:tcW w:w="30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242,423</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299,105</w:t>
            </w:r>
          </w:p>
        </w:tc>
      </w:tr>
      <w:tr>
        <w:trPr>
          <w:trHeight w:val="237"/>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Cash and Cash Equivalents</w:t>
            </w:r>
          </w:p>
        </w:tc>
        <w:tc>
          <w:tcPr>
            <w:tcW w:w="3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1,045,590</w:t>
            </w:r>
          </w:p>
        </w:tc>
        <w:tc>
          <w:tcPr>
            <w:tcW w:w="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558,658</w:t>
            </w:r>
          </w:p>
        </w:tc>
      </w:tr>
      <w:tr>
        <w:trPr>
          <w:trHeight w:val="27"/>
        </w:trPr>
        <w:tc>
          <w:tcPr>
            <w:tcW w:w="53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amortized cost, gross unrealized gains and losses, and fair value of the Company’s investment securities as of June 30, 2020, and December 31, 2019,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Gross</w:t>
            </w:r>
          </w:p>
        </w:tc>
        <w:tc>
          <w:tcPr>
            <w:tcW w:w="32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Gross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Amortized</w:t>
            </w:r>
          </w:p>
        </w:tc>
        <w:tc>
          <w:tcPr>
            <w:tcW w:w="36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w w:val="98"/>
              </w:rPr>
              <w:t>Unrealized</w:t>
            </w:r>
          </w:p>
        </w:tc>
        <w:tc>
          <w:tcPr>
            <w:tcW w:w="32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w w:val="98"/>
              </w:rPr>
              <w:t>Unrealized</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7"/>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9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Cost</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Gains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Losses</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2020</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Available-for-Sale:</w:t>
            </w: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189,337</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(1,551)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187,949</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54,274</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1,328</w:t>
            </w: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55,602</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U.S. Government-Sponsored Enterprises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936</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78</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223,147</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3,890</w:t>
            </w: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(1,657)</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225,380</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1,271,399</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41,364</w:t>
            </w: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(416)</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1,312,347</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641,094</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22,206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663,275</w:t>
            </w:r>
          </w:p>
        </w:tc>
      </w:tr>
      <w:tr>
        <w:trPr>
          <w:trHeight w:val="237"/>
        </w:trPr>
        <w:tc>
          <w:tcPr>
            <w:tcW w:w="538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268,052</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12,859</w:t>
            </w: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280,911</w:t>
            </w:r>
          </w:p>
        </w:tc>
      </w:tr>
      <w:tr>
        <w:trPr>
          <w:trHeight w:val="33"/>
        </w:trPr>
        <w:tc>
          <w:tcPr>
            <w:tcW w:w="5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8"/>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9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2,180,545</w:t>
            </w: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76,429</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(441)</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2,256,533</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2,648,239</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81,888</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(3,649)</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2,726,478</w:t>
            </w:r>
          </w:p>
        </w:tc>
      </w:tr>
      <w:tr>
        <w:trPr>
          <w:trHeight w:val="73"/>
        </w:trPr>
        <w:tc>
          <w:tcPr>
            <w:tcW w:w="53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31"/>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Held-to-Maturity:</w:t>
            </w:r>
          </w:p>
        </w:tc>
        <w:tc>
          <w:tcPr>
            <w:tcW w:w="9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144,841</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892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145,733</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54,273</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1,286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55,559</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13,509</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210</w:t>
            </w: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13,719</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910,231</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38,360</w:t>
            </w: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948,581</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2,082,380</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54,263</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(420)</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2,136,223</w:t>
            </w:r>
          </w:p>
        </w:tc>
      </w:tr>
      <w:tr>
        <w:trPr>
          <w:trHeight w:val="237"/>
        </w:trPr>
        <w:tc>
          <w:tcPr>
            <w:tcW w:w="538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71,595</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2,884</w:t>
            </w: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74,479</w:t>
            </w:r>
          </w:p>
        </w:tc>
      </w:tr>
      <w:tr>
        <w:trPr>
          <w:trHeight w:val="33"/>
        </w:trPr>
        <w:tc>
          <w:tcPr>
            <w:tcW w:w="5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8"/>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9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3,064,206</w:t>
            </w: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95,507</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(430)</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3,159,283</w:t>
            </w:r>
          </w:p>
        </w:tc>
      </w:tr>
      <w:tr>
        <w:trPr>
          <w:trHeight w:val="230"/>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3,276,829</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97,895</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(430)</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3,374,294</w:t>
            </w:r>
          </w:p>
        </w:tc>
      </w:tr>
      <w:tr>
        <w:trPr>
          <w:trHeight w:val="73"/>
        </w:trPr>
        <w:tc>
          <w:tcPr>
            <w:tcW w:w="53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1"/>
        </w:trPr>
        <w:tc>
          <w:tcPr>
            <w:tcW w:w="53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December 31, 2019</w:t>
            </w: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Available-for-Sale:</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222,365</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213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(1,447)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221,131</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54,480</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631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55,097</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Debt Securities Issued by U.S. Government-Sponsored Enterprises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22,128</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22,147</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335,553</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1,401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(633)</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336,321</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1,164,466</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11,627</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(3,267)</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1,172,826</w:t>
            </w:r>
          </w:p>
        </w:tc>
      </w:tr>
      <w:tr>
        <w:trPr>
          <w:trHeight w:val="237"/>
        </w:trPr>
        <w:tc>
          <w:tcPr>
            <w:tcW w:w="538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584,272</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4,363</w:t>
            </w: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(1,874)</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586,761</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224,372</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2,889</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(2,541)</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224,720</w:t>
            </w:r>
          </w:p>
        </w:tc>
      </w:tr>
      <w:tr>
        <w:trPr>
          <w:trHeight w:val="230"/>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1,973,110</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18,879</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(7,682)</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1,984,307</w:t>
            </w:r>
          </w:p>
        </w:tc>
      </w:tr>
      <w:tr>
        <w:trPr>
          <w:trHeight w:val="33"/>
        </w:trPr>
        <w:tc>
          <w:tcPr>
            <w:tcW w:w="5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2,607,636</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21,143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(9,776)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2,619,003</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274,375</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1,319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275,663</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54,811</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1,236</w:t>
            </w: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56,047</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14,975</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(138)</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14,837</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1,067,416</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13,247</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(5,348)</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1,075,315</w:t>
            </w:r>
          </w:p>
        </w:tc>
      </w:tr>
      <w:tr>
        <w:trPr>
          <w:trHeight w:val="237"/>
        </w:trPr>
        <w:tc>
          <w:tcPr>
            <w:tcW w:w="538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1,546,479</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13,871</w:t>
            </w: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(2,478)</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1,557,872</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84,238</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317</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(1,407)</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83,148</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2,698,133</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27,435</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(9,233)</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2,716,335</w:t>
            </w:r>
          </w:p>
        </w:tc>
      </w:tr>
      <w:tr>
        <w:trPr>
          <w:trHeight w:val="33"/>
        </w:trPr>
        <w:tc>
          <w:tcPr>
            <w:tcW w:w="5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8"/>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3,042,294</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29,990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(9,402)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3,062,882</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682"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30" w:right="339" w:bottom="682"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elected to exclude accrued interest receivable (“AIR”) from the amortized cost basis of debt securities disclosed throughout this footnote. For available-for-sale (“AFS”) debt securities, AIR totaled $6.4 million and $7.5 million as of June 30, 2020, and December 31, 2019, respectively. For held-to-maturity (“HTM”) debt securities, AIR totaled $8.1 million as of June 30, 2020, and December 31, 2019. AIR is included in the “accrued interest receivable” line item on the Company’s consolidated statements of condition.</w:t>
      </w:r>
    </w:p>
    <w:p>
      <w:pPr>
        <w:spacing w:after="0" w:line="18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table below presents an analysis of the contractual maturities of the Company’s investment securities as of June 30, 2020. Debt securities issued by government agencies (Small Business Administration securities) and mortgage-backed securities are disclosed separately in the table below as these investment securities may prepay prior to their scheduled contractual maturity dates.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3"/>
              </w:rPr>
              <w:t>Amortized Cost</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4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Available-for-Sale:</w:t>
            </w:r>
          </w:p>
        </w:tc>
        <w:tc>
          <w:tcPr>
            <w:tcW w:w="2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Due in One Year or Less</w:t>
            </w: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16,418</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16,457</w:t>
            </w:r>
          </w:p>
        </w:tc>
      </w:tr>
      <w:tr>
        <w:trPr>
          <w:trHeight w:val="33"/>
        </w:trPr>
        <w:tc>
          <w:tcPr>
            <w:tcW w:w="61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One Year Through Five Years</w:t>
            </w:r>
          </w:p>
        </w:tc>
        <w:tc>
          <w:tcPr>
            <w:tcW w:w="2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103,115</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103,407</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300" w:type="dxa"/>
            <w:vAlign w:val="bottom"/>
          </w:tcPr>
          <w:p>
            <w:pPr>
              <w:spacing w:after="0"/>
              <w:rPr>
                <w:sz w:val="20"/>
                <w:szCs w:val="20"/>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159,864</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163,197</w:t>
            </w:r>
          </w:p>
        </w:tc>
      </w:tr>
      <w:tr>
        <w:trPr>
          <w:trHeight w:val="33"/>
        </w:trPr>
        <w:tc>
          <w:tcPr>
            <w:tcW w:w="61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Ten Years</w:t>
            </w:r>
          </w:p>
        </w:tc>
        <w:tc>
          <w:tcPr>
            <w:tcW w:w="2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r>
        <w:trPr>
          <w:trHeight w:val="231"/>
        </w:trPr>
        <w:tc>
          <w:tcPr>
            <w:tcW w:w="616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279,447</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283,111</w:t>
            </w:r>
          </w:p>
        </w:tc>
      </w:tr>
      <w:tr>
        <w:trPr>
          <w:trHeight w:val="33"/>
        </w:trPr>
        <w:tc>
          <w:tcPr>
            <w:tcW w:w="61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61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Debt Securities Issued by Government Agencies</w:t>
            </w:r>
          </w:p>
        </w:tc>
        <w:tc>
          <w:tcPr>
            <w:tcW w:w="2300" w:type="dxa"/>
            <w:vAlign w:val="bottom"/>
          </w:tcPr>
          <w:p>
            <w:pPr>
              <w:spacing w:after="0"/>
              <w:rPr>
                <w:sz w:val="20"/>
                <w:szCs w:val="20"/>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188,247</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186,834</w:t>
            </w:r>
          </w:p>
        </w:tc>
      </w:tr>
      <w:tr>
        <w:trPr>
          <w:trHeight w:val="33"/>
        </w:trPr>
        <w:tc>
          <w:tcPr>
            <w:tcW w:w="61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2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16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2300" w:type="dxa"/>
            <w:vAlign w:val="bottom"/>
          </w:tcPr>
          <w:p>
            <w:pPr>
              <w:spacing w:after="0"/>
              <w:rPr>
                <w:sz w:val="20"/>
                <w:szCs w:val="20"/>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1,271,399</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1,312,347</w:t>
            </w:r>
          </w:p>
        </w:tc>
      </w:tr>
      <w:tr>
        <w:trPr>
          <w:trHeight w:val="33"/>
        </w:trPr>
        <w:tc>
          <w:tcPr>
            <w:tcW w:w="61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641,094</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663,275</w:t>
            </w:r>
          </w:p>
        </w:tc>
      </w:tr>
      <w:tr>
        <w:trPr>
          <w:trHeight w:val="237"/>
        </w:trPr>
        <w:tc>
          <w:tcPr>
            <w:tcW w:w="616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2300" w:type="dxa"/>
            <w:vAlign w:val="bottom"/>
          </w:tcPr>
          <w:p>
            <w:pPr>
              <w:spacing w:after="0"/>
              <w:rPr>
                <w:sz w:val="20"/>
                <w:szCs w:val="20"/>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268,052</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280,911</w:t>
            </w:r>
          </w:p>
        </w:tc>
      </w:tr>
      <w:tr>
        <w:trPr>
          <w:trHeight w:val="33"/>
        </w:trPr>
        <w:tc>
          <w:tcPr>
            <w:tcW w:w="6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2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2,180,545</w:t>
            </w: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2,256,533</w:t>
            </w:r>
          </w:p>
        </w:tc>
      </w:tr>
      <w:tr>
        <w:trPr>
          <w:trHeight w:val="230"/>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2,648,239</w:t>
            </w:r>
          </w:p>
        </w:tc>
        <w:tc>
          <w:tcPr>
            <w:tcW w:w="4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2,726,478</w:t>
            </w:r>
          </w:p>
        </w:tc>
      </w:tr>
      <w:tr>
        <w:trPr>
          <w:trHeight w:val="73"/>
        </w:trPr>
        <w:tc>
          <w:tcPr>
            <w:tcW w:w="616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616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2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1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Due in One Year or Less</w:t>
            </w:r>
          </w:p>
        </w:tc>
        <w:tc>
          <w:tcPr>
            <w:tcW w:w="2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165,017</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166,085</w:t>
            </w:r>
          </w:p>
        </w:tc>
      </w:tr>
      <w:tr>
        <w:trPr>
          <w:trHeight w:val="237"/>
        </w:trPr>
        <w:tc>
          <w:tcPr>
            <w:tcW w:w="6160" w:type="dxa"/>
            <w:vAlign w:val="bottom"/>
          </w:tcPr>
          <w:p>
            <w:pPr>
              <w:ind w:left="280"/>
              <w:spacing w:after="0"/>
              <w:rPr>
                <w:sz w:val="20"/>
                <w:szCs w:val="20"/>
                <w:color w:val="auto"/>
              </w:rPr>
            </w:pPr>
            <w:r>
              <w:rPr>
                <w:rFonts w:ascii="Arial" w:cs="Arial" w:eastAsia="Arial" w:hAnsi="Arial"/>
                <w:sz w:val="16"/>
                <w:szCs w:val="16"/>
                <w:color w:val="auto"/>
              </w:rPr>
              <w:t>Due After One Year Through Five Years</w:t>
            </w:r>
          </w:p>
        </w:tc>
        <w:tc>
          <w:tcPr>
            <w:tcW w:w="2300" w:type="dxa"/>
            <w:vAlign w:val="bottom"/>
          </w:tcPr>
          <w:p>
            <w:pPr>
              <w:spacing w:after="0"/>
              <w:rPr>
                <w:sz w:val="20"/>
                <w:szCs w:val="20"/>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47,606</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48,926</w:t>
            </w:r>
          </w:p>
        </w:tc>
      </w:tr>
      <w:tr>
        <w:trPr>
          <w:trHeight w:val="33"/>
        </w:trPr>
        <w:tc>
          <w:tcPr>
            <w:tcW w:w="6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616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212,623</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215,011</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2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1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2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910,231</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948,581</w:t>
            </w:r>
          </w:p>
        </w:tc>
      </w:tr>
      <w:tr>
        <w:trPr>
          <w:trHeight w:val="237"/>
        </w:trPr>
        <w:tc>
          <w:tcPr>
            <w:tcW w:w="616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300" w:type="dxa"/>
            <w:vAlign w:val="bottom"/>
          </w:tcPr>
          <w:p>
            <w:pPr>
              <w:spacing w:after="0"/>
              <w:rPr>
                <w:sz w:val="20"/>
                <w:szCs w:val="20"/>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2,082,380</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2,136,223</w:t>
            </w:r>
          </w:p>
        </w:tc>
      </w:tr>
      <w:tr>
        <w:trPr>
          <w:trHeight w:val="33"/>
        </w:trPr>
        <w:tc>
          <w:tcPr>
            <w:tcW w:w="61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2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71,595</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74,479</w:t>
            </w:r>
          </w:p>
        </w:tc>
      </w:tr>
      <w:tr>
        <w:trPr>
          <w:trHeight w:val="230"/>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2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3,064,206</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3,159,283</w:t>
            </w:r>
          </w:p>
        </w:tc>
      </w:tr>
      <w:tr>
        <w:trPr>
          <w:trHeight w:val="33"/>
        </w:trPr>
        <w:tc>
          <w:tcPr>
            <w:tcW w:w="6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3,276,829</w:t>
            </w:r>
          </w:p>
        </w:tc>
        <w:tc>
          <w:tcPr>
            <w:tcW w:w="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3,374,294</w:t>
            </w:r>
          </w:p>
        </w:tc>
      </w:tr>
      <w:tr>
        <w:trPr>
          <w:trHeight w:val="20"/>
        </w:trPr>
        <w:tc>
          <w:tcPr>
            <w:tcW w:w="616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securities with carrying values of $3.6 billion and $2.6 billion as of June 30, 2020, and December 31, 2019, respectively, were pledged to secure deposits of governmental entities, securities sold under agreements to repurchase, and FRB discount window borrowing.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30" w:right="3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gains and losses from the sales of investment securities for the three and six months ended June 30, 2020, and June 30,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580" w:type="dxa"/>
            <w:vAlign w:val="bottom"/>
          </w:tcPr>
          <w:p>
            <w:pPr>
              <w:spacing w:after="0"/>
              <w:rPr>
                <w:sz w:val="17"/>
                <w:szCs w:val="17"/>
                <w:color w:val="auto"/>
              </w:rPr>
            </w:pPr>
          </w:p>
        </w:tc>
      </w:tr>
      <w:tr>
        <w:trPr>
          <w:trHeight w:val="210"/>
        </w:trPr>
        <w:tc>
          <w:tcPr>
            <w:tcW w:w="5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8"/>
                <w:szCs w:val="18"/>
                <w:color w:val="auto"/>
              </w:rPr>
            </w:pPr>
          </w:p>
        </w:tc>
      </w:tr>
      <w:tr>
        <w:trPr>
          <w:trHeight w:val="33"/>
        </w:trPr>
        <w:tc>
          <w:tcPr>
            <w:tcW w:w="5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8"/>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49"/>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Gains on Sales of Investment Securities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14,180</w:t>
            </w:r>
          </w:p>
        </w:tc>
        <w:tc>
          <w:tcPr>
            <w:tcW w:w="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14,257</w:t>
            </w:r>
          </w:p>
        </w:tc>
        <w:tc>
          <w:tcPr>
            <w:tcW w:w="7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7,663</w:t>
            </w:r>
          </w:p>
        </w:tc>
      </w:tr>
      <w:tr>
        <w:trPr>
          <w:trHeight w:val="237"/>
        </w:trPr>
        <w:tc>
          <w:tcPr>
            <w:tcW w:w="5740" w:type="dxa"/>
            <w:vAlign w:val="bottom"/>
          </w:tcPr>
          <w:p>
            <w:pPr>
              <w:ind w:left="40"/>
              <w:spacing w:after="0"/>
              <w:rPr>
                <w:sz w:val="20"/>
                <w:szCs w:val="20"/>
                <w:color w:val="auto"/>
              </w:rPr>
            </w:pPr>
            <w:r>
              <w:rPr>
                <w:rFonts w:ascii="Arial" w:cs="Arial" w:eastAsia="Arial" w:hAnsi="Arial"/>
                <w:sz w:val="16"/>
                <w:szCs w:val="16"/>
                <w:color w:val="auto"/>
              </w:rPr>
              <w:t>Gross Losses on Sales of Investment Securities</w:t>
            </w:r>
          </w:p>
        </w:tc>
        <w:tc>
          <w:tcPr>
            <w:tcW w:w="38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(964)</w:t>
            </w:r>
          </w:p>
        </w:tc>
        <w:tc>
          <w:tcPr>
            <w:tcW w:w="8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(6,409)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(2,011)</w:t>
            </w:r>
          </w:p>
        </w:tc>
        <w:tc>
          <w:tcPr>
            <w:tcW w:w="7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(9,274)</w:t>
            </w:r>
          </w:p>
        </w:tc>
      </w:tr>
      <w:tr>
        <w:trPr>
          <w:trHeight w:val="33"/>
        </w:trPr>
        <w:tc>
          <w:tcPr>
            <w:tcW w:w="5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8"/>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Gains (Losses) on Sales of Investment Securities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13,216</w:t>
            </w:r>
          </w:p>
        </w:tc>
        <w:tc>
          <w:tcPr>
            <w:tcW w:w="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12,246</w:t>
            </w:r>
          </w:p>
        </w:tc>
        <w:tc>
          <w:tcPr>
            <w:tcW w:w="7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(1,611)</w:t>
            </w:r>
          </w:p>
        </w:tc>
      </w:tr>
      <w:tr>
        <w:trPr>
          <w:trHeight w:val="20"/>
        </w:trPr>
        <w:tc>
          <w:tcPr>
            <w:tcW w:w="5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losses on sales of investment securities during the three and six months ended June 30, 2020, and June 30, 2019, were due to fees paid to the counterparties of the Company’s prior Visa Class B share sale transactions, which are expensed as incurred. In addition, the gross gains and losses on sales of investment securities during the three and six months ended June 30, 2019, included sales of municipal debt securities, mortgage-backed securities, and corporate debt securities as part of a portfolio repositioning.</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summarizes the Company’s AFS debt securities in an unrealized loss position for which an allowance for credit losses has not been recorded, aggregated by major security type and length of time in a continuous unrealized loss position: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12 Months or Longer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Total</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69"/>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b w:val="1"/>
                <w:bCs w:val="1"/>
                <w:color w:val="auto"/>
              </w:rPr>
              <w:t>Available-for-Sale:</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Government Agencies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92,619</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74,224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166,843</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w:t>
            </w:r>
          </w:p>
        </w:tc>
        <w:tc>
          <w:tcPr>
            <w:tcW w:w="0" w:type="dxa"/>
            <w:vAlign w:val="bottom"/>
          </w:tcPr>
          <w:p>
            <w:pPr>
              <w:spacing w:after="0"/>
              <w:rPr>
                <w:sz w:val="1"/>
                <w:szCs w:val="1"/>
                <w:color w:val="auto"/>
              </w:rPr>
            </w:pPr>
          </w:p>
        </w:tc>
      </w:tr>
      <w:tr>
        <w:trPr>
          <w:trHeight w:val="157"/>
        </w:trPr>
        <w:tc>
          <w:tcPr>
            <w:tcW w:w="462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States</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20" w:type="dxa"/>
            <w:vAlign w:val="bottom"/>
          </w:tcPr>
          <w:p>
            <w:pPr>
              <w:ind w:left="140"/>
              <w:spacing w:after="0"/>
              <w:rPr>
                <w:sz w:val="20"/>
                <w:szCs w:val="20"/>
                <w:color w:val="auto"/>
              </w:rPr>
            </w:pPr>
            <w:r>
              <w:rPr>
                <w:rFonts w:ascii="Arial" w:cs="Arial" w:eastAsia="Arial" w:hAnsi="Arial"/>
                <w:sz w:val="14"/>
                <w:szCs w:val="14"/>
                <w:color w:val="auto"/>
              </w:rPr>
              <w:t>and Political Subdivisions</w:t>
            </w:r>
          </w:p>
        </w:tc>
        <w:tc>
          <w:tcPr>
            <w:tcW w:w="20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2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w:t>
            </w:r>
          </w:p>
        </w:tc>
        <w:tc>
          <w:tcPr>
            <w:tcW w:w="3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75,000</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90,000</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165,000</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w:t>
            </w:r>
          </w:p>
        </w:tc>
        <w:tc>
          <w:tcPr>
            <w:tcW w:w="0" w:type="dxa"/>
            <w:vAlign w:val="bottom"/>
          </w:tcPr>
          <w:p>
            <w:pPr>
              <w:spacing w:after="0"/>
              <w:rPr>
                <w:sz w:val="1"/>
                <w:szCs w:val="1"/>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51,649</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8,278</w:t>
            </w:r>
          </w:p>
        </w:tc>
        <w:tc>
          <w:tcPr>
            <w:tcW w:w="2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59,927</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10,491</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10,491</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2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51,649</w:t>
            </w: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18,769</w:t>
            </w: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70,418</w:t>
            </w:r>
          </w:p>
        </w:tc>
        <w:tc>
          <w:tcPr>
            <w:tcW w:w="3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303"/>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219,268</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(2,682)</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183,079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402,347</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Available-for-Sale:</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62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20" w:type="dxa"/>
            <w:vAlign w:val="bottom"/>
          </w:tcPr>
          <w:p>
            <w:pPr>
              <w:ind w:left="220"/>
              <w:spacing w:after="0"/>
              <w:rPr>
                <w:sz w:val="20"/>
                <w:szCs w:val="20"/>
                <w:color w:val="auto"/>
              </w:rPr>
            </w:pPr>
            <w:r>
              <w:rPr>
                <w:rFonts w:ascii="Arial" w:cs="Arial" w:eastAsia="Arial" w:hAnsi="Arial"/>
                <w:sz w:val="14"/>
                <w:szCs w:val="14"/>
                <w:color w:val="auto"/>
              </w:rPr>
              <w:t>and Government Agencies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65,479</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101,761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(1,259)</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167,240</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(1,447)</w:t>
            </w:r>
          </w:p>
        </w:tc>
        <w:tc>
          <w:tcPr>
            <w:tcW w:w="0" w:type="dxa"/>
            <w:vAlign w:val="bottom"/>
          </w:tcPr>
          <w:p>
            <w:pPr>
              <w:spacing w:after="0"/>
              <w:rPr>
                <w:sz w:val="1"/>
                <w:szCs w:val="1"/>
                <w:color w:val="auto"/>
              </w:rPr>
            </w:pPr>
          </w:p>
        </w:tc>
      </w:tr>
      <w:tr>
        <w:trPr>
          <w:trHeight w:val="163"/>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States</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and Political Subdivisions</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6,788</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7,228</w:t>
            </w: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20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25,892</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74,693</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100,585</w:t>
            </w: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20" w:type="dxa"/>
            <w:vAlign w:val="bottom"/>
          </w:tcPr>
          <w:p>
            <w:pPr>
              <w:ind w:left="220"/>
              <w:spacing w:after="0"/>
              <w:rPr>
                <w:sz w:val="20"/>
                <w:szCs w:val="20"/>
                <w:color w:val="auto"/>
              </w:rPr>
            </w:pPr>
            <w:r>
              <w:rPr>
                <w:rFonts w:ascii="Arial" w:cs="Arial" w:eastAsia="Arial" w:hAnsi="Arial"/>
                <w:sz w:val="14"/>
                <w:szCs w:val="14"/>
                <w:color w:val="auto"/>
              </w:rPr>
              <w:t>Residential - Government Agencies</w:t>
            </w:r>
          </w:p>
        </w:tc>
        <w:tc>
          <w:tcPr>
            <w:tcW w:w="20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119,271</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170,805</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290,076</w:t>
            </w: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(3,267)</w:t>
            </w: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 U.S. Government-Sponsored Enterprises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187,861</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73,720</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261,581</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Commercial - Government Agencies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59,826</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52,965</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(2,222)</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112,791</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2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366,958</w:t>
            </w: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(1,661)</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297,490</w:t>
            </w: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(6,021)</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664,448</w:t>
            </w:r>
          </w:p>
        </w:tc>
        <w:tc>
          <w:tcPr>
            <w:tcW w:w="3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(7,682)</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465,117</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474,384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(7,587)</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939,501</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(9,776)</w:t>
            </w:r>
          </w:p>
        </w:tc>
        <w:tc>
          <w:tcPr>
            <w:tcW w:w="0" w:type="dxa"/>
            <w:vAlign w:val="bottom"/>
          </w:tcPr>
          <w:p>
            <w:pPr>
              <w:spacing w:after="0"/>
              <w:rPr>
                <w:sz w:val="1"/>
                <w:szCs w:val="1"/>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30" w:right="3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does not believe that the AFS debt securities that were in an unrealized loss position as of June 30, 2020, which were comprised of 81 individual securities, represent a credit loss impairment. The gross unrealized losses in the Company’s corporate bond portfolio were related to debt securities issued by large multinational banks. The unrealized losses primarily resulted from an increase in credit spreads due to the economic uncertainty related to COVID-19. However, as of June 30, 2020, such credit spreads have tightened significantly from their widest levels experienced in the first quarter of 2020. In addition, such banks have built up substantial capital buffers since the financial crisis of 2008 which mitigates the likelihood of credit losses. As of June 30, 2020, there have been no payment defaults nor do we currently expect any future payment defaults. Furthermore, the Company does not intend to sell these securities, and it is not more likely than not that the Company will be required to sell the investment securities before recovery of their amortized cost basis, which may be at maturity.</w:t>
      </w:r>
    </w:p>
    <w:p>
      <w:pPr>
        <w:spacing w:after="0" w:line="17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remainder of the AFS debt securities in an unrealized loss position as of June 30, 2020, consisted of debt securities issued by U.S. government agencies or U.S. government-sponsored enterprises. These securities carry the explicit and/or implicit guarantee of the U.S. government, are widely recognized as “risk free,” and have a long history of zero credit loss. Total gross unrealized losses were primarily attributable to changes in interest rates, relative to when the investment securities were purchased, and not due to the credit quality of the investment securities. The Company does not intend to sell the investment securities that were in an unrealized loss position and it is not more likely than not that the Company will be required to sell the investment securities before recovery of their amortized cost basis, which may be at maturity.</w:t>
      </w:r>
    </w:p>
    <w:p>
      <w:pPr>
        <w:spacing w:after="0" w:line="16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Substantially all of the Company’s HTM debt securities are issued by U.S. government agencies or U.S. government-sponsored enterprises. These securities carry the explicit and/or implicit guarantee of the U.S. government, are widely recognized as “risk free,” and have a long history of zero credit loss. Therefore, the Company did not record an allowance for credit losses for these securities as of June 30, 2020.</w:t>
      </w:r>
    </w:p>
    <w:p>
      <w:pPr>
        <w:spacing w:after="0" w:line="165"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The Company also carries a limited portfolio of HTM municipal bonds. As of June 30, 2020, the entire portfolio consisted of State of Hawaii bonds carrying a Moody’s rating of Aa1, with a portion of these bonds escrowed to maturity. Utilizing the CECL approach, the Company determined that the expected credit loss on its municipal bond portfolio was de minimis, and therefore, an allowance for credit losses was not recorded as of June 30, 2020.</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from taxable and non-taxable investment securities for the three and six months ended June 30, 2020, and June 30, 2019,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Pr>
          <w:p>
            <w:pPr>
              <w:spacing w:after="0"/>
              <w:rPr>
                <w:sz w:val="17"/>
                <w:szCs w:val="17"/>
                <w:color w:val="auto"/>
              </w:rPr>
            </w:pPr>
          </w:p>
        </w:tc>
      </w:tr>
      <w:tr>
        <w:trPr>
          <w:trHeight w:val="210"/>
        </w:trPr>
        <w:tc>
          <w:tcPr>
            <w:tcW w:w="5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8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June 30,</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8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8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Taxable</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30,729</w:t>
            </w:r>
          </w:p>
        </w:tc>
        <w:tc>
          <w:tcPr>
            <w:tcW w:w="88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35,336</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66,122</w:t>
            </w:r>
          </w:p>
        </w:tc>
        <w:tc>
          <w:tcPr>
            <w:tcW w:w="8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67,328</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Non-Taxable</w:t>
            </w:r>
          </w:p>
        </w:tc>
        <w:tc>
          <w:tcPr>
            <w:tcW w:w="44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570</w:t>
            </w:r>
          </w:p>
        </w:tc>
        <w:tc>
          <w:tcPr>
            <w:tcW w:w="8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1,885</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1,140</w:t>
            </w:r>
          </w:p>
        </w:tc>
        <w:tc>
          <w:tcPr>
            <w:tcW w:w="8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5,246</w:t>
            </w:r>
          </w:p>
        </w:tc>
      </w:tr>
      <w:tr>
        <w:trPr>
          <w:trHeight w:val="33"/>
        </w:trPr>
        <w:tc>
          <w:tcPr>
            <w:tcW w:w="5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 from Investment Securities</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31,299</w:t>
            </w:r>
          </w:p>
        </w:tc>
        <w:tc>
          <w:tcPr>
            <w:tcW w:w="88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37,221</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67,262</w:t>
            </w:r>
          </w:p>
        </w:tc>
        <w:tc>
          <w:tcPr>
            <w:tcW w:w="8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72,574</w:t>
            </w:r>
          </w:p>
        </w:tc>
      </w:tr>
      <w:tr>
        <w:trPr>
          <w:trHeight w:val="20"/>
        </w:trPr>
        <w:tc>
          <w:tcPr>
            <w:tcW w:w="5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June 30, 2020, and December 31, 2019, the carrying value of the Company’s Federal Home Loan Bank of Des Moines stock and Federal Reserve Bank stock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June 30,</w:t>
            </w:r>
          </w:p>
        </w:tc>
        <w:tc>
          <w:tcPr>
            <w:tcW w:w="32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Stock</w:t>
            </w:r>
          </w:p>
        </w:tc>
        <w:tc>
          <w:tcPr>
            <w:tcW w:w="3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12,000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13,000</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Federal Reserve Bank Stock</w:t>
            </w:r>
          </w:p>
        </w:tc>
        <w:tc>
          <w:tcPr>
            <w:tcW w:w="346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21,236</w:t>
            </w:r>
          </w:p>
        </w:tc>
        <w:tc>
          <w:tcPr>
            <w:tcW w:w="3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21,093</w:t>
            </w:r>
          </w:p>
        </w:tc>
      </w:tr>
      <w:tr>
        <w:trPr>
          <w:trHeight w:val="33"/>
        </w:trPr>
        <w:tc>
          <w:tcPr>
            <w:tcW w:w="52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33,236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34,093</w:t>
            </w:r>
          </w:p>
        </w:tc>
      </w:tr>
      <w:tr>
        <w:trPr>
          <w:trHeight w:val="20"/>
        </w:trPr>
        <w:tc>
          <w:tcPr>
            <w:tcW w:w="5240" w:type="dxa"/>
            <w:vAlign w:val="bottom"/>
            <w:tcBorders>
              <w:top w:val="single" w:sz="8" w:color="auto"/>
              <w:bottom w:val="single" w:sz="8" w:color="auto"/>
            </w:tcBorders>
          </w:tcPr>
          <w:p>
            <w:pPr>
              <w:spacing w:after="0" w:line="20" w:lineRule="exact"/>
              <w:rPr>
                <w:sz w:val="1"/>
                <w:szCs w:val="1"/>
                <w:color w:val="auto"/>
              </w:rPr>
            </w:pPr>
          </w:p>
        </w:tc>
        <w:tc>
          <w:tcPr>
            <w:tcW w:w="3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These securities can only be redeemed or sold at their par value and only to the respective issuing institution or to another member institution. The Company records these non-marketable equity securities as a component of other assets and periodically evaluates these securities for impairment. Management considers these non-marketable equity securities to be long-term investments. Accordingly, when evaluating these securities for impairment, management considers the ultimate recoverability of the par value rather than recognizing temporary declines in value.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Class B Restricted Shares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2008, the Company received Visa Class B restricted shares as part of Visa’s initial public offering. These shares are transferable only under limited circumstances until they can be converted into the publicly traded Class A common shares. This conversion will not occur until the settlement of certain litigation which will be indemnified by Visa members, including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As of June 30, 2020, the conversion ratio was 1.6228. See Note 12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xml:space="preserve"> for more information.</w:t>
      </w:r>
    </w:p>
    <w:p>
      <w:pPr>
        <w:spacing w:after="0" w:line="19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occasionally sells these Visa Class B shares to other financial institutions. During the second quarter of 2020, the Company recorded a $14.2 million gain on sale of its remaining 80,214 Visa Class B Shares. As a result of this sale, the Company no longer owns any Visa Class B shares.</w:t>
      </w:r>
    </w:p>
    <w:p>
      <w:pPr>
        <w:spacing w:after="0" w:line="1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Loans and Leases and the Allowance for Credit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and lease portfolio was comprised of the following as of June 30, 2020, and December 31, 2019:</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18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33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1,956,939</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1,379,152</w:t>
            </w:r>
          </w:p>
        </w:tc>
      </w:tr>
      <w:tr>
        <w:trPr>
          <w:trHeight w:val="33"/>
        </w:trPr>
        <w:tc>
          <w:tcPr>
            <w:tcW w:w="51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3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2,707,534</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2,518,051</w:t>
            </w:r>
          </w:p>
        </w:tc>
      </w:tr>
      <w:tr>
        <w:trPr>
          <w:trHeight w:val="237"/>
        </w:trPr>
        <w:tc>
          <w:tcPr>
            <w:tcW w:w="5180" w:type="dxa"/>
            <w:vAlign w:val="bottom"/>
          </w:tcPr>
          <w:p>
            <w:pPr>
              <w:ind w:left="500"/>
              <w:spacing w:after="0"/>
              <w:rPr>
                <w:sz w:val="20"/>
                <w:szCs w:val="20"/>
                <w:color w:val="auto"/>
              </w:rPr>
            </w:pPr>
            <w:r>
              <w:rPr>
                <w:rFonts w:ascii="Arial" w:cs="Arial" w:eastAsia="Arial" w:hAnsi="Arial"/>
                <w:sz w:val="16"/>
                <w:szCs w:val="16"/>
                <w:color w:val="auto"/>
              </w:rPr>
              <w:t>Construction</w:t>
            </w:r>
          </w:p>
        </w:tc>
        <w:tc>
          <w:tcPr>
            <w:tcW w:w="33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245,099</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194,170</w:t>
            </w:r>
          </w:p>
        </w:tc>
      </w:tr>
      <w:tr>
        <w:trPr>
          <w:trHeight w:val="33"/>
        </w:trPr>
        <w:tc>
          <w:tcPr>
            <w:tcW w:w="51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Lease Financing</w:t>
            </w:r>
          </w:p>
        </w:tc>
        <w:tc>
          <w:tcPr>
            <w:tcW w:w="3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113,187</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122,454</w:t>
            </w:r>
          </w:p>
        </w:tc>
      </w:tr>
      <w:tr>
        <w:trPr>
          <w:trHeight w:val="230"/>
        </w:trPr>
        <w:tc>
          <w:tcPr>
            <w:tcW w:w="5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5,022,759</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4,213,827</w:t>
            </w:r>
          </w:p>
        </w:tc>
      </w:tr>
      <w:tr>
        <w:trPr>
          <w:trHeight w:val="33"/>
        </w:trPr>
        <w:tc>
          <w:tcPr>
            <w:tcW w:w="51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18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33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3,989,393</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3,891,100</w:t>
            </w:r>
          </w:p>
        </w:tc>
      </w:tr>
      <w:tr>
        <w:trPr>
          <w:trHeight w:val="33"/>
        </w:trPr>
        <w:tc>
          <w:tcPr>
            <w:tcW w:w="51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3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1,640,887</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1,676,073</w:t>
            </w:r>
          </w:p>
        </w:tc>
      </w:tr>
      <w:tr>
        <w:trPr>
          <w:trHeight w:val="237"/>
        </w:trPr>
        <w:tc>
          <w:tcPr>
            <w:tcW w:w="518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33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700,702</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720,286</w:t>
            </w:r>
          </w:p>
        </w:tc>
      </w:tr>
      <w:tr>
        <w:trPr>
          <w:trHeight w:val="33"/>
        </w:trPr>
        <w:tc>
          <w:tcPr>
            <w:tcW w:w="51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451,629</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489,606</w:t>
            </w:r>
          </w:p>
        </w:tc>
      </w:tr>
      <w:tr>
        <w:trPr>
          <w:trHeight w:val="230"/>
        </w:trPr>
        <w:tc>
          <w:tcPr>
            <w:tcW w:w="518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3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6,782,611</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6,777,065</w:t>
            </w:r>
          </w:p>
        </w:tc>
      </w:tr>
      <w:tr>
        <w:trPr>
          <w:trHeight w:val="33"/>
        </w:trPr>
        <w:tc>
          <w:tcPr>
            <w:tcW w:w="51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3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11,805,370</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10,990,892</w:t>
            </w:r>
          </w:p>
        </w:tc>
      </w:tr>
      <w:tr>
        <w:trPr>
          <w:trHeight w:val="20"/>
        </w:trPr>
        <w:tc>
          <w:tcPr>
            <w:tcW w:w="5180" w:type="dxa"/>
            <w:vAlign w:val="bottom"/>
            <w:tcBorders>
              <w:top w:val="single" w:sz="8" w:color="auto"/>
              <w:bottom w:val="single" w:sz="8" w:color="auto"/>
            </w:tcBorders>
          </w:tcPr>
          <w:p>
            <w:pPr>
              <w:spacing w:after="0" w:line="20" w:lineRule="exact"/>
              <w:rPr>
                <w:sz w:val="1"/>
                <w:szCs w:val="1"/>
                <w:color w:val="auto"/>
              </w:rPr>
            </w:pPr>
          </w:p>
        </w:tc>
        <w:tc>
          <w:tcPr>
            <w:tcW w:w="3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7"/>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4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majority of the Company’s lending activity is with customers located in the State of Hawaii. A substantial portion of the Company’s real estate loans are secured by real estate in Hawaii.</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Net gains related to sales of residential mortgage loans, recorded as a component of mortgage banking income were $2.4 million and $1.1 million for the three months ended June 30, 2020, and June 30, 2019, respectively, and $5.6 million and $1.6 million for the six months ended June 30, 2020, and June 30, 2019, respectively.</w:t>
      </w:r>
    </w:p>
    <w:p>
      <w:pPr>
        <w:spacing w:after="0" w:line="18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elected to exclude accrued interest receivable from the amortized cost basis of loans disclosed throughout this footnote. As of June 30, 2020, and December 31, 2019, accrued interest receivable for loans totaled $36.1 million and $30.7 million, respectively, and is included in the “accrued interest receivable” line item on the Company’s consolidated statements of condition.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30" w:right="3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As previously mentioned in Note 1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the CARES Act established the PPP, administered directly by the U.S. SBA. The PPP provides loans to small businesses who were affected by economic conditions as a result of COVID-19 to provide cash-flow assistance to employers who maintain their payroll (including healthcare and certain related expenses), mortgage interest, rent, leases, utilities and interest on existing debt during the COVID-19 emergency. As of June 30, 2020, the Company had 4,482 PPP loans outstanding, with an outstanding principal balance of $543.3 million. The PPP loans are fully guaranteed by the SBA and may be eligible for forgiveness by the SBA to the extent that the proceeds are used to cover eligible payroll costs, interest costs, rent, and utility costs over a period of up to 24 weeks after the loan is made as long as certain conditions are met regarding employee retention and compensation levels. PPP loans deemed eligible for forgiveness by the SBA will be repaid by the SBA to the Company. PPP loans are included in the Commercial and Industrial loan class.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(the “Allowance”)</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 xml:space="preserve">As previously mentioned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the Company’s January 1, 2020, adoption of ASU No. 2016-13, </w:t>
      </w:r>
      <w:r>
        <w:rPr>
          <w:rFonts w:ascii="Arial" w:cs="Arial" w:eastAsia="Arial" w:hAnsi="Arial"/>
          <w:sz w:val="18"/>
          <w:szCs w:val="18"/>
          <w:i w:val="1"/>
          <w:iCs w:val="1"/>
          <w:color w:val="auto"/>
        </w:rPr>
        <w:t xml:space="preserve">“Measurement of Credit Losses on Financial Instruments,” </w:t>
      </w:r>
      <w:r>
        <w:rPr>
          <w:rFonts w:ascii="Arial" w:cs="Arial" w:eastAsia="Arial" w:hAnsi="Arial"/>
          <w:sz w:val="18"/>
          <w:szCs w:val="18"/>
          <w:color w:val="auto"/>
        </w:rPr>
        <w:t>resulted in a significant change to our methodology for estimating the Allowance since</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As a result of this adoption, the Company recorded a $1.7 million decrease to the Allowance as a cumulative-effect adjustment on January 1, 2020.</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by portfolio segment, the activity in the Allowance for the three and six months ended June 30, 2020, and June 30, 2019.</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0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Commercial</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Consumer</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2020</w:t>
            </w:r>
          </w:p>
        </w:tc>
        <w:tc>
          <w:tcPr>
            <w:tcW w:w="10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67,987</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70,163</w:t>
            </w:r>
          </w:p>
        </w:tc>
        <w:tc>
          <w:tcPr>
            <w:tcW w:w="5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138,150</w:t>
            </w:r>
          </w:p>
        </w:tc>
      </w:tr>
      <w:tr>
        <w:trPr>
          <w:trHeight w:val="237"/>
        </w:trPr>
        <w:tc>
          <w:tcPr>
            <w:tcW w:w="570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08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(656)</w:t>
            </w:r>
          </w:p>
        </w:tc>
        <w:tc>
          <w:tcPr>
            <w:tcW w:w="50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(7,627)</w:t>
            </w: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(8,283)</w:t>
            </w:r>
          </w:p>
        </w:tc>
      </w:tr>
      <w:tr>
        <w:trPr>
          <w:trHeight w:val="33"/>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0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1,524</w:t>
            </w: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1,648</w:t>
            </w: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3,172</w:t>
            </w:r>
          </w:p>
        </w:tc>
      </w:tr>
      <w:tr>
        <w:trPr>
          <w:trHeight w:val="231"/>
        </w:trPr>
        <w:tc>
          <w:tcPr>
            <w:tcW w:w="570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0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868</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(5,979)</w:t>
            </w:r>
          </w:p>
        </w:tc>
        <w:tc>
          <w:tcPr>
            <w:tcW w:w="5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(5,111)</w:t>
            </w:r>
          </w:p>
        </w:tc>
      </w:tr>
      <w:tr>
        <w:trPr>
          <w:trHeight w:val="33"/>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0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3,667</w:t>
            </w: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36,733</w:t>
            </w: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40,400</w:t>
            </w:r>
          </w:p>
        </w:tc>
      </w:tr>
      <w:tr>
        <w:trPr>
          <w:trHeight w:val="230"/>
        </w:trPr>
        <w:tc>
          <w:tcPr>
            <w:tcW w:w="570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72,522</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100,917</w:t>
            </w:r>
          </w:p>
        </w:tc>
        <w:tc>
          <w:tcPr>
            <w:tcW w:w="5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173,439</w:t>
            </w:r>
          </w:p>
        </w:tc>
      </w:tr>
      <w:tr>
        <w:trPr>
          <w:trHeight w:val="73"/>
        </w:trPr>
        <w:tc>
          <w:tcPr>
            <w:tcW w:w="57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3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2020</w:t>
            </w:r>
          </w:p>
        </w:tc>
        <w:tc>
          <w:tcPr>
            <w:tcW w:w="10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5700" w:type="dxa"/>
            <w:vAlign w:val="bottom"/>
          </w:tcPr>
          <w:p>
            <w:pPr>
              <w:ind w:left="380"/>
              <w:spacing w:after="0"/>
              <w:rPr>
                <w:sz w:val="20"/>
                <w:szCs w:val="20"/>
                <w:color w:val="auto"/>
              </w:rPr>
            </w:pPr>
            <w:r>
              <w:rPr>
                <w:rFonts w:ascii="Arial" w:cs="Arial" w:eastAsia="Arial" w:hAnsi="Arial"/>
                <w:sz w:val="16"/>
                <w:szCs w:val="16"/>
                <w:b w:val="1"/>
                <w:bCs w:val="1"/>
                <w:color w:val="auto"/>
              </w:rPr>
              <w:t>Allowance for Credit Losses:</w:t>
            </w:r>
          </w:p>
        </w:tc>
        <w:tc>
          <w:tcPr>
            <w:tcW w:w="1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 (December 31, 2019)</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73,801</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36,226</w:t>
            </w:r>
          </w:p>
        </w:tc>
        <w:tc>
          <w:tcPr>
            <w:tcW w:w="5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110,027</w:t>
            </w:r>
          </w:p>
        </w:tc>
      </w:tr>
      <w:tr>
        <w:trPr>
          <w:trHeight w:val="237"/>
        </w:trPr>
        <w:tc>
          <w:tcPr>
            <w:tcW w:w="5700" w:type="dxa"/>
            <w:vAlign w:val="bottom"/>
          </w:tcPr>
          <w:p>
            <w:pPr>
              <w:ind w:left="1140"/>
              <w:spacing w:after="0"/>
              <w:rPr>
                <w:sz w:val="20"/>
                <w:szCs w:val="20"/>
                <w:color w:val="auto"/>
              </w:rPr>
            </w:pPr>
            <w:r>
              <w:rPr>
                <w:rFonts w:ascii="Arial" w:cs="Arial" w:eastAsia="Arial" w:hAnsi="Arial"/>
                <w:sz w:val="16"/>
                <w:szCs w:val="16"/>
                <w:color w:val="auto"/>
              </w:rPr>
              <w:t>CECL Adoption (Day 1) Impact</w:t>
            </w:r>
          </w:p>
        </w:tc>
        <w:tc>
          <w:tcPr>
            <w:tcW w:w="108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(18,789)</w:t>
            </w:r>
          </w:p>
        </w:tc>
        <w:tc>
          <w:tcPr>
            <w:tcW w:w="500" w:type="dxa"/>
            <w:vAlign w:val="bottom"/>
          </w:tcPr>
          <w:p>
            <w:pPr>
              <w:spacing w:after="0"/>
              <w:rPr>
                <w:sz w:val="20"/>
                <w:szCs w:val="20"/>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17,052</w:t>
            </w: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(1,737)</w:t>
            </w:r>
          </w:p>
        </w:tc>
      </w:tr>
      <w:tr>
        <w:trPr>
          <w:trHeight w:val="33"/>
        </w:trPr>
        <w:tc>
          <w:tcPr>
            <w:tcW w:w="5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 (January 1, 2020)</w:t>
            </w:r>
          </w:p>
        </w:tc>
        <w:tc>
          <w:tcPr>
            <w:tcW w:w="10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55,012</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53,278</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108,290</w:t>
            </w:r>
          </w:p>
        </w:tc>
      </w:tr>
      <w:tr>
        <w:trPr>
          <w:trHeight w:val="237"/>
        </w:trPr>
        <w:tc>
          <w:tcPr>
            <w:tcW w:w="570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08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(1,349)</w:t>
            </w:r>
          </w:p>
        </w:tc>
        <w:tc>
          <w:tcPr>
            <w:tcW w:w="50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(14,111)</w:t>
            </w: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(15,460)</w:t>
            </w:r>
          </w:p>
        </w:tc>
      </w:tr>
      <w:tr>
        <w:trPr>
          <w:trHeight w:val="33"/>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0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1,853</w:t>
            </w: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4,756</w:t>
            </w: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6,609</w:t>
            </w:r>
          </w:p>
        </w:tc>
      </w:tr>
      <w:tr>
        <w:trPr>
          <w:trHeight w:val="230"/>
        </w:trPr>
        <w:tc>
          <w:tcPr>
            <w:tcW w:w="570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0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504</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(9,355)</w:t>
            </w:r>
          </w:p>
        </w:tc>
        <w:tc>
          <w:tcPr>
            <w:tcW w:w="5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(8,851)</w:t>
            </w:r>
          </w:p>
        </w:tc>
      </w:tr>
      <w:tr>
        <w:trPr>
          <w:trHeight w:val="33"/>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0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17,006</w:t>
            </w: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56,994</w:t>
            </w: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74,000</w:t>
            </w:r>
          </w:p>
        </w:tc>
      </w:tr>
      <w:tr>
        <w:trPr>
          <w:trHeight w:val="230"/>
        </w:trPr>
        <w:tc>
          <w:tcPr>
            <w:tcW w:w="570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72,522</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100,917</w:t>
            </w:r>
          </w:p>
        </w:tc>
        <w:tc>
          <w:tcPr>
            <w:tcW w:w="5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173,439</w:t>
            </w:r>
          </w:p>
        </w:tc>
      </w:tr>
      <w:tr>
        <w:trPr>
          <w:trHeight w:val="73"/>
        </w:trPr>
        <w:tc>
          <w:tcPr>
            <w:tcW w:w="57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23"/>
        </w:trPr>
        <w:tc>
          <w:tcPr>
            <w:tcW w:w="57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b w:val="1"/>
                <w:bCs w:val="1"/>
                <w:color w:val="auto"/>
              </w:rPr>
              <w:t>Three Months Ended June 30, 2019</w:t>
            </w:r>
          </w:p>
        </w:tc>
        <w:tc>
          <w:tcPr>
            <w:tcW w:w="1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0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820"/>
              <w:spacing w:after="0"/>
              <w:rPr>
                <w:sz w:val="20"/>
                <w:szCs w:val="20"/>
                <w:color w:val="auto"/>
              </w:rPr>
            </w:pPr>
            <w:r>
              <w:rPr>
                <w:rFonts w:ascii="Arial" w:cs="Arial" w:eastAsia="Arial" w:hAnsi="Arial"/>
                <w:sz w:val="16"/>
                <w:szCs w:val="16"/>
                <w:color w:val="auto"/>
              </w:rPr>
              <w:t>Balance at Beginning of Period</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67,527</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38,496</w:t>
            </w:r>
          </w:p>
        </w:tc>
        <w:tc>
          <w:tcPr>
            <w:tcW w:w="5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106,023</w:t>
            </w:r>
          </w:p>
        </w:tc>
      </w:tr>
      <w:tr>
        <w:trPr>
          <w:trHeight w:val="33"/>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Loans and Leases Charged-Off</w:t>
            </w:r>
          </w:p>
        </w:tc>
        <w:tc>
          <w:tcPr>
            <w:tcW w:w="10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(206)</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(4,923)</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(5,129)</w:t>
            </w:r>
          </w:p>
        </w:tc>
      </w:tr>
      <w:tr>
        <w:trPr>
          <w:trHeight w:val="237"/>
        </w:trPr>
        <w:tc>
          <w:tcPr>
            <w:tcW w:w="5700" w:type="dxa"/>
            <w:vAlign w:val="bottom"/>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08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401</w:t>
            </w:r>
          </w:p>
        </w:tc>
        <w:tc>
          <w:tcPr>
            <w:tcW w:w="500" w:type="dxa"/>
            <w:vAlign w:val="bottom"/>
          </w:tcPr>
          <w:p>
            <w:pPr>
              <w:spacing w:after="0"/>
              <w:rPr>
                <w:sz w:val="20"/>
                <w:szCs w:val="20"/>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2,377</w:t>
            </w:r>
          </w:p>
        </w:tc>
        <w:tc>
          <w:tcPr>
            <w:tcW w:w="5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2,778</w:t>
            </w:r>
          </w:p>
        </w:tc>
      </w:tr>
      <w:tr>
        <w:trPr>
          <w:trHeight w:val="33"/>
        </w:trPr>
        <w:tc>
          <w:tcPr>
            <w:tcW w:w="5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0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195</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(2,546)</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(2,351)</w:t>
            </w:r>
          </w:p>
        </w:tc>
      </w:tr>
      <w:tr>
        <w:trPr>
          <w:trHeight w:val="237"/>
        </w:trPr>
        <w:tc>
          <w:tcPr>
            <w:tcW w:w="5700" w:type="dxa"/>
            <w:vAlign w:val="bottom"/>
          </w:tcPr>
          <w:p>
            <w:pPr>
              <w:ind w:left="1140"/>
              <w:spacing w:after="0"/>
              <w:rPr>
                <w:sz w:val="20"/>
                <w:szCs w:val="20"/>
                <w:color w:val="auto"/>
              </w:rPr>
            </w:pPr>
            <w:r>
              <w:rPr>
                <w:rFonts w:ascii="Arial" w:cs="Arial" w:eastAsia="Arial" w:hAnsi="Arial"/>
                <w:sz w:val="16"/>
                <w:szCs w:val="16"/>
                <w:color w:val="auto"/>
              </w:rPr>
              <w:t>Provision for Credit Losses</w:t>
            </w:r>
          </w:p>
        </w:tc>
        <w:tc>
          <w:tcPr>
            <w:tcW w:w="108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1,546</w:t>
            </w:r>
          </w:p>
        </w:tc>
        <w:tc>
          <w:tcPr>
            <w:tcW w:w="500" w:type="dxa"/>
            <w:vAlign w:val="bottom"/>
          </w:tcPr>
          <w:p>
            <w:pPr>
              <w:spacing w:after="0"/>
              <w:rPr>
                <w:sz w:val="20"/>
                <w:szCs w:val="20"/>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2,454</w:t>
            </w:r>
          </w:p>
        </w:tc>
        <w:tc>
          <w:tcPr>
            <w:tcW w:w="5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5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End of Period</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69,268</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38,404</w:t>
            </w:r>
          </w:p>
        </w:tc>
        <w:tc>
          <w:tcPr>
            <w:tcW w:w="5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107,672</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70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 2019</w:t>
            </w: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Allowance for Credit Losses:</w:t>
            </w:r>
          </w:p>
        </w:tc>
        <w:tc>
          <w:tcPr>
            <w:tcW w:w="10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820"/>
              <w:spacing w:after="0"/>
              <w:rPr>
                <w:sz w:val="20"/>
                <w:szCs w:val="20"/>
                <w:color w:val="auto"/>
              </w:rPr>
            </w:pPr>
            <w:r>
              <w:rPr>
                <w:rFonts w:ascii="Arial" w:cs="Arial" w:eastAsia="Arial" w:hAnsi="Arial"/>
                <w:sz w:val="16"/>
                <w:szCs w:val="16"/>
                <w:color w:val="auto"/>
              </w:rPr>
              <w:t>Balance at Beginning of Period</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66,874</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39,819</w:t>
            </w:r>
          </w:p>
        </w:tc>
        <w:tc>
          <w:tcPr>
            <w:tcW w:w="5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106,693</w:t>
            </w:r>
          </w:p>
        </w:tc>
      </w:tr>
      <w:tr>
        <w:trPr>
          <w:trHeight w:val="33"/>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Loans and Leases Charged-Off</w:t>
            </w:r>
          </w:p>
        </w:tc>
        <w:tc>
          <w:tcPr>
            <w:tcW w:w="10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(2,192)</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(9,765)</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(11,957)</w:t>
            </w:r>
          </w:p>
        </w:tc>
      </w:tr>
      <w:tr>
        <w:trPr>
          <w:trHeight w:val="237"/>
        </w:trPr>
        <w:tc>
          <w:tcPr>
            <w:tcW w:w="5700" w:type="dxa"/>
            <w:vAlign w:val="bottom"/>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08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902</w:t>
            </w:r>
          </w:p>
        </w:tc>
        <w:tc>
          <w:tcPr>
            <w:tcW w:w="500" w:type="dxa"/>
            <w:vAlign w:val="bottom"/>
          </w:tcPr>
          <w:p>
            <w:pPr>
              <w:spacing w:after="0"/>
              <w:rPr>
                <w:sz w:val="20"/>
                <w:szCs w:val="20"/>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5,034</w:t>
            </w:r>
          </w:p>
        </w:tc>
        <w:tc>
          <w:tcPr>
            <w:tcW w:w="5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5,936</w:t>
            </w:r>
          </w:p>
        </w:tc>
      </w:tr>
      <w:tr>
        <w:trPr>
          <w:trHeight w:val="33"/>
        </w:trPr>
        <w:tc>
          <w:tcPr>
            <w:tcW w:w="5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0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(1,290)</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(4,731)</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(6,021)</w:t>
            </w:r>
          </w:p>
        </w:tc>
      </w:tr>
      <w:tr>
        <w:trPr>
          <w:trHeight w:val="237"/>
        </w:trPr>
        <w:tc>
          <w:tcPr>
            <w:tcW w:w="5700" w:type="dxa"/>
            <w:vAlign w:val="bottom"/>
          </w:tcPr>
          <w:p>
            <w:pPr>
              <w:ind w:left="1140"/>
              <w:spacing w:after="0"/>
              <w:rPr>
                <w:sz w:val="20"/>
                <w:szCs w:val="20"/>
                <w:color w:val="auto"/>
              </w:rPr>
            </w:pPr>
            <w:r>
              <w:rPr>
                <w:rFonts w:ascii="Arial" w:cs="Arial" w:eastAsia="Arial" w:hAnsi="Arial"/>
                <w:sz w:val="16"/>
                <w:szCs w:val="16"/>
                <w:color w:val="auto"/>
              </w:rPr>
              <w:t>Provision for Credit Losses</w:t>
            </w:r>
          </w:p>
        </w:tc>
        <w:tc>
          <w:tcPr>
            <w:tcW w:w="108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3,684</w:t>
            </w:r>
          </w:p>
        </w:tc>
        <w:tc>
          <w:tcPr>
            <w:tcW w:w="500" w:type="dxa"/>
            <w:vAlign w:val="bottom"/>
          </w:tcPr>
          <w:p>
            <w:pPr>
              <w:spacing w:after="0"/>
              <w:rPr>
                <w:sz w:val="20"/>
                <w:szCs w:val="20"/>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3,316</w:t>
            </w:r>
          </w:p>
        </w:tc>
        <w:tc>
          <w:tcPr>
            <w:tcW w:w="5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7,000</w:t>
            </w:r>
          </w:p>
        </w:tc>
      </w:tr>
      <w:tr>
        <w:trPr>
          <w:trHeight w:val="33"/>
        </w:trPr>
        <w:tc>
          <w:tcPr>
            <w:tcW w:w="5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End of Period</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69,268</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38,404</w:t>
            </w:r>
          </w:p>
        </w:tc>
        <w:tc>
          <w:tcPr>
            <w:tcW w:w="5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107,672</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114"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30" w:right="339" w:bottom="1114"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such as statistical models (e.g., credit scoring or payment performance), are typically risk-rated and monitored collectively. These are typically loans and leases to individuals in the classes which comprise the consumer portfolio segment.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definitions of the Company’s credit quality indicators:</w:t>
      </w:r>
    </w:p>
    <w:p>
      <w:pPr>
        <w:sectPr>
          <w:pgSz w:w="11900" w:h="16838" w:orient="portrait"/>
          <w:cols w:equalWidth="0" w:num="1">
            <w:col w:w="11240"/>
          </w:cols>
          <w:pgMar w:left="320" w:top="130" w:right="339" w:bottom="1440" w:gutter="0" w:footer="0" w:header="0"/>
        </w:sectPr>
      </w:pPr>
    </w:p>
    <w:p>
      <w:pPr>
        <w:spacing w:after="0" w:line="225" w:lineRule="exact"/>
        <w:rPr>
          <w:sz w:val="20"/>
          <w:szCs w:val="20"/>
          <w:color w:val="auto"/>
        </w:rPr>
      </w:pPr>
    </w:p>
    <w:p>
      <w:pPr>
        <w:ind w:left="500"/>
        <w:spacing w:after="0"/>
        <w:rPr>
          <w:sz w:val="20"/>
          <w:szCs w:val="20"/>
          <w:color w:val="auto"/>
        </w:rPr>
      </w:pPr>
      <w:r>
        <w:rPr>
          <w:rFonts w:ascii="Arial" w:cs="Arial" w:eastAsia="Arial" w:hAnsi="Arial"/>
          <w:sz w:val="13"/>
          <w:szCs w:val="13"/>
          <w:color w:val="auto"/>
        </w:rPr>
        <w:t>Pass: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color w:val="auto"/>
        </w:rPr>
        <w:t>Loans and leases in all classes within the commercial and consumer portfolio segments that are not adversely rated, are contractually current as to principal and interest, and are otherwise in compliance with the contractual terms of the loan or lease agreement. Management believes that there is a low likelihood of loss related to those loans and leases that are considered Pass.</w:t>
      </w:r>
    </w:p>
    <w:p>
      <w:pPr>
        <w:spacing w:after="0" w:line="131" w:lineRule="exact"/>
        <w:rPr>
          <w:sz w:val="20"/>
          <w:szCs w:val="20"/>
          <w:color w:val="auto"/>
        </w:rPr>
      </w:pPr>
    </w:p>
    <w:p>
      <w:pPr>
        <w:sectPr>
          <w:pgSz w:w="11900" w:h="16838" w:orient="portrait"/>
          <w:cols w:equalWidth="0" w:num="2">
            <w:col w:w="1240" w:space="720"/>
            <w:col w:w="9280"/>
          </w:cols>
          <w:pgMar w:left="320" w:top="130" w:right="33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Special Mention:</w:t>
      </w:r>
    </w:p>
    <w:p>
      <w:pPr>
        <w:spacing w:after="0" w:line="20" w:lineRule="exact"/>
        <w:rPr>
          <w:sz w:val="20"/>
          <w:szCs w:val="20"/>
          <w:color w:val="auto"/>
        </w:rPr>
      </w:pPr>
      <w:r>
        <w:rPr>
          <w:sz w:val="20"/>
          <w:szCs w:val="20"/>
          <w:color w:val="auto"/>
        </w:rPr>
        <w:br w:type="column"/>
      </w:r>
    </w:p>
    <w:p>
      <w:pPr>
        <w:ind w:right="160"/>
        <w:spacing w:after="0" w:line="257" w:lineRule="auto"/>
        <w:rPr>
          <w:sz w:val="20"/>
          <w:szCs w:val="20"/>
          <w:color w:val="auto"/>
        </w:rPr>
      </w:pPr>
      <w:r>
        <w:rPr>
          <w:rFonts w:ascii="Arial" w:cs="Arial" w:eastAsia="Arial" w:hAnsi="Arial"/>
          <w:sz w:val="18"/>
          <w:szCs w:val="18"/>
          <w:color w:val="auto"/>
        </w:rPr>
        <w:t>Loans and leases in all classes within the commercial portfolio segment that have potential weaknesses that deserve management’s close attention. If not addressed, these potential weaknesses may result in deterioration of the repayment prospects for the loan or lease. Management believes that there is a moderate likelihood of some loss related to those loans and leases that are considered Special Mention. The Special Mention credit quality indicator is not used for the consumer portfolio segment.</w:t>
      </w:r>
    </w:p>
    <w:p>
      <w:pPr>
        <w:spacing w:after="0" w:line="188" w:lineRule="exact"/>
        <w:rPr>
          <w:sz w:val="20"/>
          <w:szCs w:val="20"/>
          <w:color w:val="auto"/>
        </w:rPr>
      </w:pPr>
    </w:p>
    <w:p>
      <w:pPr>
        <w:sectPr>
          <w:pgSz w:w="11900" w:h="16838" w:orient="portrait"/>
          <w:cols w:equalWidth="0" w:num="2">
            <w:col w:w="1720" w:space="240"/>
            <w:col w:w="9280"/>
          </w:cols>
          <w:pgMar w:left="320" w:top="130" w:right="33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Classified:</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6"/>
          <w:szCs w:val="16"/>
          <w:color w:val="auto"/>
        </w:rPr>
        <w:t>Loans and leases in the classes within the commercial portfolio segment that are inadequately protected by the sound worth and paying capacity of the borrower or of the collateral pledged, if any. Classified loans and leases are also those in the classes within the consumer portfolio segment that are past due 90 days or more as to principal or interest. Residential mortgage loans that are past due 90 days or more as to principal or interest may be considered Pass if the current loan-to-value ratio is 60% or less. Home equity loans that are past due 90 days or more as to principal or interest may be considered Pass if the first mortgage is with the Company and the current combined loan-to-value ratio is 60% or less. Residential mortgage and home equity loans may be current as to principal and interest, but may be considered Classified for a period of generally up to six months following a loan modification. Following a period of demonstrated performance in accordance with the modified contractual terms, the loan may be removed from Classified status. Management believes that there is a distinct possibility that the Company will sustain some loss if the deficiencies related to Classified loans and leases are not corrected in a timely manner.</w:t>
      </w:r>
    </w:p>
    <w:p>
      <w:pPr>
        <w:spacing w:after="0" w:line="200" w:lineRule="exact"/>
        <w:rPr>
          <w:sz w:val="20"/>
          <w:szCs w:val="20"/>
          <w:color w:val="auto"/>
        </w:rPr>
      </w:pPr>
    </w:p>
    <w:p>
      <w:pPr>
        <w:sectPr>
          <w:pgSz w:w="11900" w:h="16838" w:orient="portrait"/>
          <w:cols w:equalWidth="0" w:num="2">
            <w:col w:w="1260" w:space="700"/>
            <w:col w:w="9280"/>
          </w:cols>
          <w:pgMar w:left="320" w:top="130" w:right="339" w:bottom="1440" w:gutter="0" w:footer="0" w:header="0"/>
          <w:type w:val="continuous"/>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30" w:right="3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For pass rated credits, risk ratings are certified at a minimum annually. For special mention or classified credits, risk ratings are reviewed for appropriateness on an ongoing basis, monthly, or at a minimum, quarterly. The following presents by credit quality indicator, loan class, and year of origination, the amortized cost basis of the Company’s loans and leases as of June 30, 2020.</w:t>
      </w: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auto"/>
        </w:rPr>
        <w:t>Term Loans by Origination Year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56"/>
              <w:spacing w:after="0" w:line="153" w:lineRule="exact"/>
              <w:rPr>
                <w:sz w:val="20"/>
                <w:szCs w:val="20"/>
                <w:color w:val="auto"/>
              </w:rPr>
            </w:pPr>
            <w:r>
              <w:rPr>
                <w:rFonts w:ascii="Arial" w:cs="Arial" w:eastAsia="Arial" w:hAnsi="Arial"/>
                <w:sz w:val="14"/>
                <w:szCs w:val="14"/>
                <w:b w:val="1"/>
                <w:bCs w:val="1"/>
                <w:color w:val="auto"/>
              </w:rPr>
              <w:t>Revolving</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YTD</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Revolving</w:t>
            </w:r>
          </w:p>
        </w:tc>
        <w:tc>
          <w:tcPr>
            <w:tcW w:w="180" w:type="dxa"/>
            <w:vAlign w:val="bottom"/>
          </w:tcPr>
          <w:p>
            <w:pPr>
              <w:spacing w:after="0"/>
              <w:rPr>
                <w:sz w:val="12"/>
                <w:szCs w:val="12"/>
                <w:color w:val="auto"/>
              </w:rPr>
            </w:pPr>
          </w:p>
        </w:tc>
        <w:tc>
          <w:tcPr>
            <w:tcW w:w="92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rPr>
              <w:t>Loans</w:t>
            </w:r>
          </w:p>
        </w:tc>
        <w:tc>
          <w:tcPr>
            <w:tcW w:w="220" w:type="dxa"/>
            <w:vAlign w:val="bottom"/>
          </w:tcPr>
          <w:p>
            <w:pPr>
              <w:spacing w:after="0"/>
              <w:rPr>
                <w:sz w:val="12"/>
                <w:szCs w:val="12"/>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6"/>
              </w:rPr>
              <w:t>Total Loans</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2"/>
                <w:szCs w:val="12"/>
                <w:color w:val="auto"/>
              </w:rPr>
            </w:pPr>
          </w:p>
        </w:tc>
        <w:tc>
          <w:tcPr>
            <w:tcW w:w="80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Prior</w:t>
            </w: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90"/>
              </w:rPr>
              <w:t>Converted to</w:t>
            </w: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w w:val="96"/>
              </w:rPr>
              <w:t>(dollars in thousands)</w:t>
            </w:r>
          </w:p>
        </w:tc>
        <w:tc>
          <w:tcPr>
            <w:tcW w:w="104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4"/>
                <w:szCs w:val="14"/>
                <w:b w:val="1"/>
                <w:bCs w:val="1"/>
                <w:color w:val="auto"/>
                <w:w w:val="96"/>
              </w:rPr>
              <w:t>June 30, 2020</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Loans</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8"/>
              </w:rPr>
              <w:t>Term Loans</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9"/>
              </w:rPr>
              <w:t>and Leases</w:t>
            </w:r>
          </w:p>
        </w:tc>
        <w:tc>
          <w:tcPr>
            <w:tcW w:w="0" w:type="dxa"/>
            <w:vAlign w:val="bottom"/>
          </w:tcPr>
          <w:p>
            <w:pPr>
              <w:spacing w:after="0"/>
              <w:rPr>
                <w:sz w:val="1"/>
                <w:szCs w:val="1"/>
                <w:color w:val="auto"/>
              </w:rPr>
            </w:pPr>
          </w:p>
        </w:tc>
      </w:tr>
      <w:tr>
        <w:trPr>
          <w:trHeight w:val="269"/>
        </w:trPr>
        <w:tc>
          <w:tcPr>
            <w:tcW w:w="126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June 30, 2020</w:t>
            </w: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1260" w:type="dxa"/>
            <w:vAlign w:val="bottom"/>
            <w:gridSpan w:val="2"/>
          </w:tcPr>
          <w:p>
            <w:pPr>
              <w:ind w:left="40"/>
              <w:spacing w:after="0"/>
              <w:rPr>
                <w:sz w:val="20"/>
                <w:szCs w:val="20"/>
                <w:color w:val="auto"/>
              </w:rPr>
            </w:pPr>
            <w:r>
              <w:rPr>
                <w:rFonts w:ascii="Arial" w:cs="Arial" w:eastAsia="Arial" w:hAnsi="Arial"/>
                <w:sz w:val="13"/>
                <w:szCs w:val="13"/>
                <w:color w:val="auto"/>
              </w:rPr>
              <w:t>Commercial</w:t>
            </w: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6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w w:val="92"/>
              </w:rPr>
              <w:t>Commercial and Industrial</w:t>
            </w: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260" w:type="dxa"/>
            <w:vAlign w:val="bottom"/>
            <w:gridSpan w:val="2"/>
          </w:tcPr>
          <w:p>
            <w:pPr>
              <w:ind w:left="280"/>
              <w:spacing w:after="0"/>
              <w:rPr>
                <w:sz w:val="20"/>
                <w:szCs w:val="20"/>
                <w:color w:val="auto"/>
              </w:rPr>
            </w:pPr>
            <w:r>
              <w:rPr>
                <w:rFonts w:ascii="Arial" w:cs="Arial" w:eastAsia="Arial" w:hAnsi="Arial"/>
                <w:sz w:val="13"/>
                <w:szCs w:val="13"/>
                <w:color w:val="auto"/>
              </w:rPr>
              <w:t>Pass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755,648</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221,992</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199,600</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78,712</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83,437</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101,529</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431,950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1,163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1,874,031</w:t>
            </w:r>
          </w:p>
        </w:tc>
        <w:tc>
          <w:tcPr>
            <w:tcW w:w="0" w:type="dxa"/>
            <w:vAlign w:val="bottom"/>
          </w:tcPr>
          <w:p>
            <w:pPr>
              <w:spacing w:after="0"/>
              <w:rPr>
                <w:sz w:val="1"/>
                <w:szCs w:val="1"/>
                <w:color w:val="auto"/>
              </w:rPr>
            </w:pPr>
          </w:p>
        </w:tc>
      </w:tr>
      <w:tr>
        <w:trPr>
          <w:trHeight w:val="278"/>
        </w:trPr>
        <w:tc>
          <w:tcPr>
            <w:tcW w:w="12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Special Mention</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1,358</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126</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2,046</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194</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7,131</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10,969</w:t>
            </w:r>
          </w:p>
        </w:tc>
        <w:tc>
          <w:tcPr>
            <w:tcW w:w="0" w:type="dxa"/>
            <w:vAlign w:val="bottom"/>
          </w:tcPr>
          <w:p>
            <w:pPr>
              <w:spacing w:after="0"/>
              <w:rPr>
                <w:sz w:val="1"/>
                <w:szCs w:val="1"/>
                <w:color w:val="auto"/>
              </w:rPr>
            </w:pPr>
          </w:p>
        </w:tc>
      </w:tr>
      <w:tr>
        <w:trPr>
          <w:trHeight w:val="263"/>
        </w:trPr>
        <w:tc>
          <w:tcPr>
            <w:tcW w:w="126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color w:val="auto"/>
              </w:rPr>
              <w:t>Classified</w:t>
            </w: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23,031</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838</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1,620</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1,111</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1,649</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20,163</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23,424</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103</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71,939</w:t>
            </w: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8" w:lineRule="exact"/>
              <w:rPr>
                <w:sz w:val="20"/>
                <w:szCs w:val="20"/>
                <w:color w:val="auto"/>
              </w:rPr>
            </w:pPr>
            <w:r>
              <w:rPr>
                <w:rFonts w:ascii="Arial" w:cs="Arial" w:eastAsia="Arial" w:hAnsi="Arial"/>
                <w:sz w:val="13"/>
                <w:szCs w:val="13"/>
                <w:color w:val="auto"/>
              </w:rPr>
              <w:t>Total Commercial</w:t>
            </w: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3"/>
                <w:szCs w:val="13"/>
                <w:color w:val="auto"/>
              </w:rPr>
              <w:t>and Industrial</w:t>
            </w: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780,037</w:t>
            </w:r>
          </w:p>
        </w:tc>
        <w:tc>
          <w:tcPr>
            <w:tcW w:w="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222,956</w:t>
            </w:r>
          </w:p>
        </w:tc>
        <w:tc>
          <w:tcPr>
            <w:tcW w:w="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203,266</w:t>
            </w:r>
          </w:p>
        </w:tc>
        <w:tc>
          <w:tcPr>
            <w:tcW w:w="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79,823</w:t>
            </w:r>
          </w:p>
        </w:tc>
        <w:tc>
          <w:tcPr>
            <w:tcW w:w="3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85,200</w:t>
            </w:r>
          </w:p>
        </w:tc>
        <w:tc>
          <w:tcPr>
            <w:tcW w:w="3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121,886</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462,505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1,266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1,956,939</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600" w:type="dxa"/>
            <w:vAlign w:val="bottom"/>
            <w:gridSpan w:val="3"/>
          </w:tcPr>
          <w:p>
            <w:pPr>
              <w:ind w:left="180"/>
              <w:spacing w:after="0"/>
              <w:rPr>
                <w:sz w:val="20"/>
                <w:szCs w:val="20"/>
                <w:color w:val="auto"/>
              </w:rPr>
            </w:pPr>
            <w:r>
              <w:rPr>
                <w:rFonts w:ascii="Arial" w:cs="Arial" w:eastAsia="Arial" w:hAnsi="Arial"/>
                <w:sz w:val="13"/>
                <w:szCs w:val="13"/>
                <w:color w:val="auto"/>
              </w:rPr>
              <w:t>Commercial Mortgage</w:t>
            </w: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2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Pass</w:t>
            </w: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433,742</w:t>
            </w: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568,350</w:t>
            </w: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385,977</w:t>
            </w:r>
          </w:p>
        </w:tc>
        <w:tc>
          <w:tcPr>
            <w:tcW w:w="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280,736</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319,128</w:t>
            </w:r>
          </w:p>
        </w:tc>
        <w:tc>
          <w:tcPr>
            <w:tcW w:w="3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543,951</w:t>
            </w: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73,922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2,605,806</w:t>
            </w:r>
          </w:p>
        </w:tc>
        <w:tc>
          <w:tcPr>
            <w:tcW w:w="0" w:type="dxa"/>
            <w:vAlign w:val="bottom"/>
          </w:tcPr>
          <w:p>
            <w:pPr>
              <w:spacing w:after="0"/>
              <w:rPr>
                <w:sz w:val="1"/>
                <w:szCs w:val="1"/>
                <w:color w:val="auto"/>
              </w:rPr>
            </w:pPr>
          </w:p>
        </w:tc>
      </w:tr>
      <w:tr>
        <w:trPr>
          <w:trHeight w:val="262"/>
        </w:trPr>
        <w:tc>
          <w:tcPr>
            <w:tcW w:w="1260" w:type="dxa"/>
            <w:vAlign w:val="bottom"/>
            <w:gridSpan w:val="2"/>
          </w:tcPr>
          <w:p>
            <w:pPr>
              <w:ind w:left="280"/>
              <w:spacing w:after="0"/>
              <w:rPr>
                <w:sz w:val="20"/>
                <w:szCs w:val="20"/>
                <w:color w:val="auto"/>
              </w:rPr>
            </w:pPr>
            <w:r>
              <w:rPr>
                <w:rFonts w:ascii="Arial" w:cs="Arial" w:eastAsia="Arial" w:hAnsi="Arial"/>
                <w:sz w:val="13"/>
                <w:szCs w:val="13"/>
                <w:color w:val="auto"/>
              </w:rPr>
              <w:t>Special Mention</w:t>
            </w:r>
          </w:p>
        </w:tc>
        <w:tc>
          <w:tcPr>
            <w:tcW w:w="34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4,543</w:t>
            </w:r>
          </w:p>
        </w:tc>
        <w:tc>
          <w:tcPr>
            <w:tcW w:w="36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21,517</w:t>
            </w:r>
          </w:p>
        </w:tc>
        <w:tc>
          <w:tcPr>
            <w:tcW w:w="3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13,160</w:t>
            </w:r>
          </w:p>
        </w:tc>
        <w:tc>
          <w:tcPr>
            <w:tcW w:w="34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1,261</w:t>
            </w:r>
          </w:p>
        </w:tc>
        <w:tc>
          <w:tcPr>
            <w:tcW w:w="3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5,453</w:t>
            </w:r>
          </w:p>
        </w:tc>
        <w:tc>
          <w:tcPr>
            <w:tcW w:w="280" w:type="dxa"/>
            <w:vAlign w:val="bottom"/>
          </w:tcPr>
          <w:p>
            <w:pPr>
              <w:spacing w:after="0"/>
              <w:rPr>
                <w:sz w:val="22"/>
                <w:szCs w:val="22"/>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45,934</w:t>
            </w:r>
          </w:p>
        </w:tc>
        <w:tc>
          <w:tcPr>
            <w:tcW w:w="0" w:type="dxa"/>
            <w:vAlign w:val="bottom"/>
          </w:tcPr>
          <w:p>
            <w:pPr>
              <w:spacing w:after="0"/>
              <w:rPr>
                <w:sz w:val="1"/>
                <w:szCs w:val="1"/>
                <w:color w:val="auto"/>
              </w:rPr>
            </w:pPr>
          </w:p>
        </w:tc>
      </w:tr>
      <w:tr>
        <w:trPr>
          <w:trHeight w:val="272"/>
        </w:trPr>
        <w:tc>
          <w:tcPr>
            <w:tcW w:w="126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3"/>
                <w:szCs w:val="13"/>
                <w:color w:val="auto"/>
              </w:rPr>
              <w:t>Classified</w:t>
            </w:r>
          </w:p>
        </w:tc>
        <w:tc>
          <w:tcPr>
            <w:tcW w:w="3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33,168</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4,368</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2,789</w:t>
            </w: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1,405</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4,791</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9,273</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55,794</w:t>
            </w: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8" w:lineRule="exact"/>
              <w:rPr>
                <w:sz w:val="20"/>
                <w:szCs w:val="20"/>
                <w:color w:val="auto"/>
              </w:rPr>
            </w:pPr>
            <w:r>
              <w:rPr>
                <w:rFonts w:ascii="Arial" w:cs="Arial" w:eastAsia="Arial" w:hAnsi="Arial"/>
                <w:sz w:val="13"/>
                <w:szCs w:val="13"/>
                <w:color w:val="auto"/>
              </w:rPr>
              <w:t>Total Commercial</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color w:val="auto"/>
              </w:rPr>
              <w:t>Mortgage</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471,453</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572,718</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410,283</w:t>
            </w:r>
          </w:p>
        </w:tc>
        <w:tc>
          <w:tcPr>
            <w:tcW w:w="3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295,301</w:t>
            </w:r>
          </w:p>
        </w:tc>
        <w:tc>
          <w:tcPr>
            <w:tcW w:w="3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325,180</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558,677</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73,922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2,707,534</w:t>
            </w:r>
          </w:p>
        </w:tc>
        <w:tc>
          <w:tcPr>
            <w:tcW w:w="0" w:type="dxa"/>
            <w:vAlign w:val="bottom"/>
          </w:tcPr>
          <w:p>
            <w:pPr>
              <w:spacing w:after="0"/>
              <w:rPr>
                <w:sz w:val="1"/>
                <w:szCs w:val="1"/>
                <w:color w:val="auto"/>
              </w:rPr>
            </w:pPr>
          </w:p>
        </w:tc>
      </w:tr>
      <w:tr>
        <w:trPr>
          <w:trHeight w:val="257"/>
        </w:trPr>
        <w:tc>
          <w:tcPr>
            <w:tcW w:w="12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Construction</w:t>
            </w: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260" w:type="dxa"/>
            <w:vAlign w:val="bottom"/>
            <w:gridSpan w:val="2"/>
          </w:tcPr>
          <w:p>
            <w:pPr>
              <w:ind w:left="280"/>
              <w:spacing w:after="0"/>
              <w:rPr>
                <w:sz w:val="20"/>
                <w:szCs w:val="20"/>
                <w:color w:val="auto"/>
              </w:rPr>
            </w:pPr>
            <w:r>
              <w:rPr>
                <w:rFonts w:ascii="Arial" w:cs="Arial" w:eastAsia="Arial" w:hAnsi="Arial"/>
                <w:sz w:val="13"/>
                <w:szCs w:val="13"/>
                <w:color w:val="auto"/>
              </w:rPr>
              <w:t>Pass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66,853</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87,978</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33,825</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11,356</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1,915</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42,020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243,947</w:t>
            </w:r>
          </w:p>
        </w:tc>
        <w:tc>
          <w:tcPr>
            <w:tcW w:w="0" w:type="dxa"/>
            <w:vAlign w:val="bottom"/>
          </w:tcPr>
          <w:p>
            <w:pPr>
              <w:spacing w:after="0"/>
              <w:rPr>
                <w:sz w:val="1"/>
                <w:szCs w:val="1"/>
                <w:color w:val="auto"/>
              </w:rPr>
            </w:pPr>
          </w:p>
        </w:tc>
      </w:tr>
      <w:tr>
        <w:trPr>
          <w:trHeight w:val="271"/>
        </w:trPr>
        <w:tc>
          <w:tcPr>
            <w:tcW w:w="126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3"/>
                <w:szCs w:val="13"/>
                <w:color w:val="auto"/>
              </w:rPr>
              <w:t>Special Mention</w:t>
            </w:r>
          </w:p>
        </w:tc>
        <w:tc>
          <w:tcPr>
            <w:tcW w:w="3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1,152</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1,152</w:t>
            </w:r>
          </w:p>
        </w:tc>
        <w:tc>
          <w:tcPr>
            <w:tcW w:w="0" w:type="dxa"/>
            <w:vAlign w:val="bottom"/>
          </w:tcPr>
          <w:p>
            <w:pPr>
              <w:spacing w:after="0"/>
              <w:rPr>
                <w:sz w:val="1"/>
                <w:szCs w:val="1"/>
                <w:color w:val="auto"/>
              </w:rPr>
            </w:pPr>
          </w:p>
        </w:tc>
      </w:tr>
      <w:tr>
        <w:trPr>
          <w:trHeight w:val="304"/>
        </w:trPr>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color w:val="auto"/>
              </w:rPr>
              <w:t>Total Construction</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68,005</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87,978</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33,825</w:t>
            </w:r>
          </w:p>
        </w:tc>
        <w:tc>
          <w:tcPr>
            <w:tcW w:w="3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11,356</w:t>
            </w:r>
          </w:p>
        </w:tc>
        <w:tc>
          <w:tcPr>
            <w:tcW w:w="3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1,915</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42,020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245,099</w:t>
            </w:r>
          </w:p>
        </w:tc>
        <w:tc>
          <w:tcPr>
            <w:tcW w:w="0" w:type="dxa"/>
            <w:vAlign w:val="bottom"/>
          </w:tcPr>
          <w:p>
            <w:pPr>
              <w:spacing w:after="0"/>
              <w:rPr>
                <w:sz w:val="1"/>
                <w:szCs w:val="1"/>
                <w:color w:val="auto"/>
              </w:rPr>
            </w:pPr>
          </w:p>
        </w:tc>
      </w:tr>
      <w:tr>
        <w:trPr>
          <w:trHeight w:val="257"/>
        </w:trPr>
        <w:tc>
          <w:tcPr>
            <w:tcW w:w="12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Lease Financing</w:t>
            </w: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260" w:type="dxa"/>
            <w:vAlign w:val="bottom"/>
            <w:gridSpan w:val="2"/>
          </w:tcPr>
          <w:p>
            <w:pPr>
              <w:ind w:left="280"/>
              <w:spacing w:after="0"/>
              <w:rPr>
                <w:sz w:val="20"/>
                <w:szCs w:val="20"/>
                <w:color w:val="auto"/>
              </w:rPr>
            </w:pPr>
            <w:r>
              <w:rPr>
                <w:rFonts w:ascii="Arial" w:cs="Arial" w:eastAsia="Arial" w:hAnsi="Arial"/>
                <w:sz w:val="13"/>
                <w:szCs w:val="13"/>
                <w:color w:val="auto"/>
              </w:rPr>
              <w:t>Pass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9,492</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22,039</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15,672</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5,390</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11,303</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47,828</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111,724</w:t>
            </w:r>
          </w:p>
        </w:tc>
        <w:tc>
          <w:tcPr>
            <w:tcW w:w="0" w:type="dxa"/>
            <w:vAlign w:val="bottom"/>
          </w:tcPr>
          <w:p>
            <w:pPr>
              <w:spacing w:after="0"/>
              <w:rPr>
                <w:sz w:val="1"/>
                <w:szCs w:val="1"/>
                <w:color w:val="auto"/>
              </w:rPr>
            </w:pPr>
          </w:p>
        </w:tc>
      </w:tr>
      <w:tr>
        <w:trPr>
          <w:trHeight w:val="272"/>
        </w:trPr>
        <w:tc>
          <w:tcPr>
            <w:tcW w:w="126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3"/>
                <w:szCs w:val="13"/>
                <w:color w:val="auto"/>
              </w:rPr>
              <w:t>Classified</w:t>
            </w:r>
          </w:p>
        </w:tc>
        <w:tc>
          <w:tcPr>
            <w:tcW w:w="3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36</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75</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1,169</w:t>
            </w: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54</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129</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1,463</w:t>
            </w: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8" w:lineRule="exact"/>
              <w:rPr>
                <w:sz w:val="20"/>
                <w:szCs w:val="20"/>
                <w:color w:val="auto"/>
              </w:rPr>
            </w:pPr>
            <w:r>
              <w:rPr>
                <w:rFonts w:ascii="Arial" w:cs="Arial" w:eastAsia="Arial" w:hAnsi="Arial"/>
                <w:sz w:val="13"/>
                <w:szCs w:val="13"/>
                <w:color w:val="auto"/>
              </w:rPr>
              <w:t>Total Lease</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color w:val="auto"/>
              </w:rPr>
              <w:t>Financing</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9,528</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22,114</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16,841</w:t>
            </w:r>
          </w:p>
        </w:tc>
        <w:tc>
          <w:tcPr>
            <w:tcW w:w="3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5,444</w:t>
            </w:r>
          </w:p>
        </w:tc>
        <w:tc>
          <w:tcPr>
            <w:tcW w:w="3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11,432</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47,828</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113,187</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Total Commercial</w:t>
            </w: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3"/>
              </w:rPr>
              <w:t>1,329,023</w:t>
            </w:r>
          </w:p>
        </w:tc>
        <w:tc>
          <w:tcPr>
            <w:tcW w:w="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905,766</w:t>
            </w:r>
          </w:p>
        </w:tc>
        <w:tc>
          <w:tcPr>
            <w:tcW w:w="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664,215</w:t>
            </w:r>
          </w:p>
        </w:tc>
        <w:tc>
          <w:tcPr>
            <w:tcW w:w="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391,924</w:t>
            </w:r>
          </w:p>
        </w:tc>
        <w:tc>
          <w:tcPr>
            <w:tcW w:w="3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421,812</w:t>
            </w:r>
          </w:p>
        </w:tc>
        <w:tc>
          <w:tcPr>
            <w:tcW w:w="3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730,306</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578,447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1,266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5,022,759</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260" w:type="dxa"/>
            <w:vAlign w:val="bottom"/>
            <w:gridSpan w:val="2"/>
          </w:tcPr>
          <w:p>
            <w:pPr>
              <w:ind w:left="40"/>
              <w:spacing w:after="0"/>
              <w:rPr>
                <w:sz w:val="20"/>
                <w:szCs w:val="20"/>
                <w:color w:val="auto"/>
              </w:rPr>
            </w:pPr>
            <w:r>
              <w:rPr>
                <w:rFonts w:ascii="Arial" w:cs="Arial" w:eastAsia="Arial" w:hAnsi="Arial"/>
                <w:sz w:val="13"/>
                <w:szCs w:val="13"/>
                <w:color w:val="auto"/>
              </w:rPr>
              <w:t>Consumer</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2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w w:val="86"/>
              </w:rPr>
              <w:t>Residential Mortgage</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260" w:type="dxa"/>
            <w:vAlign w:val="bottom"/>
            <w:gridSpan w:val="2"/>
          </w:tcPr>
          <w:p>
            <w:pPr>
              <w:ind w:left="280"/>
              <w:spacing w:after="0"/>
              <w:rPr>
                <w:sz w:val="20"/>
                <w:szCs w:val="20"/>
                <w:color w:val="auto"/>
              </w:rPr>
            </w:pPr>
            <w:r>
              <w:rPr>
                <w:rFonts w:ascii="Arial" w:cs="Arial" w:eastAsia="Arial" w:hAnsi="Arial"/>
                <w:sz w:val="13"/>
                <w:szCs w:val="13"/>
                <w:color w:val="auto"/>
              </w:rPr>
              <w:t>Pass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529,394</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666,174</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404,470</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569,995</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650,609</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1,162,732</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3,983,374</w:t>
            </w:r>
          </w:p>
        </w:tc>
        <w:tc>
          <w:tcPr>
            <w:tcW w:w="0" w:type="dxa"/>
            <w:vAlign w:val="bottom"/>
          </w:tcPr>
          <w:p>
            <w:pPr>
              <w:spacing w:after="0"/>
              <w:rPr>
                <w:sz w:val="1"/>
                <w:szCs w:val="1"/>
                <w:color w:val="auto"/>
              </w:rPr>
            </w:pPr>
          </w:p>
        </w:tc>
      </w:tr>
      <w:tr>
        <w:trPr>
          <w:trHeight w:val="272"/>
        </w:trPr>
        <w:tc>
          <w:tcPr>
            <w:tcW w:w="126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3"/>
                <w:szCs w:val="13"/>
                <w:color w:val="auto"/>
              </w:rPr>
              <w:t>Classified</w:t>
            </w:r>
          </w:p>
        </w:tc>
        <w:tc>
          <w:tcPr>
            <w:tcW w:w="3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932</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5,087</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6,019</w:t>
            </w: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8" w:lineRule="exact"/>
              <w:rPr>
                <w:sz w:val="20"/>
                <w:szCs w:val="20"/>
                <w:color w:val="auto"/>
              </w:rPr>
            </w:pPr>
            <w:r>
              <w:rPr>
                <w:rFonts w:ascii="Arial" w:cs="Arial" w:eastAsia="Arial" w:hAnsi="Arial"/>
                <w:sz w:val="13"/>
                <w:szCs w:val="13"/>
                <w:color w:val="auto"/>
              </w:rPr>
              <w:t>Total Residential</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color w:val="auto"/>
              </w:rPr>
              <w:t>Mortgage</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529,394</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666,174</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404,470</w:t>
            </w:r>
          </w:p>
        </w:tc>
        <w:tc>
          <w:tcPr>
            <w:tcW w:w="3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570,927</w:t>
            </w:r>
          </w:p>
        </w:tc>
        <w:tc>
          <w:tcPr>
            <w:tcW w:w="3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650,609</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1,167,819</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3,989,393</w:t>
            </w:r>
          </w:p>
        </w:tc>
        <w:tc>
          <w:tcPr>
            <w:tcW w:w="0" w:type="dxa"/>
            <w:vAlign w:val="bottom"/>
          </w:tcPr>
          <w:p>
            <w:pPr>
              <w:spacing w:after="0"/>
              <w:rPr>
                <w:sz w:val="1"/>
                <w:szCs w:val="1"/>
                <w:color w:val="auto"/>
              </w:rPr>
            </w:pPr>
          </w:p>
        </w:tc>
      </w:tr>
      <w:tr>
        <w:trPr>
          <w:trHeight w:val="257"/>
        </w:trPr>
        <w:tc>
          <w:tcPr>
            <w:tcW w:w="12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Home Equity</w:t>
            </w: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260" w:type="dxa"/>
            <w:vAlign w:val="bottom"/>
            <w:gridSpan w:val="2"/>
          </w:tcPr>
          <w:p>
            <w:pPr>
              <w:ind w:left="280"/>
              <w:spacing w:after="0"/>
              <w:rPr>
                <w:sz w:val="20"/>
                <w:szCs w:val="20"/>
                <w:color w:val="auto"/>
              </w:rPr>
            </w:pPr>
            <w:r>
              <w:rPr>
                <w:rFonts w:ascii="Arial" w:cs="Arial" w:eastAsia="Arial" w:hAnsi="Arial"/>
                <w:sz w:val="13"/>
                <w:szCs w:val="13"/>
                <w:color w:val="auto"/>
              </w:rPr>
              <w:t>Pass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5,563</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1,587,454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41,957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1,634,974</w:t>
            </w:r>
          </w:p>
        </w:tc>
        <w:tc>
          <w:tcPr>
            <w:tcW w:w="0" w:type="dxa"/>
            <w:vAlign w:val="bottom"/>
          </w:tcPr>
          <w:p>
            <w:pPr>
              <w:spacing w:after="0"/>
              <w:rPr>
                <w:sz w:val="1"/>
                <w:szCs w:val="1"/>
                <w:color w:val="auto"/>
              </w:rPr>
            </w:pPr>
          </w:p>
        </w:tc>
      </w:tr>
      <w:tr>
        <w:trPr>
          <w:trHeight w:val="271"/>
        </w:trPr>
        <w:tc>
          <w:tcPr>
            <w:tcW w:w="126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3"/>
                <w:szCs w:val="13"/>
                <w:color w:val="auto"/>
              </w:rPr>
              <w:t>Classified</w:t>
            </w:r>
          </w:p>
        </w:tc>
        <w:tc>
          <w:tcPr>
            <w:tcW w:w="3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72</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4,701</w:t>
            </w: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1,140</w:t>
            </w: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5,913</w:t>
            </w:r>
          </w:p>
        </w:tc>
        <w:tc>
          <w:tcPr>
            <w:tcW w:w="0" w:type="dxa"/>
            <w:vAlign w:val="bottom"/>
          </w:tcPr>
          <w:p>
            <w:pPr>
              <w:spacing w:after="0"/>
              <w:rPr>
                <w:sz w:val="1"/>
                <w:szCs w:val="1"/>
                <w:color w:val="auto"/>
              </w:rPr>
            </w:pPr>
          </w:p>
        </w:tc>
      </w:tr>
      <w:tr>
        <w:trPr>
          <w:trHeight w:val="304"/>
        </w:trPr>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color w:val="auto"/>
                <w:w w:val="99"/>
              </w:rPr>
              <w:t>Total Home Equity</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5,635</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1,592,155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43,097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1,640,887</w:t>
            </w:r>
          </w:p>
        </w:tc>
        <w:tc>
          <w:tcPr>
            <w:tcW w:w="0" w:type="dxa"/>
            <w:vAlign w:val="bottom"/>
          </w:tcPr>
          <w:p>
            <w:pPr>
              <w:spacing w:after="0"/>
              <w:rPr>
                <w:sz w:val="1"/>
                <w:szCs w:val="1"/>
                <w:color w:val="auto"/>
              </w:rPr>
            </w:pPr>
          </w:p>
        </w:tc>
      </w:tr>
      <w:tr>
        <w:trPr>
          <w:trHeight w:val="257"/>
        </w:trPr>
        <w:tc>
          <w:tcPr>
            <w:tcW w:w="12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Automobile</w:t>
            </w: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260" w:type="dxa"/>
            <w:vAlign w:val="bottom"/>
            <w:gridSpan w:val="2"/>
          </w:tcPr>
          <w:p>
            <w:pPr>
              <w:ind w:left="280"/>
              <w:spacing w:after="0"/>
              <w:rPr>
                <w:sz w:val="20"/>
                <w:szCs w:val="20"/>
                <w:color w:val="auto"/>
              </w:rPr>
            </w:pPr>
            <w:r>
              <w:rPr>
                <w:rFonts w:ascii="Arial" w:cs="Arial" w:eastAsia="Arial" w:hAnsi="Arial"/>
                <w:sz w:val="13"/>
                <w:szCs w:val="13"/>
                <w:color w:val="auto"/>
              </w:rPr>
              <w:t>Pass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104,123</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248,977</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191,876</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88,540</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45,333</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21,721</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700,570</w:t>
            </w:r>
          </w:p>
        </w:tc>
        <w:tc>
          <w:tcPr>
            <w:tcW w:w="0" w:type="dxa"/>
            <w:vAlign w:val="bottom"/>
          </w:tcPr>
          <w:p>
            <w:pPr>
              <w:spacing w:after="0"/>
              <w:rPr>
                <w:sz w:val="1"/>
                <w:szCs w:val="1"/>
                <w:color w:val="auto"/>
              </w:rPr>
            </w:pPr>
          </w:p>
        </w:tc>
      </w:tr>
      <w:tr>
        <w:trPr>
          <w:trHeight w:val="271"/>
        </w:trPr>
        <w:tc>
          <w:tcPr>
            <w:tcW w:w="126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3"/>
                <w:szCs w:val="13"/>
                <w:color w:val="auto"/>
              </w:rPr>
              <w:t>Classified</w:t>
            </w:r>
          </w:p>
        </w:tc>
        <w:tc>
          <w:tcPr>
            <w:tcW w:w="3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49</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65</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304"/>
        </w:trPr>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color w:val="auto"/>
              </w:rPr>
              <w:t>Total Automobile</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104,123</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248,977</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191,890</w:t>
            </w:r>
          </w:p>
        </w:tc>
        <w:tc>
          <w:tcPr>
            <w:tcW w:w="3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88,589</w:t>
            </w:r>
          </w:p>
        </w:tc>
        <w:tc>
          <w:tcPr>
            <w:tcW w:w="3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45,398</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21,725</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700,702</w:t>
            </w:r>
          </w:p>
        </w:tc>
        <w:tc>
          <w:tcPr>
            <w:tcW w:w="0" w:type="dxa"/>
            <w:vAlign w:val="bottom"/>
          </w:tcPr>
          <w:p>
            <w:pPr>
              <w:spacing w:after="0"/>
              <w:rPr>
                <w:sz w:val="1"/>
                <w:szCs w:val="1"/>
                <w:color w:val="auto"/>
              </w:rPr>
            </w:pPr>
          </w:p>
        </w:tc>
      </w:tr>
      <w:tr>
        <w:trPr>
          <w:trHeight w:val="257"/>
        </w:trPr>
        <w:tc>
          <w:tcPr>
            <w:tcW w:w="12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Other</w:t>
            </w:r>
            <w:r>
              <w:rPr>
                <w:rFonts w:ascii="Arial" w:cs="Arial" w:eastAsia="Arial" w:hAnsi="Arial"/>
                <w:sz w:val="8"/>
                <w:szCs w:val="8"/>
                <w:color w:val="auto"/>
              </w:rPr>
              <w:t>1</w:t>
            </w: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260" w:type="dxa"/>
            <w:vAlign w:val="bottom"/>
            <w:gridSpan w:val="2"/>
          </w:tcPr>
          <w:p>
            <w:pPr>
              <w:ind w:left="280"/>
              <w:spacing w:after="0"/>
              <w:rPr>
                <w:sz w:val="20"/>
                <w:szCs w:val="20"/>
                <w:color w:val="auto"/>
              </w:rPr>
            </w:pPr>
            <w:r>
              <w:rPr>
                <w:rFonts w:ascii="Arial" w:cs="Arial" w:eastAsia="Arial" w:hAnsi="Arial"/>
                <w:sz w:val="13"/>
                <w:szCs w:val="13"/>
                <w:color w:val="auto"/>
              </w:rPr>
              <w:t>Pass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51,410</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169,940</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113,204</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59,637</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14,852</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5,078</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35,615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1,596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451,332</w:t>
            </w:r>
          </w:p>
        </w:tc>
        <w:tc>
          <w:tcPr>
            <w:tcW w:w="0" w:type="dxa"/>
            <w:vAlign w:val="bottom"/>
          </w:tcPr>
          <w:p>
            <w:pPr>
              <w:spacing w:after="0"/>
              <w:rPr>
                <w:sz w:val="1"/>
                <w:szCs w:val="1"/>
                <w:color w:val="auto"/>
              </w:rPr>
            </w:pPr>
          </w:p>
        </w:tc>
      </w:tr>
      <w:tr>
        <w:trPr>
          <w:trHeight w:val="272"/>
        </w:trPr>
        <w:tc>
          <w:tcPr>
            <w:tcW w:w="126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3"/>
                <w:szCs w:val="13"/>
                <w:color w:val="auto"/>
              </w:rPr>
              <w:t>Classified</w:t>
            </w:r>
          </w:p>
        </w:tc>
        <w:tc>
          <w:tcPr>
            <w:tcW w:w="3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33</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92</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83</w:t>
            </w: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39</w:t>
            </w: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297</w:t>
            </w:r>
          </w:p>
        </w:tc>
        <w:tc>
          <w:tcPr>
            <w:tcW w:w="0" w:type="dxa"/>
            <w:vAlign w:val="bottom"/>
          </w:tcPr>
          <w:p>
            <w:pPr>
              <w:spacing w:after="0"/>
              <w:rPr>
                <w:sz w:val="1"/>
                <w:szCs w:val="1"/>
                <w:color w:val="auto"/>
              </w:rPr>
            </w:pPr>
          </w:p>
        </w:tc>
      </w:tr>
      <w:tr>
        <w:trPr>
          <w:trHeight w:val="304"/>
        </w:trPr>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color w:val="auto"/>
              </w:rPr>
              <w:t>Total Other</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51,410</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169,973</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113,254</w:t>
            </w:r>
          </w:p>
        </w:tc>
        <w:tc>
          <w:tcPr>
            <w:tcW w:w="3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59,729</w:t>
            </w:r>
          </w:p>
        </w:tc>
        <w:tc>
          <w:tcPr>
            <w:tcW w:w="3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14,852</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5,078</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35,698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1,635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451,629</w:t>
            </w:r>
          </w:p>
        </w:tc>
        <w:tc>
          <w:tcPr>
            <w:tcW w:w="0" w:type="dxa"/>
            <w:vAlign w:val="bottom"/>
          </w:tcPr>
          <w:p>
            <w:pPr>
              <w:spacing w:after="0"/>
              <w:rPr>
                <w:sz w:val="1"/>
                <w:szCs w:val="1"/>
                <w:color w:val="auto"/>
              </w:rPr>
            </w:pPr>
          </w:p>
        </w:tc>
      </w:tr>
      <w:tr>
        <w:trPr>
          <w:trHeight w:val="250"/>
        </w:trPr>
        <w:tc>
          <w:tcPr>
            <w:tcW w:w="12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Total Consumer</w:t>
            </w: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684,927</w:t>
            </w:r>
          </w:p>
        </w:tc>
        <w:tc>
          <w:tcPr>
            <w:tcW w:w="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1,085,124</w:t>
            </w:r>
          </w:p>
        </w:tc>
        <w:tc>
          <w:tcPr>
            <w:tcW w:w="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709,614</w:t>
            </w:r>
          </w:p>
        </w:tc>
        <w:tc>
          <w:tcPr>
            <w:tcW w:w="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719,245</w:t>
            </w:r>
          </w:p>
        </w:tc>
        <w:tc>
          <w:tcPr>
            <w:tcW w:w="3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710,859</w:t>
            </w:r>
          </w:p>
        </w:tc>
        <w:tc>
          <w:tcPr>
            <w:tcW w:w="3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1,200,257</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1,627,853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44,732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6,782,611</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rPr>
              <w:t>Total Loans and Leases $</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93"/>
              </w:rPr>
              <w:t>2,013,950</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1,990,890</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1,373,829</w:t>
            </w:r>
          </w:p>
        </w:tc>
        <w:tc>
          <w:tcPr>
            <w:tcW w:w="3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1,111,169</w:t>
            </w:r>
          </w:p>
        </w:tc>
        <w:tc>
          <w:tcPr>
            <w:tcW w:w="3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1,132,671</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1,930,563</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2,206,300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45,998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11,805,370</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8"/>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2020, $1.3 million revolving loans were converted to term loans.</w:t>
      </w:r>
    </w:p>
    <w:p>
      <w:pPr>
        <w:sectPr>
          <w:pgSz w:w="11900" w:h="16838" w:orient="portrait"/>
          <w:cols w:equalWidth="0" w:num="1">
            <w:col w:w="11240"/>
          </w:cols>
          <w:pgMar w:left="320" w:top="130" w:right="339" w:bottom="1033"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30" w:right="339" w:bottom="1033"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by loan class and credit quality indicator, the recorded investment in the Company’s loans and leases as of December 31,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2"/>
              </w:rPr>
              <w:t>December 31, 2019</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Commercial</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Commercial</w:t>
            </w: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b w:val="1"/>
                <w:bCs w:val="1"/>
                <w:color w:val="auto"/>
              </w:rPr>
              <w:t>Lease</w:t>
            </w: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7"/>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and Industrial</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Mortgage</w:t>
            </w: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8"/>
              </w:rPr>
              <w:t>Construction</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Financing</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1,306,040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2,463,858</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188,832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120,933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4,079,663</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4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37,722</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16,453</w:t>
            </w:r>
          </w:p>
        </w:tc>
        <w:tc>
          <w:tcPr>
            <w:tcW w:w="52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4,148</w:t>
            </w:r>
          </w:p>
        </w:tc>
        <w:tc>
          <w:tcPr>
            <w:tcW w:w="300" w:type="dxa"/>
            <w:vAlign w:val="bottom"/>
          </w:tcPr>
          <w:p>
            <w:pPr>
              <w:spacing w:after="0"/>
              <w:rPr>
                <w:sz w:val="20"/>
                <w:szCs w:val="20"/>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58,323</w:t>
            </w:r>
          </w:p>
        </w:tc>
      </w:tr>
      <w:tr>
        <w:trPr>
          <w:trHeight w:val="33"/>
        </w:trPr>
        <w:tc>
          <w:tcPr>
            <w:tcW w:w="4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35,390</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37,740</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1,190</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1,521</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75,841</w:t>
            </w:r>
          </w:p>
        </w:tc>
      </w:tr>
      <w:tr>
        <w:trPr>
          <w:trHeight w:val="231"/>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1,379,152</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2,518,051</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194,170</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122,454</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4,213,827</w:t>
            </w:r>
          </w:p>
        </w:tc>
      </w:tr>
      <w:tr>
        <w:trPr>
          <w:trHeight w:val="73"/>
        </w:trPr>
        <w:tc>
          <w:tcPr>
            <w:tcW w:w="40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4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6"/>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Residential</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Home</w:t>
            </w: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2"/>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5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Automobile</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7"/>
                <w:szCs w:val="17"/>
                <w:b w:val="1"/>
                <w:bCs w:val="1"/>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3,886,389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1,671,468</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719,337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488,113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6,765,307</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Classified</w:t>
            </w:r>
          </w:p>
        </w:tc>
        <w:tc>
          <w:tcPr>
            <w:tcW w:w="24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4,711</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4,605</w:t>
            </w:r>
          </w:p>
        </w:tc>
        <w:tc>
          <w:tcPr>
            <w:tcW w:w="52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949</w:t>
            </w:r>
          </w:p>
        </w:tc>
        <w:tc>
          <w:tcPr>
            <w:tcW w:w="300" w:type="dxa"/>
            <w:vAlign w:val="bottom"/>
          </w:tcPr>
          <w:p>
            <w:pPr>
              <w:spacing w:after="0"/>
              <w:rPr>
                <w:sz w:val="20"/>
                <w:szCs w:val="20"/>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1,493</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11,758</w:t>
            </w:r>
          </w:p>
        </w:tc>
      </w:tr>
      <w:tr>
        <w:trPr>
          <w:trHeight w:val="33"/>
        </w:trPr>
        <w:tc>
          <w:tcPr>
            <w:tcW w:w="4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3,891,100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1,676,073</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720,286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489,606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6,777,065</w:t>
            </w: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060" w:type="dxa"/>
            <w:vAlign w:val="bottom"/>
          </w:tcPr>
          <w:p>
            <w:pPr>
              <w:ind w:left="40"/>
              <w:spacing w:after="0"/>
              <w:rPr>
                <w:sz w:val="20"/>
                <w:szCs w:val="20"/>
                <w:color w:val="auto"/>
              </w:rPr>
            </w:pPr>
            <w:r>
              <w:rPr>
                <w:rFonts w:ascii="Arial" w:cs="Arial" w:eastAsia="Arial" w:hAnsi="Arial"/>
                <w:sz w:val="16"/>
                <w:szCs w:val="16"/>
                <w:b w:val="1"/>
                <w:bCs w:val="1"/>
                <w:color w:val="auto"/>
              </w:rPr>
              <w:t>Total Recorded Investment in Loans and Leases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10,990,892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0"/>
          <w:szCs w:val="20"/>
          <w:color w:val="auto"/>
        </w:rPr>
      </w:pPr>
    </w:p>
    <w:p>
      <w:pPr>
        <w:ind w:left="80" w:hanging="72"/>
        <w:spacing w:after="0"/>
        <w:tabs>
          <w:tab w:leader="none" w:pos="80" w:val="left"/>
        </w:tabs>
        <w:numPr>
          <w:ilvl w:val="0"/>
          <w:numId w:val="9"/>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Loans and leases are considered to be past due once becoming 30 days delinquent. For the consumer portfolio, this generally represents two missed monthly payments. The following presents by class, an aging analysis of the Company’s loan and lease portfolio as of June 30, 2020, and December 31,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30-59</w:t>
            </w:r>
          </w:p>
        </w:tc>
        <w:tc>
          <w:tcPr>
            <w:tcW w:w="28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60-89</w:t>
            </w:r>
          </w:p>
        </w:tc>
        <w:tc>
          <w:tcPr>
            <w:tcW w:w="28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Past Due</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Non-Accrual</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Non-</w:t>
            </w: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Loans and</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Days</w:t>
            </w:r>
          </w:p>
        </w:tc>
        <w:tc>
          <w:tcPr>
            <w:tcW w:w="28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Days</w:t>
            </w:r>
          </w:p>
        </w:tc>
        <w:tc>
          <w:tcPr>
            <w:tcW w:w="28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90 Days</w:t>
            </w:r>
          </w:p>
        </w:tc>
        <w:tc>
          <w:tcPr>
            <w:tcW w:w="3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Past Due and</w:t>
            </w:r>
          </w:p>
        </w:tc>
        <w:tc>
          <w:tcPr>
            <w:tcW w:w="32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Current</w:t>
            </w:r>
          </w:p>
        </w:tc>
        <w:tc>
          <w:tcPr>
            <w:tcW w:w="320" w:type="dxa"/>
            <w:vAlign w:val="bottom"/>
          </w:tcPr>
          <w:p>
            <w:pPr>
              <w:spacing w:after="0"/>
              <w:rPr>
                <w:sz w:val="12"/>
                <w:szCs w:val="12"/>
                <w:color w:val="auto"/>
              </w:rPr>
            </w:pPr>
          </w:p>
        </w:tc>
        <w:tc>
          <w:tcPr>
            <w:tcW w:w="9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Loans and</w:t>
            </w:r>
          </w:p>
        </w:tc>
        <w:tc>
          <w:tcPr>
            <w:tcW w:w="28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Leases that</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Past Due</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Past Due</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or More</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Accrual</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Non-Accrual</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Leases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xml:space="preserve">are Current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70"/>
        </w:trPr>
        <w:tc>
          <w:tcPr>
            <w:tcW w:w="2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 of June 30, 2020</w:t>
            </w: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0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and Industrial</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834</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1,956,105</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1,956,939</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64"/>
        </w:trPr>
        <w:tc>
          <w:tcPr>
            <w:tcW w:w="2000" w:type="dxa"/>
            <w:vAlign w:val="bottom"/>
          </w:tcPr>
          <w:p>
            <w:pPr>
              <w:ind w:left="280"/>
              <w:spacing w:after="0"/>
              <w:rPr>
                <w:sz w:val="20"/>
                <w:szCs w:val="20"/>
                <w:color w:val="auto"/>
              </w:rPr>
            </w:pPr>
            <w:r>
              <w:rPr>
                <w:rFonts w:ascii="Arial" w:cs="Arial" w:eastAsia="Arial" w:hAnsi="Arial"/>
                <w:sz w:val="14"/>
                <w:szCs w:val="14"/>
                <w:color w:val="auto"/>
              </w:rPr>
              <w:t>Commercial Mortgage</w:t>
            </w:r>
          </w:p>
        </w:tc>
        <w:tc>
          <w:tcPr>
            <w:tcW w:w="3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8,672</w:t>
            </w:r>
          </w:p>
        </w:tc>
        <w:tc>
          <w:tcPr>
            <w:tcW w:w="2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8,672</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2,698,862</w:t>
            </w:r>
          </w:p>
        </w:tc>
        <w:tc>
          <w:tcPr>
            <w:tcW w:w="3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2,707,534</w:t>
            </w:r>
          </w:p>
        </w:tc>
        <w:tc>
          <w:tcPr>
            <w:tcW w:w="28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8,672</w:t>
            </w:r>
          </w:p>
        </w:tc>
        <w:tc>
          <w:tcPr>
            <w:tcW w:w="0" w:type="dxa"/>
            <w:vAlign w:val="bottom"/>
          </w:tcPr>
          <w:p>
            <w:pPr>
              <w:spacing w:after="0"/>
              <w:rPr>
                <w:sz w:val="1"/>
                <w:szCs w:val="1"/>
                <w:color w:val="auto"/>
              </w:rPr>
            </w:pPr>
          </w:p>
        </w:tc>
      </w:tr>
      <w:tr>
        <w:trPr>
          <w:trHeight w:val="276"/>
        </w:trPr>
        <w:tc>
          <w:tcPr>
            <w:tcW w:w="2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Construction</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245,099</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245,099</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Lease Financing</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617</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617</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112,570</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113,187</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Commercial</w:t>
            </w: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910</w:t>
            </w:r>
          </w:p>
        </w:tc>
        <w:tc>
          <w:tcPr>
            <w:tcW w:w="2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w:t>
            </w:r>
          </w:p>
        </w:tc>
        <w:tc>
          <w:tcPr>
            <w:tcW w:w="2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9,131</w:t>
            </w: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10,123</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5,012,636</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5,022,759</w:t>
            </w: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9,045</w:t>
            </w:r>
          </w:p>
        </w:tc>
        <w:tc>
          <w:tcPr>
            <w:tcW w:w="0" w:type="dxa"/>
            <w:vAlign w:val="bottom"/>
          </w:tcPr>
          <w:p>
            <w:pPr>
              <w:spacing w:after="0"/>
              <w:rPr>
                <w:sz w:val="1"/>
                <w:szCs w:val="1"/>
                <w:color w:val="auto"/>
              </w:rPr>
            </w:pPr>
          </w:p>
        </w:tc>
      </w:tr>
      <w:tr>
        <w:trPr>
          <w:trHeight w:val="263"/>
        </w:trPr>
        <w:tc>
          <w:tcPr>
            <w:tcW w:w="2000" w:type="dxa"/>
            <w:vAlign w:val="bottom"/>
          </w:tcPr>
          <w:p>
            <w:pPr>
              <w:ind w:left="40"/>
              <w:spacing w:after="0"/>
              <w:rPr>
                <w:sz w:val="20"/>
                <w:szCs w:val="20"/>
                <w:color w:val="auto"/>
              </w:rPr>
            </w:pPr>
            <w:r>
              <w:rPr>
                <w:rFonts w:ascii="Arial" w:cs="Arial" w:eastAsia="Arial" w:hAnsi="Arial"/>
                <w:sz w:val="14"/>
                <w:szCs w:val="14"/>
                <w:color w:val="auto"/>
              </w:rPr>
              <w:t>Consumer</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Residential Mortgage</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4,736</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1,921</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4,937</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5,888</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17,482</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3,971,911</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3,989,393</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264"/>
        </w:trPr>
        <w:tc>
          <w:tcPr>
            <w:tcW w:w="2000" w:type="dxa"/>
            <w:vAlign w:val="bottom"/>
          </w:tcPr>
          <w:p>
            <w:pPr>
              <w:ind w:left="280"/>
              <w:spacing w:after="0"/>
              <w:rPr>
                <w:sz w:val="20"/>
                <w:szCs w:val="20"/>
                <w:color w:val="auto"/>
              </w:rPr>
            </w:pPr>
            <w:r>
              <w:rPr>
                <w:rFonts w:ascii="Arial" w:cs="Arial" w:eastAsia="Arial" w:hAnsi="Arial"/>
                <w:sz w:val="14"/>
                <w:szCs w:val="14"/>
                <w:color w:val="auto"/>
              </w:rPr>
              <w:t>Home Equity</w:t>
            </w:r>
          </w:p>
        </w:tc>
        <w:tc>
          <w:tcPr>
            <w:tcW w:w="3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914</w:t>
            </w: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703</w:t>
            </w: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3,519</w:t>
            </w:r>
          </w:p>
        </w:tc>
        <w:tc>
          <w:tcPr>
            <w:tcW w:w="3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5,176</w:t>
            </w:r>
          </w:p>
        </w:tc>
        <w:tc>
          <w:tcPr>
            <w:tcW w:w="2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10,312</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1,630,575</w:t>
            </w:r>
          </w:p>
        </w:tc>
        <w:tc>
          <w:tcPr>
            <w:tcW w:w="3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1,640,887</w:t>
            </w:r>
          </w:p>
        </w:tc>
        <w:tc>
          <w:tcPr>
            <w:tcW w:w="28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1,351</w:t>
            </w:r>
          </w:p>
        </w:tc>
        <w:tc>
          <w:tcPr>
            <w:tcW w:w="0" w:type="dxa"/>
            <w:vAlign w:val="bottom"/>
          </w:tcPr>
          <w:p>
            <w:pPr>
              <w:spacing w:after="0"/>
              <w:rPr>
                <w:sz w:val="1"/>
                <w:szCs w:val="1"/>
                <w:color w:val="auto"/>
              </w:rPr>
            </w:pPr>
          </w:p>
        </w:tc>
      </w:tr>
      <w:tr>
        <w:trPr>
          <w:trHeight w:val="276"/>
        </w:trPr>
        <w:tc>
          <w:tcPr>
            <w:tcW w:w="2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Automobile</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2,027</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2,459</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698,243</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700,702</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1,946</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1,064</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296</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3,306</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448,323</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451,629</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Consumer</w:t>
            </w: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9,623</w:t>
            </w:r>
          </w:p>
        </w:tc>
        <w:tc>
          <w:tcPr>
            <w:tcW w:w="2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3,987</w:t>
            </w:r>
          </w:p>
        </w:tc>
        <w:tc>
          <w:tcPr>
            <w:tcW w:w="2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8,885</w:t>
            </w:r>
          </w:p>
        </w:tc>
        <w:tc>
          <w:tcPr>
            <w:tcW w:w="3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11,064</w:t>
            </w: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33,559</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6,749,052</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6,782,611</w:t>
            </w: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303"/>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10,533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4,069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8,885</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20,195</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43,682</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11,761,688</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11,805,370</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11,053</w:t>
            </w:r>
          </w:p>
        </w:tc>
        <w:tc>
          <w:tcPr>
            <w:tcW w:w="0" w:type="dxa"/>
            <w:vAlign w:val="bottom"/>
          </w:tcPr>
          <w:p>
            <w:pPr>
              <w:spacing w:after="0"/>
              <w:rPr>
                <w:sz w:val="1"/>
                <w:szCs w:val="1"/>
                <w:color w:val="auto"/>
              </w:rPr>
            </w:pPr>
          </w:p>
        </w:tc>
      </w:tr>
      <w:tr>
        <w:trPr>
          <w:trHeight w:val="257"/>
        </w:trPr>
        <w:tc>
          <w:tcPr>
            <w:tcW w:w="20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2019</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00" w:type="dxa"/>
            <w:vAlign w:val="bottom"/>
          </w:tcPr>
          <w:p>
            <w:pPr>
              <w:ind w:left="280"/>
              <w:spacing w:after="0"/>
              <w:rPr>
                <w:sz w:val="20"/>
                <w:szCs w:val="20"/>
                <w:color w:val="auto"/>
              </w:rPr>
            </w:pPr>
            <w:r>
              <w:rPr>
                <w:rFonts w:ascii="Arial" w:cs="Arial" w:eastAsia="Arial" w:hAnsi="Arial"/>
                <w:sz w:val="14"/>
                <w:szCs w:val="14"/>
                <w:color w:val="auto"/>
              </w:rPr>
              <w:t>Commercial and Industrial</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12,534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830</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13,512</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1,365,640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1,379,152</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276"/>
        </w:trPr>
        <w:tc>
          <w:tcPr>
            <w:tcW w:w="2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Mortgage</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2,998</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9,244</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12,242</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2,505,809</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2,518,051</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9,244</w:t>
            </w:r>
          </w:p>
        </w:tc>
        <w:tc>
          <w:tcPr>
            <w:tcW w:w="0" w:type="dxa"/>
            <w:vAlign w:val="bottom"/>
          </w:tcPr>
          <w:p>
            <w:pPr>
              <w:spacing w:after="0"/>
              <w:rPr>
                <w:sz w:val="1"/>
                <w:szCs w:val="1"/>
                <w:color w:val="auto"/>
              </w:rPr>
            </w:pPr>
          </w:p>
        </w:tc>
      </w:tr>
      <w:tr>
        <w:trPr>
          <w:trHeight w:val="264"/>
        </w:trPr>
        <w:tc>
          <w:tcPr>
            <w:tcW w:w="2000" w:type="dxa"/>
            <w:vAlign w:val="bottom"/>
          </w:tcPr>
          <w:p>
            <w:pPr>
              <w:ind w:left="280"/>
              <w:spacing w:after="0"/>
              <w:rPr>
                <w:sz w:val="20"/>
                <w:szCs w:val="20"/>
                <w:color w:val="auto"/>
              </w:rPr>
            </w:pPr>
            <w:r>
              <w:rPr>
                <w:rFonts w:ascii="Arial" w:cs="Arial" w:eastAsia="Arial" w:hAnsi="Arial"/>
                <w:sz w:val="14"/>
                <w:szCs w:val="14"/>
                <w:color w:val="auto"/>
              </w:rPr>
              <w:t>Construction</w:t>
            </w:r>
          </w:p>
        </w:tc>
        <w:tc>
          <w:tcPr>
            <w:tcW w:w="3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152</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194,018</w:t>
            </w:r>
          </w:p>
        </w:tc>
        <w:tc>
          <w:tcPr>
            <w:tcW w:w="3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194,170</w:t>
            </w:r>
          </w:p>
        </w:tc>
        <w:tc>
          <w:tcPr>
            <w:tcW w:w="28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Lease Financing</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720</w:t>
            </w: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720</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121,734</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122,454</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Commercial</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16,353</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10,074</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26,626</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4,187,201</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4,213,827</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9,665</w:t>
            </w:r>
          </w:p>
        </w:tc>
        <w:tc>
          <w:tcPr>
            <w:tcW w:w="0" w:type="dxa"/>
            <w:vAlign w:val="bottom"/>
          </w:tcPr>
          <w:p>
            <w:pPr>
              <w:spacing w:after="0"/>
              <w:rPr>
                <w:sz w:val="1"/>
                <w:szCs w:val="1"/>
                <w:color w:val="auto"/>
              </w:rPr>
            </w:pPr>
          </w:p>
        </w:tc>
      </w:tr>
      <w:tr>
        <w:trPr>
          <w:trHeight w:val="270"/>
        </w:trPr>
        <w:tc>
          <w:tcPr>
            <w:tcW w:w="2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w:t>
            </w: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00" w:type="dxa"/>
            <w:vAlign w:val="bottom"/>
          </w:tcPr>
          <w:p>
            <w:pPr>
              <w:ind w:left="280"/>
              <w:spacing w:after="0"/>
              <w:rPr>
                <w:sz w:val="20"/>
                <w:szCs w:val="20"/>
                <w:color w:val="auto"/>
              </w:rPr>
            </w:pPr>
            <w:r>
              <w:rPr>
                <w:rFonts w:ascii="Arial" w:cs="Arial" w:eastAsia="Arial" w:hAnsi="Arial"/>
                <w:sz w:val="14"/>
                <w:szCs w:val="14"/>
                <w:color w:val="auto"/>
              </w:rPr>
              <w:t>Residential Mortgage</w:t>
            </w:r>
          </w:p>
        </w:tc>
        <w:tc>
          <w:tcPr>
            <w:tcW w:w="3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6,097</w:t>
            </w: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2,070</w:t>
            </w: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1,839</w:t>
            </w:r>
          </w:p>
        </w:tc>
        <w:tc>
          <w:tcPr>
            <w:tcW w:w="3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4,125</w:t>
            </w:r>
          </w:p>
        </w:tc>
        <w:tc>
          <w:tcPr>
            <w:tcW w:w="2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14,131</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3,876,969</w:t>
            </w:r>
          </w:p>
        </w:tc>
        <w:tc>
          <w:tcPr>
            <w:tcW w:w="3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3,891,100</w:t>
            </w:r>
          </w:p>
        </w:tc>
        <w:tc>
          <w:tcPr>
            <w:tcW w:w="28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1,429</w:t>
            </w:r>
          </w:p>
        </w:tc>
        <w:tc>
          <w:tcPr>
            <w:tcW w:w="0" w:type="dxa"/>
            <w:vAlign w:val="bottom"/>
          </w:tcPr>
          <w:p>
            <w:pPr>
              <w:spacing w:after="0"/>
              <w:rPr>
                <w:sz w:val="1"/>
                <w:szCs w:val="1"/>
                <w:color w:val="auto"/>
              </w:rPr>
            </w:pPr>
          </w:p>
        </w:tc>
      </w:tr>
      <w:tr>
        <w:trPr>
          <w:trHeight w:val="276"/>
        </w:trPr>
        <w:tc>
          <w:tcPr>
            <w:tcW w:w="2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Home Equity</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3,949</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2,280</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4,125</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3,181</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13,535</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1,662,538</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1,676,073</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64"/>
        </w:trPr>
        <w:tc>
          <w:tcPr>
            <w:tcW w:w="2000" w:type="dxa"/>
            <w:vAlign w:val="bottom"/>
          </w:tcPr>
          <w:p>
            <w:pPr>
              <w:ind w:left="280"/>
              <w:spacing w:after="0"/>
              <w:rPr>
                <w:sz w:val="20"/>
                <w:szCs w:val="20"/>
                <w:color w:val="auto"/>
              </w:rPr>
            </w:pPr>
            <w:r>
              <w:rPr>
                <w:rFonts w:ascii="Arial" w:cs="Arial" w:eastAsia="Arial" w:hAnsi="Arial"/>
                <w:sz w:val="14"/>
                <w:szCs w:val="14"/>
                <w:color w:val="auto"/>
              </w:rPr>
              <w:t>Automobile</w:t>
            </w:r>
          </w:p>
        </w:tc>
        <w:tc>
          <w:tcPr>
            <w:tcW w:w="3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16,067</w:t>
            </w: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4,154</w:t>
            </w: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949</w:t>
            </w:r>
          </w:p>
        </w:tc>
        <w:tc>
          <w:tcPr>
            <w:tcW w:w="3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21,170</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699,116</w:t>
            </w:r>
          </w:p>
        </w:tc>
        <w:tc>
          <w:tcPr>
            <w:tcW w:w="3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720,286</w:t>
            </w:r>
          </w:p>
        </w:tc>
        <w:tc>
          <w:tcPr>
            <w:tcW w:w="28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3,498</w:t>
            </w: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2,074</w:t>
            </w: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1,493</w:t>
            </w: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7,065</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482,541</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489,606</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Consumer</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29,611</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10,578</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8,406</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7,306</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55,901</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6,721,164</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6,777,065</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263"/>
        </w:trPr>
        <w:tc>
          <w:tcPr>
            <w:tcW w:w="2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45,964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10,777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8,406</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17,380</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82,527</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10,908,365</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10,990,892</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11,506</w:t>
            </w:r>
          </w:p>
        </w:tc>
        <w:tc>
          <w:tcPr>
            <w:tcW w:w="0" w:type="dxa"/>
            <w:vAlign w:val="bottom"/>
          </w:tcPr>
          <w:p>
            <w:pPr>
              <w:spacing w:after="0"/>
              <w:rPr>
                <w:sz w:val="1"/>
                <w:szCs w:val="1"/>
                <w:color w:val="auto"/>
              </w:rPr>
            </w:pP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0"/>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80" w:hanging="72"/>
        <w:spacing w:after="0"/>
        <w:tabs>
          <w:tab w:leader="none" w:pos="80"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non-accrual loans that are not past due 30 days or more; however, full payment of principal and interest is still not expected.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Non-Accrual 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non-accrual loans and leases as of June 30, 2020, and December 31, 2019.</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b w:val="1"/>
                <w:bCs w:val="1"/>
                <w:color w:val="auto"/>
              </w:rPr>
              <w:t>June 30, 2020</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1"/>
              </w:rPr>
              <w:t>December 31, 2019</w:t>
            </w:r>
          </w:p>
        </w:tc>
      </w:tr>
      <w:tr>
        <w:trPr>
          <w:trHeight w:val="33"/>
        </w:trPr>
        <w:tc>
          <w:tcPr>
            <w:tcW w:w="4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Non-accrual loans</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3"/>
        </w:trPr>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Non-accrual loans</w:t>
            </w:r>
          </w:p>
        </w:tc>
        <w:tc>
          <w:tcPr>
            <w:tcW w:w="280" w:type="dxa"/>
            <w:vAlign w:val="bottom"/>
          </w:tcPr>
          <w:p>
            <w:pPr>
              <w:spacing w:after="0"/>
              <w:rPr>
                <w:sz w:val="17"/>
                <w:szCs w:val="17"/>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b w:val="1"/>
                <w:bCs w:val="1"/>
                <w:color w:val="auto"/>
                <w:w w:val="97"/>
              </w:rPr>
              <w:t>without a related</w:t>
            </w:r>
          </w:p>
        </w:tc>
        <w:tc>
          <w:tcPr>
            <w:tcW w:w="182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Total Non-accrual</w:t>
            </w:r>
          </w:p>
        </w:tc>
        <w:tc>
          <w:tcPr>
            <w:tcW w:w="14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7"/>
              </w:rPr>
              <w:t>Total Non-accrual</w:t>
            </w:r>
          </w:p>
        </w:tc>
      </w:tr>
      <w:tr>
        <w:trPr>
          <w:trHeight w:val="237"/>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with a related ACL</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ACL</w:t>
            </w:r>
          </w:p>
        </w:tc>
        <w:tc>
          <w:tcPr>
            <w:tcW w:w="6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loans</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loans</w:t>
            </w:r>
          </w:p>
        </w:tc>
      </w:tr>
      <w:tr>
        <w:trPr>
          <w:trHeight w:val="249"/>
        </w:trPr>
        <w:tc>
          <w:tcPr>
            <w:tcW w:w="4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Commercial</w:t>
            </w:r>
          </w:p>
        </w:tc>
        <w:tc>
          <w:tcPr>
            <w:tcW w:w="100" w:type="dxa"/>
            <w:vAlign w:val="bottom"/>
            <w:tcBorders>
              <w:bottom w:val="single" w:sz="8" w:color="BFE4FF"/>
            </w:tcBorders>
            <w:shd w:val="clear" w:color="auto" w:fill="BFE4FF"/>
          </w:tcPr>
          <w:p>
            <w:pPr>
              <w:spacing w:after="0"/>
              <w:rPr>
                <w:sz w:val="21"/>
                <w:szCs w:val="21"/>
                <w:color w:val="auto"/>
              </w:rPr>
            </w:pPr>
          </w:p>
        </w:tc>
        <w:tc>
          <w:tcPr>
            <w:tcW w:w="144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420" w:type="dxa"/>
            <w:vAlign w:val="bottom"/>
            <w:tcBorders>
              <w:bottom w:val="single" w:sz="8" w:color="BFE4FF"/>
            </w:tcBorders>
            <w:shd w:val="clear" w:color="auto" w:fill="BFE4FF"/>
          </w:tcPr>
          <w:p>
            <w:pPr>
              <w:spacing w:after="0"/>
              <w:rPr>
                <w:sz w:val="21"/>
                <w:szCs w:val="21"/>
                <w:color w:val="auto"/>
              </w:rPr>
            </w:pPr>
          </w:p>
        </w:tc>
        <w:tc>
          <w:tcPr>
            <w:tcW w:w="6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r>
      <w:tr>
        <w:trPr>
          <w:trHeight w:val="237"/>
        </w:trPr>
        <w:tc>
          <w:tcPr>
            <w:tcW w:w="474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459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459</w:t>
            </w:r>
          </w:p>
        </w:tc>
        <w:tc>
          <w:tcPr>
            <w:tcW w:w="2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830</w:t>
            </w:r>
          </w:p>
        </w:tc>
      </w:tr>
      <w:tr>
        <w:trPr>
          <w:trHeight w:val="33"/>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47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Commercial Mortgage</w:t>
            </w:r>
          </w:p>
        </w:tc>
        <w:tc>
          <w:tcPr>
            <w:tcW w:w="100" w:type="dxa"/>
            <w:vAlign w:val="bottom"/>
            <w:tcBorders>
              <w:bottom w:val="single" w:sz="8" w:color="BFE4FF"/>
            </w:tcBorders>
            <w:shd w:val="clear" w:color="auto" w:fill="BFE4FF"/>
          </w:tcPr>
          <w:p>
            <w:pPr>
              <w:spacing w:after="0"/>
              <w:rPr>
                <w:sz w:val="23"/>
                <w:szCs w:val="23"/>
                <w:color w:val="auto"/>
              </w:rPr>
            </w:pPr>
          </w:p>
        </w:tc>
        <w:tc>
          <w:tcPr>
            <w:tcW w:w="144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3,543</w:t>
            </w:r>
          </w:p>
        </w:tc>
        <w:tc>
          <w:tcPr>
            <w:tcW w:w="280" w:type="dxa"/>
            <w:vAlign w:val="bottom"/>
            <w:tcBorders>
              <w:bottom w:val="single" w:sz="8" w:color="BFE4FF"/>
            </w:tcBorders>
            <w:shd w:val="clear" w:color="auto" w:fill="BFE4FF"/>
          </w:tcPr>
          <w:p>
            <w:pPr>
              <w:spacing w:after="0"/>
              <w:rPr>
                <w:sz w:val="23"/>
                <w:szCs w:val="23"/>
                <w:color w:val="auto"/>
              </w:rPr>
            </w:pPr>
          </w:p>
        </w:tc>
        <w:tc>
          <w:tcPr>
            <w:tcW w:w="142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5,129</w:t>
            </w:r>
          </w:p>
        </w:tc>
        <w:tc>
          <w:tcPr>
            <w:tcW w:w="66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8,672</w:t>
            </w:r>
          </w:p>
        </w:tc>
        <w:tc>
          <w:tcPr>
            <w:tcW w:w="220" w:type="dxa"/>
            <w:vAlign w:val="bottom"/>
            <w:tcBorders>
              <w:bottom w:val="single" w:sz="8" w:color="BFE4FF"/>
            </w:tcBorders>
            <w:shd w:val="clear" w:color="auto" w:fill="BFE4FF"/>
          </w:tcPr>
          <w:p>
            <w:pPr>
              <w:spacing w:after="0"/>
              <w:rPr>
                <w:sz w:val="23"/>
                <w:szCs w:val="23"/>
                <w:color w:val="auto"/>
              </w:rPr>
            </w:pPr>
          </w:p>
        </w:tc>
        <w:tc>
          <w:tcPr>
            <w:tcW w:w="50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9,244</w:t>
            </w:r>
          </w:p>
        </w:tc>
      </w:tr>
      <w:tr>
        <w:trPr>
          <w:trHeight w:val="231"/>
        </w:trPr>
        <w:tc>
          <w:tcPr>
            <w:tcW w:w="47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1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4,002</w:t>
            </w: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5,129</w:t>
            </w:r>
          </w:p>
        </w:tc>
        <w:tc>
          <w:tcPr>
            <w:tcW w:w="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9,131</w:t>
            </w:r>
          </w:p>
        </w:tc>
        <w:tc>
          <w:tcPr>
            <w:tcW w:w="2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10,074</w:t>
            </w:r>
          </w:p>
        </w:tc>
      </w:tr>
      <w:tr>
        <w:trPr>
          <w:trHeight w:val="33"/>
        </w:trPr>
        <w:tc>
          <w:tcPr>
            <w:tcW w:w="4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Consumer</w:t>
            </w:r>
          </w:p>
        </w:tc>
        <w:tc>
          <w:tcPr>
            <w:tcW w:w="100" w:type="dxa"/>
            <w:vAlign w:val="bottom"/>
            <w:tcBorders>
              <w:bottom w:val="single" w:sz="8" w:color="BFE4FF"/>
            </w:tcBorders>
            <w:shd w:val="clear" w:color="auto" w:fill="BFE4FF"/>
          </w:tcPr>
          <w:p>
            <w:pPr>
              <w:spacing w:after="0"/>
              <w:rPr>
                <w:sz w:val="21"/>
                <w:szCs w:val="21"/>
                <w:color w:val="auto"/>
              </w:rPr>
            </w:pPr>
          </w:p>
        </w:tc>
        <w:tc>
          <w:tcPr>
            <w:tcW w:w="144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420" w:type="dxa"/>
            <w:vAlign w:val="bottom"/>
            <w:tcBorders>
              <w:bottom w:val="single" w:sz="8" w:color="BFE4FF"/>
            </w:tcBorders>
            <w:shd w:val="clear" w:color="auto" w:fill="BFE4FF"/>
          </w:tcPr>
          <w:p>
            <w:pPr>
              <w:spacing w:after="0"/>
              <w:rPr>
                <w:sz w:val="21"/>
                <w:szCs w:val="21"/>
                <w:color w:val="auto"/>
              </w:rPr>
            </w:pPr>
          </w:p>
        </w:tc>
        <w:tc>
          <w:tcPr>
            <w:tcW w:w="6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r>
      <w:tr>
        <w:trPr>
          <w:trHeight w:val="237"/>
        </w:trPr>
        <w:tc>
          <w:tcPr>
            <w:tcW w:w="4740" w:type="dxa"/>
            <w:vAlign w:val="bottom"/>
          </w:tcPr>
          <w:p>
            <w:pPr>
              <w:ind w:left="180"/>
              <w:spacing w:after="0"/>
              <w:rPr>
                <w:sz w:val="20"/>
                <w:szCs w:val="20"/>
                <w:color w:val="auto"/>
              </w:rPr>
            </w:pPr>
            <w:r>
              <w:rPr>
                <w:rFonts w:ascii="Arial" w:cs="Arial" w:eastAsia="Arial" w:hAnsi="Arial"/>
                <w:sz w:val="16"/>
                <w:szCs w:val="16"/>
                <w:color w:val="auto"/>
              </w:rPr>
              <w:t>Residential Mortgage</w:t>
            </w:r>
          </w:p>
        </w:tc>
        <w:tc>
          <w:tcPr>
            <w:tcW w:w="100" w:type="dxa"/>
            <w:vAlign w:val="bottom"/>
          </w:tcPr>
          <w:p>
            <w:pPr>
              <w:spacing w:after="0"/>
              <w:rPr>
                <w:sz w:val="20"/>
                <w:szCs w:val="20"/>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5,422</w:t>
            </w:r>
          </w:p>
        </w:tc>
        <w:tc>
          <w:tcPr>
            <w:tcW w:w="28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466</w:t>
            </w:r>
          </w:p>
        </w:tc>
        <w:tc>
          <w:tcPr>
            <w:tcW w:w="6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5,888</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4,125</w:t>
            </w:r>
          </w:p>
        </w:tc>
      </w:tr>
      <w:tr>
        <w:trPr>
          <w:trHeight w:val="33"/>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47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Home Equity</w:t>
            </w:r>
          </w:p>
        </w:tc>
        <w:tc>
          <w:tcPr>
            <w:tcW w:w="100" w:type="dxa"/>
            <w:vAlign w:val="bottom"/>
            <w:tcBorders>
              <w:bottom w:val="single" w:sz="8" w:color="BFE4FF"/>
            </w:tcBorders>
            <w:shd w:val="clear" w:color="auto" w:fill="BFE4FF"/>
          </w:tcPr>
          <w:p>
            <w:pPr>
              <w:spacing w:after="0"/>
              <w:rPr>
                <w:sz w:val="23"/>
                <w:szCs w:val="23"/>
                <w:color w:val="auto"/>
              </w:rPr>
            </w:pPr>
          </w:p>
        </w:tc>
        <w:tc>
          <w:tcPr>
            <w:tcW w:w="144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5,176</w:t>
            </w:r>
          </w:p>
        </w:tc>
        <w:tc>
          <w:tcPr>
            <w:tcW w:w="280" w:type="dxa"/>
            <w:vAlign w:val="bottom"/>
            <w:tcBorders>
              <w:bottom w:val="single" w:sz="8" w:color="BFE4FF"/>
            </w:tcBorders>
            <w:shd w:val="clear" w:color="auto" w:fill="BFE4FF"/>
          </w:tcPr>
          <w:p>
            <w:pPr>
              <w:spacing w:after="0"/>
              <w:rPr>
                <w:sz w:val="23"/>
                <w:szCs w:val="23"/>
                <w:color w:val="auto"/>
              </w:rPr>
            </w:pPr>
          </w:p>
        </w:tc>
        <w:tc>
          <w:tcPr>
            <w:tcW w:w="142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5,176</w:t>
            </w:r>
          </w:p>
        </w:tc>
        <w:tc>
          <w:tcPr>
            <w:tcW w:w="220" w:type="dxa"/>
            <w:vAlign w:val="bottom"/>
            <w:tcBorders>
              <w:bottom w:val="single" w:sz="8" w:color="BFE4FF"/>
            </w:tcBorders>
            <w:shd w:val="clear" w:color="auto" w:fill="BFE4FF"/>
          </w:tcPr>
          <w:p>
            <w:pPr>
              <w:spacing w:after="0"/>
              <w:rPr>
                <w:sz w:val="23"/>
                <w:szCs w:val="23"/>
                <w:color w:val="auto"/>
              </w:rPr>
            </w:pPr>
          </w:p>
        </w:tc>
        <w:tc>
          <w:tcPr>
            <w:tcW w:w="50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3,181</w:t>
            </w:r>
          </w:p>
        </w:tc>
      </w:tr>
      <w:tr>
        <w:trPr>
          <w:trHeight w:val="231"/>
        </w:trPr>
        <w:tc>
          <w:tcPr>
            <w:tcW w:w="47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Consumer</w:t>
            </w:r>
          </w:p>
        </w:tc>
        <w:tc>
          <w:tcPr>
            <w:tcW w:w="1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10,598</w:t>
            </w: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466</w:t>
            </w:r>
          </w:p>
        </w:tc>
        <w:tc>
          <w:tcPr>
            <w:tcW w:w="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11,064</w:t>
            </w:r>
          </w:p>
        </w:tc>
        <w:tc>
          <w:tcPr>
            <w:tcW w:w="2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7,306</w:t>
            </w:r>
          </w:p>
        </w:tc>
      </w:tr>
      <w:tr>
        <w:trPr>
          <w:trHeight w:val="33"/>
        </w:trPr>
        <w:tc>
          <w:tcPr>
            <w:tcW w:w="4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8"/>
        </w:trPr>
        <w:tc>
          <w:tcPr>
            <w:tcW w:w="4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b w:val="1"/>
                <w:bCs w:val="1"/>
                <w:color w:val="auto"/>
              </w:rPr>
              <w:t>14,600</w:t>
            </w:r>
          </w:p>
        </w:tc>
        <w:tc>
          <w:tcPr>
            <w:tcW w:w="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b w:val="1"/>
                <w:bCs w:val="1"/>
                <w:color w:val="auto"/>
              </w:rPr>
              <w:t>5,595</w:t>
            </w:r>
          </w:p>
        </w:tc>
        <w:tc>
          <w:tcPr>
            <w:tcW w:w="660" w:type="dxa"/>
            <w:vAlign w:val="bottom"/>
            <w:tcBorders>
              <w:bottom w:val="single" w:sz="8" w:color="BFE4FF"/>
            </w:tcBorders>
            <w:shd w:val="clear" w:color="auto" w:fill="BFE4FF"/>
          </w:tcPr>
          <w:p>
            <w:pPr>
              <w:jc w:val="right"/>
              <w:ind w:right="3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b w:val="1"/>
                <w:bCs w:val="1"/>
                <w:color w:val="auto"/>
              </w:rPr>
              <w:t>20,195</w:t>
            </w:r>
          </w:p>
        </w:tc>
        <w:tc>
          <w:tcPr>
            <w:tcW w:w="220" w:type="dxa"/>
            <w:vAlign w:val="bottom"/>
            <w:tcBorders>
              <w:bottom w:val="single" w:sz="8" w:color="BFE4FF"/>
            </w:tcBorders>
            <w:shd w:val="clear" w:color="auto" w:fill="BFE4FF"/>
          </w:tcPr>
          <w:p>
            <w:pPr>
              <w:spacing w:after="0"/>
              <w:rPr>
                <w:sz w:val="22"/>
                <w:szCs w:val="22"/>
                <w:color w:val="auto"/>
              </w:rPr>
            </w:pPr>
          </w:p>
        </w:tc>
        <w:tc>
          <w:tcPr>
            <w:tcW w:w="500" w:type="dxa"/>
            <w:vAlign w:val="bottom"/>
            <w:tcBorders>
              <w:bottom w:val="single" w:sz="8" w:color="BFE4FF"/>
            </w:tcBorders>
            <w:shd w:val="clear" w:color="auto" w:fill="BFE4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b w:val="1"/>
                <w:bCs w:val="1"/>
                <w:color w:val="auto"/>
              </w:rPr>
              <w:t>17,380</w:t>
            </w:r>
          </w:p>
        </w:tc>
      </w:tr>
      <w:tr>
        <w:trPr>
          <w:trHeight w:val="20"/>
        </w:trPr>
        <w:tc>
          <w:tcPr>
            <w:tcW w:w="4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payments received while on non-accrual status are applied against the principal balance of the loan or lease. The Company does not recognize interest income while loans or leases are on non-accrual status.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modification of a loan constitutes a TDR when the Company, for economic or legal reasons related to a borrower’s financial difficulties, grants a concession to the borrower that it would not otherwise consider. Loans modified in a TDR were $65.0 million as of June 30, 2020, and $69.1 million as of December 31, 2019. There were $0.3 million commitments to lend additional funds on loans modified in a TDR as of June 30, 2020, and December 31, 2019.</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offers various types of concessions when modifying a loan or lease. Commercial and industrial loans modified in a TDR often involve temporary interest-only payments, term extensions, and converting revolving credit lines to term loans. Additional collateral, a co-borrower, or a guarantor is often requested. Commercial mortgage and construction loans modified in a TDR often involve reducing the interest rate for the remaining term of the loan, extending the maturity date at an interest rate lower than the current market rate for new debt with similar risk, or substituting or adding a co-borrower or guarantor. Construction loans modified in a TDR may also involve extending the interest-only payment period. Residential mortgage loans modified in a TDR generally include fully amortizing the loan for up to 40 years from the modification effective date. In some cases, the Company may forbear a portion of the unpaid principal balance with a balloon payment due upon maturity or pay-off of the loan. Land loans are also included in the class of residential mortgage loans. Land loans are typically structured as interest-only monthly payments with a balloon payment due at maturity. Land loan modifications usually involve extending the interest-only monthly payments up to an additional five years with a balloon payment due at maturity, or re-amortizing the remaining balance over a period up to 360 months. Interest rates are not changed for land loan modifications. Home equity modifications are made infrequently and uniquely designed to meet the specific needs of each borrower. Automobile loans modified in a TDR are primarily comprised of loans where the Company has lowered monthly payments by extending the term.</w:t>
      </w:r>
    </w:p>
    <w:p>
      <w:pPr>
        <w:spacing w:after="0" w:line="17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Loans modified in a TDR are typically already on non-accrual status and partial charge-offs have in some cases already been taken against the outstanding loan balance. As a result, loans modified in a TDR may have the financial effect of increasing the specific Allowance associated with the loan. An Allowance for impaired commercial and consumer loans that have been modified in a TDR is measured based on the present value of expected future cash flows discounted at the loan’s effective interest rate, the loan’s observable market price, or the estimated fair value of the collateral, less any selling costs, if the loan is collateral dependent. Management exercises significant judgment in developing these estimates.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by class, information related to loans modified in a TDR during the three and six months ended June 30, 2020, and June 30, 2019.</w:t>
      </w:r>
    </w:p>
    <w:p>
      <w:pPr>
        <w:sectPr>
          <w:pgSz w:w="11900" w:h="16838" w:orient="portrait"/>
          <w:cols w:equalWidth="0" w:num="1">
            <w:col w:w="11240"/>
          </w:cols>
          <w:pgMar w:left="320" w:top="130" w:right="339" w:bottom="1440" w:gutter="0" w:footer="0" w:header="0"/>
        </w:sectPr>
      </w:pPr>
    </w:p>
    <w:p>
      <w:pPr>
        <w:spacing w:after="0" w:line="195" w:lineRule="exact"/>
        <w:rPr>
          <w:sz w:val="20"/>
          <w:szCs w:val="20"/>
          <w:color w:val="auto"/>
        </w:rPr>
      </w:pPr>
    </w:p>
    <w:p>
      <w:pPr>
        <w:jc w:val="center"/>
        <w:ind w:left="2620"/>
        <w:spacing w:after="0"/>
        <w:rPr>
          <w:sz w:val="20"/>
          <w:szCs w:val="20"/>
          <w:color w:val="auto"/>
        </w:rPr>
      </w:pPr>
      <w:r>
        <w:rPr>
          <w:rFonts w:ascii="Arial" w:cs="Arial" w:eastAsia="Arial" w:hAnsi="Arial"/>
          <w:sz w:val="15"/>
          <w:szCs w:val="15"/>
          <w:b w:val="1"/>
          <w:bCs w:val="1"/>
          <w:color w:val="auto"/>
        </w:rPr>
        <w:t>Loans Modified as a TDR for the</w:t>
      </w:r>
    </w:p>
    <w:p>
      <w:pPr>
        <w:spacing w:after="0" w:line="38" w:lineRule="exact"/>
        <w:rPr>
          <w:sz w:val="20"/>
          <w:szCs w:val="20"/>
          <w:color w:val="auto"/>
        </w:rPr>
      </w:pPr>
    </w:p>
    <w:p>
      <w:pPr>
        <w:jc w:val="center"/>
        <w:ind w:left="2620"/>
        <w:spacing w:after="0"/>
        <w:rPr>
          <w:sz w:val="20"/>
          <w:szCs w:val="20"/>
          <w:color w:val="auto"/>
        </w:rPr>
      </w:pPr>
      <w:r>
        <w:rPr>
          <w:rFonts w:ascii="Arial" w:cs="Arial" w:eastAsia="Arial" w:hAnsi="Arial"/>
          <w:sz w:val="14"/>
          <w:szCs w:val="14"/>
          <w:b w:val="1"/>
          <w:bCs w:val="1"/>
          <w:color w:val="auto"/>
        </w:rPr>
        <w:t>Three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47625</wp:posOffset>
            </wp:positionV>
            <wp:extent cx="26657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820"/>
        <w:spacing w:after="0"/>
        <w:rPr>
          <w:sz w:val="20"/>
          <w:szCs w:val="20"/>
          <w:color w:val="auto"/>
        </w:rPr>
      </w:pPr>
      <w:r>
        <w:rPr>
          <w:rFonts w:ascii="Arial" w:cs="Arial" w:eastAsia="Arial" w:hAnsi="Arial"/>
          <w:sz w:val="15"/>
          <w:szCs w:val="15"/>
          <w:b w:val="1"/>
          <w:bCs w:val="1"/>
          <w:color w:val="auto"/>
        </w:rPr>
        <w:t>Loans Modified as a TDR for the</w:t>
      </w:r>
    </w:p>
    <w:p>
      <w:pPr>
        <w:spacing w:after="0" w:line="38" w:lineRule="exact"/>
        <w:rPr>
          <w:sz w:val="20"/>
          <w:szCs w:val="20"/>
          <w:color w:val="auto"/>
        </w:rPr>
      </w:pPr>
    </w:p>
    <w:p>
      <w:pPr>
        <w:jc w:val="center"/>
        <w:ind w:right="820"/>
        <w:spacing w:after="0"/>
        <w:rPr>
          <w:sz w:val="20"/>
          <w:szCs w:val="20"/>
          <w:color w:val="auto"/>
        </w:rPr>
      </w:pPr>
      <w:r>
        <w:rPr>
          <w:rFonts w:ascii="Arial" w:cs="Arial" w:eastAsia="Arial" w:hAnsi="Arial"/>
          <w:sz w:val="14"/>
          <w:szCs w:val="14"/>
          <w:b w:val="1"/>
          <w:bCs w:val="1"/>
          <w:color w:val="auto"/>
        </w:rPr>
        <w:t>Three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47625</wp:posOffset>
            </wp:positionV>
            <wp:extent cx="26060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7260" w:space="720"/>
            <w:col w:w="326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61"/>
              <w:spacing w:after="0"/>
              <w:rPr>
                <w:sz w:val="20"/>
                <w:szCs w:val="20"/>
                <w:color w:val="auto"/>
              </w:rPr>
            </w:pPr>
            <w:r>
              <w:rPr>
                <w:rFonts w:ascii="Arial" w:cs="Arial" w:eastAsia="Arial" w:hAnsi="Arial"/>
                <w:sz w:val="14"/>
                <w:szCs w:val="14"/>
                <w:b w:val="1"/>
                <w:bCs w:val="1"/>
                <w:color w:val="auto"/>
              </w:rPr>
              <w:t>Recorded</w:t>
            </w:r>
          </w:p>
        </w:tc>
        <w:tc>
          <w:tcPr>
            <w:tcW w:w="280" w:type="dxa"/>
            <w:vAlign w:val="bottom"/>
          </w:tcPr>
          <w:p>
            <w:pPr>
              <w:spacing w:after="0"/>
              <w:rPr>
                <w:sz w:val="16"/>
                <w:szCs w:val="16"/>
                <w:color w:val="auto"/>
              </w:rPr>
            </w:pPr>
          </w:p>
        </w:tc>
        <w:tc>
          <w:tcPr>
            <w:tcW w:w="1380" w:type="dxa"/>
            <w:vAlign w:val="bottom"/>
          </w:tcPr>
          <w:p>
            <w:pPr>
              <w:jc w:val="right"/>
              <w:ind w:right="141"/>
              <w:spacing w:after="0"/>
              <w:rPr>
                <w:sz w:val="20"/>
                <w:szCs w:val="20"/>
                <w:color w:val="auto"/>
              </w:rPr>
            </w:pPr>
            <w:r>
              <w:rPr>
                <w:rFonts w:ascii="Arial" w:cs="Arial" w:eastAsia="Arial" w:hAnsi="Arial"/>
                <w:sz w:val="14"/>
                <w:szCs w:val="14"/>
                <w:b w:val="1"/>
                <w:bCs w:val="1"/>
                <w:color w:val="auto"/>
              </w:rPr>
              <w:t>Increase in</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280" w:type="dxa"/>
            <w:vAlign w:val="bottom"/>
          </w:tcPr>
          <w:p>
            <w:pPr>
              <w:spacing w:after="0"/>
              <w:rPr>
                <w:sz w:val="16"/>
                <w:szCs w:val="16"/>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Increase in</w:t>
            </w:r>
          </w:p>
        </w:tc>
      </w:tr>
      <w:tr>
        <w:trPr>
          <w:trHeight w:val="270"/>
        </w:trPr>
        <w:tc>
          <w:tcPr>
            <w:tcW w:w="2600" w:type="dxa"/>
            <w:vAlign w:val="bottom"/>
          </w:tcPr>
          <w:p>
            <w:pPr>
              <w:ind w:left="40"/>
              <w:spacing w:after="0"/>
              <w:rPr>
                <w:sz w:val="20"/>
                <w:szCs w:val="20"/>
                <w:color w:val="auto"/>
              </w:rPr>
            </w:pPr>
            <w:r>
              <w:rPr>
                <w:rFonts w:ascii="Arial" w:cs="Arial" w:eastAsia="Arial" w:hAnsi="Arial"/>
                <w:sz w:val="16"/>
                <w:szCs w:val="16"/>
                <w:b w:val="1"/>
                <w:bCs w:val="1"/>
                <w:color w:val="auto"/>
              </w:rPr>
              <w:t>Troubled Debt Restructurings</w:t>
            </w:r>
          </w:p>
        </w:tc>
        <w:tc>
          <w:tcPr>
            <w:tcW w:w="1260" w:type="dxa"/>
            <w:vAlign w:val="bottom"/>
          </w:tcPr>
          <w:p>
            <w:pPr>
              <w:jc w:val="right"/>
              <w:ind w:right="41"/>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23"/>
                <w:szCs w:val="23"/>
                <w:color w:val="auto"/>
              </w:rPr>
            </w:pPr>
          </w:p>
        </w:tc>
        <w:tc>
          <w:tcPr>
            <w:tcW w:w="1320" w:type="dxa"/>
            <w:vAlign w:val="bottom"/>
          </w:tcPr>
          <w:p>
            <w:pPr>
              <w:jc w:val="right"/>
              <w:ind w:right="61"/>
              <w:spacing w:after="0"/>
              <w:rPr>
                <w:sz w:val="20"/>
                <w:szCs w:val="20"/>
                <w:color w:val="auto"/>
              </w:rPr>
            </w:pPr>
            <w:r>
              <w:rPr>
                <w:rFonts w:ascii="Arial" w:cs="Arial" w:eastAsia="Arial" w:hAnsi="Arial"/>
                <w:sz w:val="14"/>
                <w:szCs w:val="14"/>
                <w:b w:val="1"/>
                <w:bCs w:val="1"/>
                <w:color w:val="auto"/>
              </w:rPr>
              <w:t>Investment</w:t>
            </w:r>
          </w:p>
        </w:tc>
        <w:tc>
          <w:tcPr>
            <w:tcW w:w="280" w:type="dxa"/>
            <w:vAlign w:val="bottom"/>
          </w:tcPr>
          <w:p>
            <w:pPr>
              <w:spacing w:after="0"/>
              <w:rPr>
                <w:sz w:val="23"/>
                <w:szCs w:val="23"/>
                <w:color w:val="auto"/>
              </w:rPr>
            </w:pPr>
          </w:p>
        </w:tc>
        <w:tc>
          <w:tcPr>
            <w:tcW w:w="1380" w:type="dxa"/>
            <w:vAlign w:val="bottom"/>
          </w:tcPr>
          <w:p>
            <w:pPr>
              <w:jc w:val="right"/>
              <w:ind w:right="141"/>
              <w:spacing w:after="0"/>
              <w:rPr>
                <w:sz w:val="20"/>
                <w:szCs w:val="20"/>
                <w:color w:val="auto"/>
              </w:rPr>
            </w:pPr>
            <w:r>
              <w:rPr>
                <w:rFonts w:ascii="Arial" w:cs="Arial" w:eastAsia="Arial" w:hAnsi="Arial"/>
                <w:sz w:val="14"/>
                <w:szCs w:val="14"/>
                <w:b w:val="1"/>
                <w:bCs w:val="1"/>
                <w:color w:val="auto"/>
              </w:rPr>
              <w:t>Allowance</w:t>
            </w:r>
          </w:p>
        </w:tc>
        <w:tc>
          <w:tcPr>
            <w:tcW w:w="1000" w:type="dxa"/>
            <w:vAlign w:val="bottom"/>
          </w:tcPr>
          <w:p>
            <w:pPr>
              <w:jc w:val="right"/>
              <w:ind w:right="41"/>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23"/>
                <w:szCs w:val="23"/>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28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Allowance</w:t>
            </w:r>
          </w:p>
        </w:tc>
      </w:tr>
      <w:tr>
        <w:trPr>
          <w:trHeight w:val="289"/>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Contracts</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7"/>
              </w:rPr>
              <w:t>(as of period end)</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Contracts</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7"/>
              </w:rPr>
              <w:t>(as of period end)</w:t>
            </w:r>
          </w:p>
        </w:tc>
      </w:tr>
      <w:tr>
        <w:trPr>
          <w:trHeight w:val="250"/>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600" w:type="dxa"/>
            <w:vAlign w:val="bottom"/>
          </w:tcPr>
          <w:p>
            <w:pPr>
              <w:ind w:left="380"/>
              <w:spacing w:after="0"/>
              <w:rPr>
                <w:sz w:val="20"/>
                <w:szCs w:val="20"/>
                <w:color w:val="auto"/>
              </w:rPr>
            </w:pPr>
            <w:r>
              <w:rPr>
                <w:rFonts w:ascii="Arial" w:cs="Arial" w:eastAsia="Arial" w:hAnsi="Arial"/>
                <w:sz w:val="16"/>
                <w:szCs w:val="16"/>
                <w:color w:val="auto"/>
              </w:rPr>
              <w:t>Commercial and Industrial</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99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10</w:t>
            </w:r>
          </w:p>
        </w:tc>
      </w:tr>
      <w:tr>
        <w:trPr>
          <w:trHeight w:val="33"/>
        </w:trPr>
        <w:tc>
          <w:tcPr>
            <w:tcW w:w="2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2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Construction</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1,152</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1"/>
        </w:trPr>
        <w:tc>
          <w:tcPr>
            <w:tcW w:w="26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1,152</w:t>
            </w: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99</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w:t>
            </w:r>
          </w:p>
        </w:tc>
      </w:tr>
      <w:tr>
        <w:trPr>
          <w:trHeight w:val="33"/>
        </w:trPr>
        <w:tc>
          <w:tcPr>
            <w:tcW w:w="2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w:t>
            </w: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600" w:type="dxa"/>
            <w:vAlign w:val="bottom"/>
          </w:tcPr>
          <w:p>
            <w:pPr>
              <w:ind w:left="380"/>
              <w:spacing w:after="0"/>
              <w:rPr>
                <w:sz w:val="20"/>
                <w:szCs w:val="20"/>
                <w:color w:val="auto"/>
              </w:rPr>
            </w:pPr>
            <w:r>
              <w:rPr>
                <w:rFonts w:ascii="Arial" w:cs="Arial" w:eastAsia="Arial" w:hAnsi="Arial"/>
                <w:sz w:val="16"/>
                <w:szCs w:val="16"/>
                <w:color w:val="auto"/>
              </w:rPr>
              <w:t>Residential Mortgage</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57</w:t>
            </w:r>
          </w:p>
        </w:tc>
        <w:tc>
          <w:tcPr>
            <w:tcW w:w="28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2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Home Equity</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247</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2600" w:type="dxa"/>
            <w:vAlign w:val="bottom"/>
          </w:tcPr>
          <w:p>
            <w:pPr>
              <w:ind w:left="380"/>
              <w:spacing w:after="0"/>
              <w:rPr>
                <w:sz w:val="20"/>
                <w:szCs w:val="20"/>
                <w:color w:val="auto"/>
              </w:rPr>
            </w:pPr>
            <w:r>
              <w:rPr>
                <w:rFonts w:ascii="Arial" w:cs="Arial" w:eastAsia="Arial" w:hAnsi="Arial"/>
                <w:sz w:val="16"/>
                <w:szCs w:val="16"/>
                <w:color w:val="auto"/>
              </w:rPr>
              <w:t>Automobile</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19</w:t>
            </w:r>
          </w:p>
        </w:tc>
        <w:tc>
          <w:tcPr>
            <w:tcW w:w="300" w:type="dxa"/>
            <w:vAlign w:val="bottom"/>
          </w:tcPr>
          <w:p>
            <w:pPr>
              <w:spacing w:after="0"/>
              <w:rPr>
                <w:sz w:val="20"/>
                <w:szCs w:val="20"/>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305</w:t>
            </w:r>
          </w:p>
        </w:tc>
        <w:tc>
          <w:tcPr>
            <w:tcW w:w="280" w:type="dxa"/>
            <w:vAlign w:val="bottom"/>
          </w:tcPr>
          <w:p>
            <w:pPr>
              <w:spacing w:after="0"/>
              <w:rPr>
                <w:sz w:val="20"/>
                <w:szCs w:val="20"/>
                <w:color w:val="auto"/>
              </w:rPr>
            </w:pP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5</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79</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1,488</w:t>
            </w:r>
          </w:p>
        </w:tc>
        <w:tc>
          <w:tcPr>
            <w:tcW w:w="28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21</w:t>
            </w:r>
          </w:p>
        </w:tc>
      </w:tr>
      <w:tr>
        <w:trPr>
          <w:trHeight w:val="33"/>
        </w:trPr>
        <w:tc>
          <w:tcPr>
            <w:tcW w:w="2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6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52</w:t>
            </w: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2</w:t>
            </w: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29</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179</w:t>
            </w: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r>
      <w:tr>
        <w:trPr>
          <w:trHeight w:val="231"/>
        </w:trPr>
        <w:tc>
          <w:tcPr>
            <w:tcW w:w="260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24</w:t>
            </w:r>
          </w:p>
        </w:tc>
        <w:tc>
          <w:tcPr>
            <w:tcW w:w="300" w:type="dxa"/>
            <w:vAlign w:val="bottom"/>
          </w:tcPr>
          <w:p>
            <w:pPr>
              <w:spacing w:after="0"/>
              <w:rPr>
                <w:sz w:val="20"/>
                <w:szCs w:val="20"/>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357</w:t>
            </w:r>
          </w:p>
        </w:tc>
        <w:tc>
          <w:tcPr>
            <w:tcW w:w="280" w:type="dxa"/>
            <w:vAlign w:val="bottom"/>
          </w:tcPr>
          <w:p>
            <w:pPr>
              <w:spacing w:after="0"/>
              <w:rPr>
                <w:sz w:val="20"/>
                <w:szCs w:val="20"/>
                <w:color w:val="auto"/>
              </w:rPr>
            </w:pP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7</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111</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1,971</w:t>
            </w:r>
          </w:p>
        </w:tc>
        <w:tc>
          <w:tcPr>
            <w:tcW w:w="28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26</w:t>
            </w:r>
          </w:p>
        </w:tc>
      </w:tr>
      <w:tr>
        <w:trPr>
          <w:trHeight w:val="33"/>
        </w:trPr>
        <w:tc>
          <w:tcPr>
            <w:tcW w:w="2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1,509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7</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2,070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w:t>
            </w:r>
          </w:p>
        </w:tc>
      </w:tr>
      <w:tr>
        <w:trPr>
          <w:trHeight w:val="20"/>
        </w:trPr>
        <w:tc>
          <w:tcPr>
            <w:tcW w:w="26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type w:val="continuous"/>
        </w:sectPr>
      </w:pPr>
    </w:p>
    <w:p>
      <w:pPr>
        <w:spacing w:after="0" w:line="56"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Loans Modified as a TDR for the</w:t>
      </w:r>
    </w:p>
    <w:p>
      <w:pPr>
        <w:spacing w:after="0" w:line="49"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47625</wp:posOffset>
            </wp:positionV>
            <wp:extent cx="26657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Loans Modified as a TDR for the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47625</wp:posOffset>
            </wp:positionV>
            <wp:extent cx="26060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7340" w:space="720"/>
            <w:col w:w="318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61"/>
              <w:spacing w:after="0"/>
              <w:rPr>
                <w:sz w:val="20"/>
                <w:szCs w:val="20"/>
                <w:color w:val="auto"/>
              </w:rPr>
            </w:pPr>
            <w:r>
              <w:rPr>
                <w:rFonts w:ascii="Arial" w:cs="Arial" w:eastAsia="Arial" w:hAnsi="Arial"/>
                <w:sz w:val="14"/>
                <w:szCs w:val="14"/>
                <w:b w:val="1"/>
                <w:bCs w:val="1"/>
                <w:color w:val="auto"/>
              </w:rPr>
              <w:t>Recorded</w:t>
            </w:r>
          </w:p>
        </w:tc>
        <w:tc>
          <w:tcPr>
            <w:tcW w:w="280" w:type="dxa"/>
            <w:vAlign w:val="bottom"/>
          </w:tcPr>
          <w:p>
            <w:pPr>
              <w:spacing w:after="0"/>
              <w:rPr>
                <w:sz w:val="16"/>
                <w:szCs w:val="16"/>
                <w:color w:val="auto"/>
              </w:rPr>
            </w:pPr>
          </w:p>
        </w:tc>
        <w:tc>
          <w:tcPr>
            <w:tcW w:w="1380" w:type="dxa"/>
            <w:vAlign w:val="bottom"/>
          </w:tcPr>
          <w:p>
            <w:pPr>
              <w:jc w:val="right"/>
              <w:ind w:right="141"/>
              <w:spacing w:after="0"/>
              <w:rPr>
                <w:sz w:val="20"/>
                <w:szCs w:val="20"/>
                <w:color w:val="auto"/>
              </w:rPr>
            </w:pPr>
            <w:r>
              <w:rPr>
                <w:rFonts w:ascii="Arial" w:cs="Arial" w:eastAsia="Arial" w:hAnsi="Arial"/>
                <w:sz w:val="14"/>
                <w:szCs w:val="14"/>
                <w:b w:val="1"/>
                <w:bCs w:val="1"/>
                <w:color w:val="auto"/>
              </w:rPr>
              <w:t>Increase in</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280" w:type="dxa"/>
            <w:vAlign w:val="bottom"/>
          </w:tcPr>
          <w:p>
            <w:pPr>
              <w:spacing w:after="0"/>
              <w:rPr>
                <w:sz w:val="16"/>
                <w:szCs w:val="16"/>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Increase in</w:t>
            </w:r>
          </w:p>
        </w:tc>
      </w:tr>
      <w:tr>
        <w:trPr>
          <w:trHeight w:val="270"/>
        </w:trPr>
        <w:tc>
          <w:tcPr>
            <w:tcW w:w="2600" w:type="dxa"/>
            <w:vAlign w:val="bottom"/>
          </w:tcPr>
          <w:p>
            <w:pPr>
              <w:ind w:left="40"/>
              <w:spacing w:after="0"/>
              <w:rPr>
                <w:sz w:val="20"/>
                <w:szCs w:val="20"/>
                <w:color w:val="auto"/>
              </w:rPr>
            </w:pPr>
            <w:r>
              <w:rPr>
                <w:rFonts w:ascii="Arial" w:cs="Arial" w:eastAsia="Arial" w:hAnsi="Arial"/>
                <w:sz w:val="16"/>
                <w:szCs w:val="16"/>
                <w:b w:val="1"/>
                <w:bCs w:val="1"/>
                <w:color w:val="auto"/>
              </w:rPr>
              <w:t>Troubled Debt Restructurings</w:t>
            </w:r>
          </w:p>
        </w:tc>
        <w:tc>
          <w:tcPr>
            <w:tcW w:w="1260" w:type="dxa"/>
            <w:vAlign w:val="bottom"/>
          </w:tcPr>
          <w:p>
            <w:pPr>
              <w:jc w:val="right"/>
              <w:ind w:right="41"/>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23"/>
                <w:szCs w:val="23"/>
                <w:color w:val="auto"/>
              </w:rPr>
            </w:pPr>
          </w:p>
        </w:tc>
        <w:tc>
          <w:tcPr>
            <w:tcW w:w="1320" w:type="dxa"/>
            <w:vAlign w:val="bottom"/>
          </w:tcPr>
          <w:p>
            <w:pPr>
              <w:jc w:val="right"/>
              <w:ind w:right="61"/>
              <w:spacing w:after="0"/>
              <w:rPr>
                <w:sz w:val="20"/>
                <w:szCs w:val="20"/>
                <w:color w:val="auto"/>
              </w:rPr>
            </w:pPr>
            <w:r>
              <w:rPr>
                <w:rFonts w:ascii="Arial" w:cs="Arial" w:eastAsia="Arial" w:hAnsi="Arial"/>
                <w:sz w:val="14"/>
                <w:szCs w:val="14"/>
                <w:b w:val="1"/>
                <w:bCs w:val="1"/>
                <w:color w:val="auto"/>
              </w:rPr>
              <w:t>Investment</w:t>
            </w:r>
          </w:p>
        </w:tc>
        <w:tc>
          <w:tcPr>
            <w:tcW w:w="280" w:type="dxa"/>
            <w:vAlign w:val="bottom"/>
          </w:tcPr>
          <w:p>
            <w:pPr>
              <w:spacing w:after="0"/>
              <w:rPr>
                <w:sz w:val="23"/>
                <w:szCs w:val="23"/>
                <w:color w:val="auto"/>
              </w:rPr>
            </w:pPr>
          </w:p>
        </w:tc>
        <w:tc>
          <w:tcPr>
            <w:tcW w:w="1380" w:type="dxa"/>
            <w:vAlign w:val="bottom"/>
          </w:tcPr>
          <w:p>
            <w:pPr>
              <w:jc w:val="right"/>
              <w:ind w:right="141"/>
              <w:spacing w:after="0"/>
              <w:rPr>
                <w:sz w:val="20"/>
                <w:szCs w:val="20"/>
                <w:color w:val="auto"/>
              </w:rPr>
            </w:pPr>
            <w:r>
              <w:rPr>
                <w:rFonts w:ascii="Arial" w:cs="Arial" w:eastAsia="Arial" w:hAnsi="Arial"/>
                <w:sz w:val="14"/>
                <w:szCs w:val="14"/>
                <w:b w:val="1"/>
                <w:bCs w:val="1"/>
                <w:color w:val="auto"/>
              </w:rPr>
              <w:t>Allowance</w:t>
            </w:r>
          </w:p>
        </w:tc>
        <w:tc>
          <w:tcPr>
            <w:tcW w:w="1000" w:type="dxa"/>
            <w:vAlign w:val="bottom"/>
          </w:tcPr>
          <w:p>
            <w:pPr>
              <w:jc w:val="right"/>
              <w:ind w:right="41"/>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23"/>
                <w:szCs w:val="23"/>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28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Allowance</w:t>
            </w:r>
          </w:p>
        </w:tc>
      </w:tr>
      <w:tr>
        <w:trPr>
          <w:trHeight w:val="276"/>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Contracts</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7"/>
              </w:rPr>
              <w:t>(as of period end)</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Contracts</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7"/>
              </w:rPr>
              <w:t>(as of period end)</w:t>
            </w:r>
          </w:p>
        </w:tc>
      </w:tr>
      <w:tr>
        <w:trPr>
          <w:trHeight w:val="249"/>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600" w:type="dxa"/>
            <w:vAlign w:val="bottom"/>
          </w:tcPr>
          <w:p>
            <w:pPr>
              <w:ind w:left="380"/>
              <w:spacing w:after="0"/>
              <w:rPr>
                <w:sz w:val="20"/>
                <w:szCs w:val="20"/>
                <w:color w:val="auto"/>
              </w:rPr>
            </w:pPr>
            <w:r>
              <w:rPr>
                <w:rFonts w:ascii="Arial" w:cs="Arial" w:eastAsia="Arial" w:hAnsi="Arial"/>
                <w:sz w:val="16"/>
                <w:szCs w:val="16"/>
                <w:color w:val="auto"/>
              </w:rPr>
              <w:t>Commercial and Industrial</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98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2</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205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14</w:t>
            </w:r>
          </w:p>
        </w:tc>
      </w:tr>
      <w:tr>
        <w:trPr>
          <w:trHeight w:val="33"/>
        </w:trPr>
        <w:tc>
          <w:tcPr>
            <w:tcW w:w="2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Mortgage</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3,836</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2600" w:type="dxa"/>
            <w:vAlign w:val="bottom"/>
          </w:tcPr>
          <w:p>
            <w:pPr>
              <w:ind w:left="380"/>
              <w:spacing w:after="0"/>
              <w:rPr>
                <w:sz w:val="20"/>
                <w:szCs w:val="20"/>
                <w:color w:val="auto"/>
              </w:rPr>
            </w:pPr>
            <w:r>
              <w:rPr>
                <w:rFonts w:ascii="Arial" w:cs="Arial" w:eastAsia="Arial" w:hAnsi="Arial"/>
                <w:sz w:val="16"/>
                <w:szCs w:val="16"/>
                <w:color w:val="auto"/>
              </w:rPr>
              <w:t>Construction</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20"/>
                <w:szCs w:val="20"/>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1,152</w:t>
            </w:r>
          </w:p>
        </w:tc>
        <w:tc>
          <w:tcPr>
            <w:tcW w:w="280" w:type="dxa"/>
            <w:vAlign w:val="bottom"/>
          </w:tcPr>
          <w:p>
            <w:pPr>
              <w:spacing w:after="0"/>
              <w:rPr>
                <w:sz w:val="20"/>
                <w:szCs w:val="20"/>
                <w:color w:val="auto"/>
              </w:rPr>
            </w:pP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2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1,250</w:t>
            </w: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2</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4,041</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r>
      <w:tr>
        <w:trPr>
          <w:trHeight w:val="230"/>
        </w:trPr>
        <w:tc>
          <w:tcPr>
            <w:tcW w:w="26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Consumer</w:t>
            </w:r>
          </w:p>
        </w:tc>
        <w:tc>
          <w:tcPr>
            <w:tcW w:w="12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2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2600" w:type="dxa"/>
            <w:vAlign w:val="bottom"/>
          </w:tcPr>
          <w:p>
            <w:pPr>
              <w:ind w:left="380"/>
              <w:spacing w:after="0"/>
              <w:rPr>
                <w:sz w:val="20"/>
                <w:szCs w:val="20"/>
                <w:color w:val="auto"/>
              </w:rPr>
            </w:pPr>
            <w:r>
              <w:rPr>
                <w:rFonts w:ascii="Arial" w:cs="Arial" w:eastAsia="Arial" w:hAnsi="Arial"/>
                <w:sz w:val="16"/>
                <w:szCs w:val="16"/>
                <w:color w:val="auto"/>
              </w:rPr>
              <w:t>Home Equity</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247</w:t>
            </w:r>
          </w:p>
        </w:tc>
        <w:tc>
          <w:tcPr>
            <w:tcW w:w="28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2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1,172</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19</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191</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3,596</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w:t>
            </w:r>
          </w:p>
        </w:tc>
      </w:tr>
      <w:tr>
        <w:trPr>
          <w:trHeight w:val="270"/>
        </w:trPr>
        <w:tc>
          <w:tcPr>
            <w:tcW w:w="26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w:t>
            </w: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274</w:t>
            </w:r>
          </w:p>
        </w:tc>
        <w:tc>
          <w:tcPr>
            <w:tcW w:w="2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11</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66</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385</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w:t>
            </w:r>
          </w:p>
        </w:tc>
      </w:tr>
      <w:tr>
        <w:trPr>
          <w:trHeight w:val="268"/>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Consumer</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1,446</w:t>
            </w: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30</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260</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4,285</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w:t>
            </w:r>
          </w:p>
        </w:tc>
      </w:tr>
      <w:tr>
        <w:trPr>
          <w:trHeight w:val="230"/>
        </w:trPr>
        <w:tc>
          <w:tcPr>
            <w:tcW w:w="26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108</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2,696</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rPr>
              <w:t>32</w:t>
            </w: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265</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8,326</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75</w:t>
            </w:r>
          </w:p>
        </w:tc>
      </w:tr>
      <w:tr>
        <w:trPr>
          <w:trHeight w:val="33"/>
        </w:trPr>
        <w:tc>
          <w:tcPr>
            <w:tcW w:w="2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2"/>
        </w:numPr>
        <w:rPr>
          <w:rFonts w:ascii="Arial" w:cs="Arial" w:eastAsia="Arial" w:hAnsi="Arial"/>
          <w:sz w:val="9"/>
          <w:szCs w:val="9"/>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Comprised of other revolving credit and installment financing.</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30" w:right="3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following presents by class, all loans modified in a TDR that defaulted during the three and six months ended June 30, 2020, and June 30, 2019, and within twelve months of their modification date. A TDR is considered to be in default once it becomes 60 days or more past due following a modification.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31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3"/>
              </w:rPr>
              <w:t>Three Months Ended</w:t>
            </w:r>
          </w:p>
        </w:tc>
        <w:tc>
          <w:tcPr>
            <w:tcW w:w="30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316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0"/>
              </w:rPr>
              <w:t>June 30, 2020</w:t>
            </w:r>
          </w:p>
        </w:tc>
        <w:tc>
          <w:tcPr>
            <w:tcW w:w="30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June 30, 2019</w:t>
            </w:r>
          </w:p>
        </w:tc>
        <w:tc>
          <w:tcPr>
            <w:tcW w:w="0" w:type="dxa"/>
            <w:vAlign w:val="bottom"/>
          </w:tcPr>
          <w:p>
            <w:pPr>
              <w:spacing w:after="0"/>
              <w:rPr>
                <w:sz w:val="1"/>
                <w:szCs w:val="1"/>
                <w:color w:val="auto"/>
              </w:rPr>
            </w:pPr>
          </w:p>
        </w:tc>
      </w:tr>
      <w:tr>
        <w:trPr>
          <w:trHeight w:val="33"/>
        </w:trPr>
        <w:tc>
          <w:tcPr>
            <w:tcW w:w="50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TDRs that Defaulted During the Period,</w:t>
            </w: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5080" w:type="dxa"/>
            <w:vAlign w:val="bottom"/>
            <w:vMerge w:val="continue"/>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Recorded</w:t>
            </w: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22"/>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270"/>
        </w:trPr>
        <w:tc>
          <w:tcPr>
            <w:tcW w:w="5080" w:type="dxa"/>
            <w:vAlign w:val="bottom"/>
          </w:tcPr>
          <w:p>
            <w:pPr>
              <w:ind w:left="280"/>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320" w:type="dxa"/>
            <w:vAlign w:val="bottom"/>
          </w:tcPr>
          <w:p>
            <w:pPr>
              <w:jc w:val="right"/>
              <w:ind w:right="121"/>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23"/>
                <w:szCs w:val="23"/>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Investment</w:t>
            </w:r>
          </w:p>
        </w:tc>
        <w:tc>
          <w:tcPr>
            <w:tcW w:w="1300" w:type="dxa"/>
            <w:vAlign w:val="bottom"/>
          </w:tcPr>
          <w:p>
            <w:pPr>
              <w:jc w:val="right"/>
              <w:ind w:right="101"/>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40" w:type="dxa"/>
            <w:vAlign w:val="bottom"/>
          </w:tcPr>
          <w:p>
            <w:pPr>
              <w:jc w:val="right"/>
              <w:ind w:right="22"/>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89"/>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Contracts</w:t>
            </w:r>
          </w:p>
        </w:tc>
        <w:tc>
          <w:tcPr>
            <w:tcW w:w="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13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(as of period end)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1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1"/>
              <w:spacing w:after="0"/>
              <w:rPr>
                <w:sz w:val="20"/>
                <w:szCs w:val="20"/>
                <w:color w:val="auto"/>
              </w:rPr>
            </w:pPr>
            <w:r>
              <w:rPr>
                <w:rFonts w:ascii="Arial" w:cs="Arial" w:eastAsia="Arial" w:hAnsi="Arial"/>
                <w:sz w:val="16"/>
                <w:szCs w:val="16"/>
                <w:color w:val="auto"/>
              </w:rPr>
              <w:t>1</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3"/>
        </w:trPr>
        <w:tc>
          <w:tcPr>
            <w:tcW w:w="5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13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63"/>
        </w:trPr>
        <w:tc>
          <w:tcPr>
            <w:tcW w:w="50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1320" w:type="dxa"/>
            <w:vAlign w:val="bottom"/>
          </w:tcPr>
          <w:p>
            <w:pPr>
              <w:jc w:val="right"/>
              <w:ind w:right="121"/>
              <w:spacing w:after="0"/>
              <w:rPr>
                <w:sz w:val="20"/>
                <w:szCs w:val="20"/>
                <w:color w:val="auto"/>
              </w:rPr>
            </w:pPr>
            <w:r>
              <w:rPr>
                <w:rFonts w:ascii="Arial" w:cs="Arial" w:eastAsia="Arial" w:hAnsi="Arial"/>
                <w:sz w:val="16"/>
                <w:szCs w:val="16"/>
                <w:color w:val="auto"/>
              </w:rPr>
              <w:t>19</w:t>
            </w:r>
          </w:p>
        </w:tc>
        <w:tc>
          <w:tcPr>
            <w:tcW w:w="34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331</w:t>
            </w:r>
          </w:p>
        </w:tc>
        <w:tc>
          <w:tcPr>
            <w:tcW w:w="220" w:type="dxa"/>
            <w:vAlign w:val="bottom"/>
          </w:tcPr>
          <w:p>
            <w:pPr>
              <w:spacing w:after="0"/>
              <w:rPr>
                <w:sz w:val="20"/>
                <w:szCs w:val="20"/>
                <w:color w:val="auto"/>
              </w:rPr>
            </w:pPr>
          </w:p>
        </w:tc>
        <w:tc>
          <w:tcPr>
            <w:tcW w:w="1300" w:type="dxa"/>
            <w:vAlign w:val="bottom"/>
          </w:tcPr>
          <w:p>
            <w:pPr>
              <w:jc w:val="right"/>
              <w:ind w:right="101"/>
              <w:spacing w:after="0"/>
              <w:rPr>
                <w:sz w:val="20"/>
                <w:szCs w:val="20"/>
                <w:color w:val="auto"/>
              </w:rPr>
            </w:pPr>
            <w:r>
              <w:rPr>
                <w:rFonts w:ascii="Arial" w:cs="Arial" w:eastAsia="Arial" w:hAnsi="Arial"/>
                <w:sz w:val="16"/>
                <w:szCs w:val="16"/>
                <w:color w:val="auto"/>
              </w:rPr>
              <w:t>9</w:t>
            </w:r>
          </w:p>
        </w:tc>
        <w:tc>
          <w:tcPr>
            <w:tcW w:w="360" w:type="dxa"/>
            <w:vAlign w:val="bottom"/>
          </w:tcPr>
          <w:p>
            <w:pPr>
              <w:spacing w:after="0"/>
              <w:rPr>
                <w:sz w:val="20"/>
                <w:szCs w:val="20"/>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11</w:t>
            </w:r>
          </w:p>
        </w:tc>
        <w:tc>
          <w:tcPr>
            <w:tcW w:w="3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1"/>
        </w:trPr>
        <w:tc>
          <w:tcPr>
            <w:tcW w:w="508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1320" w:type="dxa"/>
            <w:vAlign w:val="bottom"/>
          </w:tcPr>
          <w:p>
            <w:pPr>
              <w:jc w:val="right"/>
              <w:ind w:right="121"/>
              <w:spacing w:after="0"/>
              <w:rPr>
                <w:sz w:val="20"/>
                <w:szCs w:val="20"/>
                <w:color w:val="auto"/>
              </w:rPr>
            </w:pPr>
            <w:r>
              <w:rPr>
                <w:rFonts w:ascii="Arial" w:cs="Arial" w:eastAsia="Arial" w:hAnsi="Arial"/>
                <w:sz w:val="16"/>
                <w:szCs w:val="16"/>
                <w:color w:val="auto"/>
              </w:rPr>
              <w:t>21</w:t>
            </w:r>
          </w:p>
        </w:tc>
        <w:tc>
          <w:tcPr>
            <w:tcW w:w="34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345</w:t>
            </w:r>
          </w:p>
        </w:tc>
        <w:tc>
          <w:tcPr>
            <w:tcW w:w="220" w:type="dxa"/>
            <w:vAlign w:val="bottom"/>
          </w:tcPr>
          <w:p>
            <w:pPr>
              <w:spacing w:after="0"/>
              <w:rPr>
                <w:sz w:val="20"/>
                <w:szCs w:val="20"/>
                <w:color w:val="auto"/>
              </w:rPr>
            </w:pPr>
          </w:p>
        </w:tc>
        <w:tc>
          <w:tcPr>
            <w:tcW w:w="1300" w:type="dxa"/>
            <w:vAlign w:val="bottom"/>
          </w:tcPr>
          <w:p>
            <w:pPr>
              <w:jc w:val="right"/>
              <w:ind w:right="101"/>
              <w:spacing w:after="0"/>
              <w:rPr>
                <w:sz w:val="20"/>
                <w:szCs w:val="20"/>
                <w:color w:val="auto"/>
              </w:rPr>
            </w:pPr>
            <w:r>
              <w:rPr>
                <w:rFonts w:ascii="Arial" w:cs="Arial" w:eastAsia="Arial" w:hAnsi="Arial"/>
                <w:sz w:val="16"/>
                <w:szCs w:val="16"/>
                <w:color w:val="auto"/>
              </w:rPr>
              <w:t>20</w:t>
            </w:r>
          </w:p>
        </w:tc>
        <w:tc>
          <w:tcPr>
            <w:tcW w:w="360" w:type="dxa"/>
            <w:vAlign w:val="bottom"/>
          </w:tcPr>
          <w:p>
            <w:pPr>
              <w:spacing w:after="0"/>
              <w:rPr>
                <w:sz w:val="20"/>
                <w:szCs w:val="20"/>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33"/>
        </w:trPr>
        <w:tc>
          <w:tcPr>
            <w:tcW w:w="5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345</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21</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3160" w:type="dxa"/>
            <w:vAlign w:val="bottom"/>
            <w:tcBorders>
              <w:top w:val="single" w:sz="8" w:color="auto"/>
              <w:bottom w:val="single" w:sz="8" w:color="auto"/>
            </w:tcBorders>
            <w:gridSpan w:val="4"/>
          </w:tcPr>
          <w:p>
            <w:pPr>
              <w:spacing w:after="0" w:line="20" w:lineRule="exact"/>
              <w:rPr>
                <w:sz w:val="1"/>
                <w:szCs w:val="1"/>
                <w:color w:val="auto"/>
              </w:rPr>
            </w:pPr>
          </w:p>
        </w:tc>
        <w:tc>
          <w:tcPr>
            <w:tcW w:w="3000" w:type="dxa"/>
            <w:vAlign w:val="bottom"/>
            <w:tcBorders>
              <w:top w:val="single" w:sz="8" w:color="auto"/>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80" w:type="dxa"/>
            <w:vAlign w:val="bottom"/>
          </w:tcPr>
          <w:p>
            <w:pPr>
              <w:spacing w:after="0"/>
              <w:rPr>
                <w:sz w:val="24"/>
                <w:szCs w:val="24"/>
                <w:color w:val="auto"/>
              </w:rPr>
            </w:pPr>
          </w:p>
        </w:tc>
        <w:tc>
          <w:tcPr>
            <w:tcW w:w="31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2"/>
              </w:rPr>
              <w:t>Six Months Ended</w:t>
            </w:r>
          </w:p>
        </w:tc>
        <w:tc>
          <w:tcPr>
            <w:tcW w:w="30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316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0"/>
              </w:rPr>
              <w:t>June 30, 2020</w:t>
            </w:r>
          </w:p>
        </w:tc>
        <w:tc>
          <w:tcPr>
            <w:tcW w:w="30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June 30, 2019</w:t>
            </w:r>
          </w:p>
        </w:tc>
        <w:tc>
          <w:tcPr>
            <w:tcW w:w="0" w:type="dxa"/>
            <w:vAlign w:val="bottom"/>
          </w:tcPr>
          <w:p>
            <w:pPr>
              <w:spacing w:after="0"/>
              <w:rPr>
                <w:sz w:val="1"/>
                <w:szCs w:val="1"/>
                <w:color w:val="auto"/>
              </w:rPr>
            </w:pPr>
          </w:p>
        </w:tc>
      </w:tr>
      <w:tr>
        <w:trPr>
          <w:trHeight w:val="33"/>
        </w:trPr>
        <w:tc>
          <w:tcPr>
            <w:tcW w:w="50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TDRs that Defaulted During the Period,</w:t>
            </w: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5080" w:type="dxa"/>
            <w:vAlign w:val="bottom"/>
            <w:vMerge w:val="continue"/>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Recorded</w:t>
            </w: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22"/>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270"/>
        </w:trPr>
        <w:tc>
          <w:tcPr>
            <w:tcW w:w="5080" w:type="dxa"/>
            <w:vAlign w:val="bottom"/>
          </w:tcPr>
          <w:p>
            <w:pPr>
              <w:ind w:left="280"/>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320" w:type="dxa"/>
            <w:vAlign w:val="bottom"/>
          </w:tcPr>
          <w:p>
            <w:pPr>
              <w:jc w:val="right"/>
              <w:ind w:right="121"/>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23"/>
                <w:szCs w:val="23"/>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Investment</w:t>
            </w:r>
          </w:p>
        </w:tc>
        <w:tc>
          <w:tcPr>
            <w:tcW w:w="1300" w:type="dxa"/>
            <w:vAlign w:val="bottom"/>
          </w:tcPr>
          <w:p>
            <w:pPr>
              <w:jc w:val="right"/>
              <w:ind w:right="101"/>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40" w:type="dxa"/>
            <w:vAlign w:val="bottom"/>
          </w:tcPr>
          <w:p>
            <w:pPr>
              <w:jc w:val="right"/>
              <w:ind w:right="22"/>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76"/>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Contracts</w:t>
            </w:r>
          </w:p>
        </w:tc>
        <w:tc>
          <w:tcPr>
            <w:tcW w:w="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13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(as of period end)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and Industrial</w:t>
            </w:r>
          </w:p>
        </w:tc>
        <w:tc>
          <w:tcPr>
            <w:tcW w:w="13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0"/>
        </w:trPr>
        <w:tc>
          <w:tcPr>
            <w:tcW w:w="508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132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1</w:t>
            </w: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3"/>
        </w:trPr>
        <w:tc>
          <w:tcPr>
            <w:tcW w:w="5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Consumer</w:t>
            </w: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Automobile</w:t>
            </w:r>
          </w:p>
        </w:tc>
        <w:tc>
          <w:tcPr>
            <w:tcW w:w="13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34</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636</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19</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70"/>
        </w:trPr>
        <w:tc>
          <w:tcPr>
            <w:tcW w:w="50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40</w:t>
            </w: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20</w:t>
            </w:r>
          </w:p>
        </w:tc>
        <w:tc>
          <w:tcPr>
            <w:tcW w:w="3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Consumer</w:t>
            </w:r>
          </w:p>
        </w:tc>
        <w:tc>
          <w:tcPr>
            <w:tcW w:w="13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40</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676</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39</w:t>
            </w:r>
          </w:p>
        </w:tc>
        <w:tc>
          <w:tcPr>
            <w:tcW w:w="3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30"/>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32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40</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676</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40</w:t>
            </w: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33"/>
        </w:trPr>
        <w:tc>
          <w:tcPr>
            <w:tcW w:w="5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80" w:hanging="72"/>
        <w:spacing w:after="0"/>
        <w:tabs>
          <w:tab w:leader="none" w:pos="80" w:val="left"/>
        </w:tabs>
        <w:numPr>
          <w:ilvl w:val="0"/>
          <w:numId w:val="13"/>
        </w:numPr>
        <w:rPr>
          <w:rFonts w:ascii="Arial" w:cs="Arial" w:eastAsia="Arial" w:hAnsi="Arial"/>
          <w:sz w:val="9"/>
          <w:szCs w:val="9"/>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Comprised of other revolving credit and installment financing.</w:t>
      </w:r>
    </w:p>
    <w:p>
      <w:pPr>
        <w:spacing w:after="0" w:line="12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Commercial and consumer loans modified in a TDR are closely monitored for delinquency as an early indicator of possible future default. If loans modified in a TDR subsequently default, the Company evaluates the loan for possible further impairment. The specific Allowance associated with the loan may be increased, adjustments may be made in the allocation of the Allowance, or partial charge-offs may be taken to further write-down the carrying value of the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 in response to COVID-19</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The Company began offering short-term loan modifications to assist borrowers during the COVID-19 national emergency. These modifications generally involve principal and/or interest payment deferrals for up to six months. Interest continues to legally accrue, and the Company continues to record interest income, during the forbearance period. The Company offers several repayment options such as immediate repayment, repayment over a designated time period, or as a balloon payment at maturity. These modifications generally do not involve forgiveness or interest rate reductions. The CARES Act, along with a joint agency statement issued by banking agencies, provide that short-term modifications made in response to COVID-19 do not need to be accounted for as a TDR. Accordingly, the Company does not account for such loan modifications as TDRs. See Note 1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for more information.</w:t>
      </w:r>
    </w:p>
    <w:p>
      <w:pPr>
        <w:spacing w:after="0" w:line="11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231F20"/>
        </w:rPr>
        <w:t xml:space="preserve">The Company, as lessor, also granted short-term lease concessions on some of its sales-type finance leases for equipment and automobiles. The concessions primarily consists of six-month extension programs whereby lease payments currently due are deferred and shifted to the end of the lease term. Interest income continues to accrue during the deferral period. </w:t>
      </w:r>
      <w:r>
        <w:rPr>
          <w:rFonts w:ascii="Arial" w:cs="Arial" w:eastAsia="Arial" w:hAnsi="Arial"/>
          <w:sz w:val="16"/>
          <w:szCs w:val="16"/>
          <w:color w:val="000000"/>
        </w:rPr>
        <w:t>See Note 1</w:t>
      </w:r>
      <w:r>
        <w:rPr>
          <w:rFonts w:ascii="Arial" w:cs="Arial" w:eastAsia="Arial" w:hAnsi="Arial"/>
          <w:sz w:val="16"/>
          <w:szCs w:val="16"/>
          <w:color w:val="231F20"/>
        </w:rPr>
        <w:t xml:space="preserve"> </w:t>
      </w:r>
      <w:r>
        <w:rPr>
          <w:rFonts w:ascii="Arial" w:cs="Arial" w:eastAsia="Arial" w:hAnsi="Arial"/>
          <w:sz w:val="16"/>
          <w:szCs w:val="16"/>
          <w:i w:val="1"/>
          <w:iCs w:val="1"/>
          <w:color w:val="000000"/>
        </w:rPr>
        <w:t>Summary of Significant Accounting Policies</w:t>
      </w:r>
      <w:r>
        <w:rPr>
          <w:rFonts w:ascii="Arial" w:cs="Arial" w:eastAsia="Arial" w:hAnsi="Arial"/>
          <w:sz w:val="16"/>
          <w:szCs w:val="16"/>
          <w:color w:val="231F20"/>
        </w:rPr>
        <w:t xml:space="preserve"> </w:t>
      </w:r>
      <w:r>
        <w:rPr>
          <w:rFonts w:ascii="Arial" w:cs="Arial" w:eastAsia="Arial" w:hAnsi="Arial"/>
          <w:sz w:val="16"/>
          <w:szCs w:val="16"/>
          <w:color w:val="000000"/>
        </w:rPr>
        <w:t>for more information.</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June 30, 2020, these COVID-19 related short-term loan and lease concessions totaled $1.1 billion (886 loans and leases) for the commercial segment and $795.5 million (16,414 loans and leases) for the consumer segment.</w:t>
      </w:r>
    </w:p>
    <w:p>
      <w:pPr>
        <w:sectPr>
          <w:pgSz w:w="11900" w:h="16838" w:orient="portrait"/>
          <w:cols w:equalWidth="0" w:num="1">
            <w:col w:w="11240"/>
          </w:cols>
          <w:pgMar w:left="320" w:top="130"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30" w:right="3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Foreclosure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Consumer mortgage loans collateralized by residential real estate property that are in the process of foreclosure totaled $1.8 million as of June 30, 2020.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Mortgage Servicing Rights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The Company’s portfolio of residential mortgage loans serviced for third parties was $3.1 billion as of June 30, 2020, and as of December 31, 2019. Substantially all of these loans were originated by the Company and sold to third parties on a non-recourse basis with servicing rights retained. These retained servicing rights are recorded as a servicing asset and are initially recorded at fair value (see Note 14 </w:t>
      </w:r>
      <w:r>
        <w:rPr>
          <w:rFonts w:ascii="Arial" w:cs="Arial" w:eastAsia="Arial" w:hAnsi="Arial"/>
          <w:sz w:val="18"/>
          <w:szCs w:val="18"/>
          <w:i w:val="1"/>
          <w:iCs w:val="1"/>
          <w:color w:val="auto"/>
        </w:rPr>
        <w:t>Fair Value of Assets and Liabilities</w:t>
      </w:r>
      <w:r>
        <w:rPr>
          <w:rFonts w:ascii="Arial" w:cs="Arial" w:eastAsia="Arial" w:hAnsi="Arial"/>
          <w:sz w:val="18"/>
          <w:szCs w:val="18"/>
          <w:color w:val="auto"/>
        </w:rPr>
        <w:t xml:space="preserve"> for more information). Changes to the balance of mortgage servicing rights are recorded in mortgage banking income in the Company’s consolidated statements of income.</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$1.8 million for the three months ended June 30, 2020, and June 30, 2019, and $3.7 million and $3.6 million for the six months ended June 30, 2020, and June 30, 2019, respectively. Servicing income is recorded in mortgage banking income in the Company’s consolidated statements of income. The Company’s residential mortgage investor loan servicing portfolio is primarily comprised of fixed rate loans concentrated in Hawaii.</w:t>
      </w:r>
    </w:p>
    <w:p>
      <w:pPr>
        <w:spacing w:after="0" w:line="19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For the three and six months ended June 30, 2020, and June 30, 2019, the change in the carrying value of the Company’s mortgage servicing rights accounted for under the fair value measurement method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Six Months Ended</w:t>
            </w:r>
          </w:p>
        </w:tc>
        <w:tc>
          <w:tcPr>
            <w:tcW w:w="640" w:type="dxa"/>
            <w:vAlign w:val="bottom"/>
          </w:tcPr>
          <w:p>
            <w:pPr>
              <w:spacing w:after="0"/>
              <w:rPr>
                <w:sz w:val="17"/>
                <w:szCs w:val="17"/>
                <w:color w:val="auto"/>
              </w:rPr>
            </w:pPr>
          </w:p>
        </w:tc>
      </w:tr>
      <w:tr>
        <w:trPr>
          <w:trHeight w:val="210"/>
        </w:trPr>
        <w:tc>
          <w:tcPr>
            <w:tcW w:w="5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June 30,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8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8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49"/>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1,101</w:t>
            </w:r>
          </w:p>
        </w:tc>
        <w:tc>
          <w:tcPr>
            <w:tcW w:w="88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1,268</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1,126</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1,290</w:t>
            </w: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Change in Fair Value:</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5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Due to Payoffs</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w:t>
            </w:r>
          </w:p>
        </w:tc>
        <w:tc>
          <w:tcPr>
            <w:tcW w:w="8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30"/>
        </w:trPr>
        <w:tc>
          <w:tcPr>
            <w:tcW w:w="5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Changes in Fair Value of Mortgage Servicing Rights</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(33)</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(58)</w:t>
            </w:r>
          </w:p>
        </w:tc>
        <w:tc>
          <w:tcPr>
            <w:tcW w:w="8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33"/>
        </w:trPr>
        <w:tc>
          <w:tcPr>
            <w:tcW w:w="5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1,068</w:t>
            </w:r>
          </w:p>
        </w:tc>
        <w:tc>
          <w:tcPr>
            <w:tcW w:w="88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1,212</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1,068</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1,212</w:t>
            </w:r>
          </w:p>
        </w:tc>
      </w:tr>
      <w:tr>
        <w:trPr>
          <w:trHeight w:val="20"/>
        </w:trPr>
        <w:tc>
          <w:tcPr>
            <w:tcW w:w="5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For the three and six months ended June 30, 2020, and June 30, 2019, the change in the carrying value of the Company’s mortgage servicing rights accounted for under the amortization method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Pr>
          <w:p>
            <w:pPr>
              <w:spacing w:after="0"/>
              <w:rPr>
                <w:sz w:val="17"/>
                <w:szCs w:val="17"/>
                <w:color w:val="auto"/>
              </w:rPr>
            </w:pPr>
          </w:p>
        </w:tc>
      </w:tr>
      <w:tr>
        <w:trPr>
          <w:trHeight w:val="210"/>
        </w:trPr>
        <w:tc>
          <w:tcPr>
            <w:tcW w:w="5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8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8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49"/>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21,436</w:t>
            </w:r>
          </w:p>
        </w:tc>
        <w:tc>
          <w:tcPr>
            <w:tcW w:w="8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22,881</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23,896</w:t>
            </w:r>
          </w:p>
        </w:tc>
        <w:tc>
          <w:tcPr>
            <w:tcW w:w="78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23,020</w:t>
            </w:r>
          </w:p>
        </w:tc>
      </w:tr>
      <w:tr>
        <w:trPr>
          <w:trHeight w:val="237"/>
        </w:trPr>
        <w:tc>
          <w:tcPr>
            <w:tcW w:w="5180" w:type="dxa"/>
            <w:vAlign w:val="bottom"/>
          </w:tcPr>
          <w:p>
            <w:pPr>
              <w:ind w:left="280"/>
              <w:spacing w:after="0"/>
              <w:rPr>
                <w:sz w:val="20"/>
                <w:szCs w:val="20"/>
                <w:color w:val="auto"/>
              </w:rPr>
            </w:pPr>
            <w:r>
              <w:rPr>
                <w:rFonts w:ascii="Arial" w:cs="Arial" w:eastAsia="Arial" w:hAnsi="Arial"/>
                <w:sz w:val="16"/>
                <w:szCs w:val="16"/>
                <w:color w:val="auto"/>
              </w:rPr>
              <w:t>Servicing Rights that Resulted From Asset Transfers</w:t>
            </w:r>
          </w:p>
        </w:tc>
        <w:tc>
          <w:tcPr>
            <w:tcW w:w="44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1,005</w:t>
            </w:r>
          </w:p>
        </w:tc>
        <w:tc>
          <w:tcPr>
            <w:tcW w:w="8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974</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2,170</w:t>
            </w:r>
          </w:p>
        </w:tc>
        <w:tc>
          <w:tcPr>
            <w:tcW w:w="7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1,524</w:t>
            </w:r>
          </w:p>
        </w:tc>
      </w:tr>
      <w:tr>
        <w:trPr>
          <w:trHeight w:val="33"/>
        </w:trPr>
        <w:tc>
          <w:tcPr>
            <w:tcW w:w="5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(1,301)</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(2,413)</w:t>
            </w:r>
          </w:p>
        </w:tc>
        <w:tc>
          <w:tcPr>
            <w:tcW w:w="7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(1,513)</w:t>
            </w:r>
          </w:p>
        </w:tc>
      </w:tr>
      <w:tr>
        <w:trPr>
          <w:trHeight w:val="237"/>
        </w:trPr>
        <w:tc>
          <w:tcPr>
            <w:tcW w:w="5180" w:type="dxa"/>
            <w:vAlign w:val="bottom"/>
          </w:tcPr>
          <w:p>
            <w:pPr>
              <w:ind w:left="280"/>
              <w:spacing w:after="0"/>
              <w:rPr>
                <w:sz w:val="20"/>
                <w:szCs w:val="20"/>
                <w:color w:val="auto"/>
              </w:rPr>
            </w:pPr>
            <w:r>
              <w:rPr>
                <w:rFonts w:ascii="Arial" w:cs="Arial" w:eastAsia="Arial" w:hAnsi="Arial"/>
                <w:sz w:val="16"/>
                <w:szCs w:val="16"/>
                <w:color w:val="auto"/>
              </w:rPr>
              <w:t>Valuation Allowance Recovery (Provision)</w:t>
            </w:r>
          </w:p>
        </w:tc>
        <w:tc>
          <w:tcPr>
            <w:tcW w:w="44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696</w:t>
            </w:r>
          </w:p>
        </w:tc>
        <w:tc>
          <w:tcPr>
            <w:tcW w:w="8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(1,817)</w:t>
            </w:r>
          </w:p>
        </w:tc>
        <w:tc>
          <w:tcPr>
            <w:tcW w:w="7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5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8"/>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21,836</w:t>
            </w:r>
          </w:p>
        </w:tc>
        <w:tc>
          <w:tcPr>
            <w:tcW w:w="8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23,021</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21,836</w:t>
            </w:r>
          </w:p>
        </w:tc>
        <w:tc>
          <w:tcPr>
            <w:tcW w:w="78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23,021</w:t>
            </w:r>
          </w:p>
        </w:tc>
      </w:tr>
      <w:tr>
        <w:trPr>
          <w:trHeight w:val="20"/>
        </w:trPr>
        <w:tc>
          <w:tcPr>
            <w:tcW w:w="5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Valuation Allowance:</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(2,513)</w:t>
            </w:r>
          </w:p>
        </w:tc>
        <w:tc>
          <w:tcPr>
            <w:tcW w:w="84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Valuation Allowance Recovery (Provision)</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696</w:t>
            </w:r>
          </w:p>
        </w:tc>
        <w:tc>
          <w:tcPr>
            <w:tcW w:w="8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(1,817)</w:t>
            </w:r>
          </w:p>
        </w:tc>
        <w:tc>
          <w:tcPr>
            <w:tcW w:w="7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0"/>
        </w:trPr>
        <w:tc>
          <w:tcPr>
            <w:tcW w:w="5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(1,817)</w:t>
            </w:r>
          </w:p>
        </w:tc>
        <w:tc>
          <w:tcPr>
            <w:tcW w:w="84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(1,817)</w:t>
            </w:r>
          </w:p>
        </w:tc>
        <w:tc>
          <w:tcPr>
            <w:tcW w:w="78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73"/>
        </w:trPr>
        <w:tc>
          <w:tcPr>
            <w:tcW w:w="51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197"/>
        </w:trPr>
        <w:tc>
          <w:tcPr>
            <w:tcW w:w="5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5180" w:type="dxa"/>
            <w:vAlign w:val="bottom"/>
          </w:tcPr>
          <w:p>
            <w:pPr>
              <w:ind w:left="40"/>
              <w:spacing w:after="0"/>
              <w:rPr>
                <w:sz w:val="20"/>
                <w:szCs w:val="20"/>
                <w:color w:val="auto"/>
              </w:rPr>
            </w:pPr>
            <w:r>
              <w:rPr>
                <w:rFonts w:ascii="Arial" w:cs="Arial" w:eastAsia="Arial" w:hAnsi="Arial"/>
                <w:sz w:val="16"/>
                <w:szCs w:val="16"/>
                <w:b w:val="1"/>
                <w:bCs w:val="1"/>
                <w:color w:val="auto"/>
              </w:rPr>
              <w:t>Fair Value of Mortgage Servicing Rights Accounted for</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0"/>
        </w:trPr>
        <w:tc>
          <w:tcPr>
            <w:tcW w:w="5180" w:type="dxa"/>
            <w:vAlign w:val="bottom"/>
          </w:tcPr>
          <w:p>
            <w:pPr>
              <w:ind w:left="320"/>
              <w:spacing w:after="0"/>
              <w:rPr>
                <w:sz w:val="20"/>
                <w:szCs w:val="20"/>
                <w:color w:val="auto"/>
              </w:rPr>
            </w:pPr>
            <w:r>
              <w:rPr>
                <w:rFonts w:ascii="Arial" w:cs="Arial" w:eastAsia="Arial" w:hAnsi="Arial"/>
                <w:sz w:val="16"/>
                <w:szCs w:val="16"/>
                <w:b w:val="1"/>
                <w:bCs w:val="1"/>
                <w:color w:val="auto"/>
              </w:rPr>
              <w:t>Under the Amortization Method</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21,436</w:t>
            </w:r>
          </w:p>
        </w:tc>
        <w:tc>
          <w:tcPr>
            <w:tcW w:w="8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26,814</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25,714</w:t>
            </w:r>
          </w:p>
        </w:tc>
        <w:tc>
          <w:tcPr>
            <w:tcW w:w="78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29,218</w:t>
            </w: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End of Period</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21,836</w:t>
            </w:r>
          </w:p>
        </w:tc>
        <w:tc>
          <w:tcPr>
            <w:tcW w:w="84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24,905</w:t>
            </w:r>
          </w:p>
        </w:tc>
        <w:tc>
          <w:tcPr>
            <w:tcW w:w="2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21,836</w:t>
            </w:r>
          </w:p>
        </w:tc>
        <w:tc>
          <w:tcPr>
            <w:tcW w:w="7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24,905</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30" w:right="3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key data and assumptions used in estimating the fair value of the Company’s mortgage servicing rights as of June 30, 2020, and December 31, 2019,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392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5960" w:type="dxa"/>
            <w:vAlign w:val="bottom"/>
          </w:tcPr>
          <w:p>
            <w:pPr>
              <w:spacing w:after="0"/>
              <w:rPr>
                <w:sz w:val="18"/>
                <w:szCs w:val="18"/>
                <w:color w:val="auto"/>
              </w:rPr>
            </w:pPr>
          </w:p>
        </w:tc>
        <w:tc>
          <w:tcPr>
            <w:tcW w:w="3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2019</w:t>
            </w:r>
          </w:p>
        </w:tc>
      </w:tr>
      <w:tr>
        <w:trPr>
          <w:trHeight w:val="33"/>
        </w:trPr>
        <w:tc>
          <w:tcPr>
            <w:tcW w:w="59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Weighted-Average Constant Prepayment Rate </w:t>
            </w:r>
            <w:r>
              <w:rPr>
                <w:rFonts w:ascii="Arial" w:cs="Arial" w:eastAsia="Arial" w:hAnsi="Arial"/>
                <w:sz w:val="21"/>
                <w:szCs w:val="21"/>
                <w:color w:val="auto"/>
                <w:vertAlign w:val="superscript"/>
              </w:rPr>
              <w:t>1</w:t>
            </w:r>
          </w:p>
        </w:tc>
        <w:tc>
          <w:tcPr>
            <w:tcW w:w="3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14.20%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Weighted-Average Life (in years)</w:t>
            </w:r>
          </w:p>
        </w:tc>
        <w:tc>
          <w:tcPr>
            <w:tcW w:w="3920" w:type="dxa"/>
            <w:vAlign w:val="bottom"/>
          </w:tcPr>
          <w:p>
            <w:pPr>
              <w:jc w:val="right"/>
              <w:ind w:right="319"/>
              <w:spacing w:after="0"/>
              <w:rPr>
                <w:sz w:val="20"/>
                <w:szCs w:val="20"/>
                <w:color w:val="auto"/>
              </w:rPr>
            </w:pPr>
            <w:r>
              <w:rPr>
                <w:rFonts w:ascii="Arial" w:cs="Arial" w:eastAsia="Arial" w:hAnsi="Arial"/>
                <w:sz w:val="16"/>
                <w:szCs w:val="16"/>
                <w:color w:val="auto"/>
              </w:rPr>
              <w:t>5.07</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6.20</w:t>
            </w:r>
          </w:p>
        </w:tc>
      </w:tr>
      <w:tr>
        <w:trPr>
          <w:trHeight w:val="33"/>
        </w:trPr>
        <w:tc>
          <w:tcPr>
            <w:tcW w:w="59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Note Rate</w:t>
            </w:r>
          </w:p>
        </w:tc>
        <w:tc>
          <w:tcPr>
            <w:tcW w:w="39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3.93%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r>
      <w:tr>
        <w:trPr>
          <w:trHeight w:val="311"/>
        </w:trPr>
        <w:tc>
          <w:tcPr>
            <w:tcW w:w="5960" w:type="dxa"/>
            <w:vAlign w:val="bottom"/>
          </w:tcPr>
          <w:p>
            <w:pPr>
              <w:spacing w:after="0"/>
              <w:rPr>
                <w:sz w:val="20"/>
                <w:szCs w:val="20"/>
                <w:color w:val="auto"/>
              </w:rPr>
            </w:pPr>
            <w:r>
              <w:rPr>
                <w:rFonts w:ascii="Arial" w:cs="Arial" w:eastAsia="Arial" w:hAnsi="Arial"/>
                <w:sz w:val="16"/>
                <w:szCs w:val="16"/>
                <w:color w:val="auto"/>
              </w:rPr>
              <w:t xml:space="preserve">Weighted-Average Discount Rate </w:t>
            </w:r>
            <w:r>
              <w:rPr>
                <w:rFonts w:ascii="Arial" w:cs="Arial" w:eastAsia="Arial" w:hAnsi="Arial"/>
                <w:sz w:val="21"/>
                <w:szCs w:val="21"/>
                <w:color w:val="auto"/>
                <w:vertAlign w:val="superscript"/>
              </w:rPr>
              <w:t>2</w:t>
            </w:r>
          </w:p>
        </w:tc>
        <w:tc>
          <w:tcPr>
            <w:tcW w:w="3920" w:type="dxa"/>
            <w:vAlign w:val="bottom"/>
          </w:tcPr>
          <w:p>
            <w:pPr>
              <w:jc w:val="right"/>
              <w:ind w:right="199"/>
              <w:spacing w:after="0"/>
              <w:rPr>
                <w:sz w:val="20"/>
                <w:szCs w:val="20"/>
                <w:color w:val="auto"/>
              </w:rPr>
            </w:pPr>
            <w:r>
              <w:rPr>
                <w:rFonts w:ascii="Arial" w:cs="Arial" w:eastAsia="Arial" w:hAnsi="Arial"/>
                <w:sz w:val="16"/>
                <w:szCs w:val="16"/>
                <w:color w:val="auto"/>
              </w:rPr>
              <w:t>5.94%</w:t>
            </w:r>
          </w:p>
        </w:tc>
        <w:tc>
          <w:tcPr>
            <w:tcW w:w="1360" w:type="dxa"/>
            <w:vAlign w:val="bottom"/>
          </w:tcPr>
          <w:p>
            <w:pPr>
              <w:jc w:val="right"/>
              <w:spacing w:after="0"/>
              <w:rPr>
                <w:sz w:val="20"/>
                <w:szCs w:val="20"/>
                <w:color w:val="auto"/>
              </w:rPr>
            </w:pPr>
            <w:r>
              <w:rPr>
                <w:rFonts w:ascii="Arial" w:cs="Arial" w:eastAsia="Arial" w:hAnsi="Arial"/>
                <w:sz w:val="16"/>
                <w:szCs w:val="16"/>
                <w:color w:val="auto"/>
              </w:rPr>
              <w:t>7.33%</w:t>
            </w:r>
          </w:p>
        </w:tc>
      </w:tr>
    </w:tbl>
    <w:p>
      <w:pPr>
        <w:spacing w:after="0" w:line="156" w:lineRule="exact"/>
        <w:rPr>
          <w:sz w:val="20"/>
          <w:szCs w:val="20"/>
          <w:color w:val="auto"/>
        </w:rPr>
      </w:pPr>
    </w:p>
    <w:p>
      <w:pPr>
        <w:ind w:left="80" w:hanging="72"/>
        <w:spacing w:after="0"/>
        <w:tabs>
          <w:tab w:leader="none" w:pos="80" w:val="left"/>
        </w:tabs>
        <w:numPr>
          <w:ilvl w:val="0"/>
          <w:numId w:val="14"/>
        </w:numPr>
        <w:rPr>
          <w:rFonts w:ascii="Arial" w:cs="Arial" w:eastAsia="Arial" w:hAnsi="Arial"/>
          <w:sz w:val="9"/>
          <w:szCs w:val="9"/>
          <w:color w:val="auto"/>
        </w:rPr>
      </w:pPr>
      <w:r>
        <w:rPr>
          <w:rFonts w:ascii="Arial" w:cs="Arial" w:eastAsia="Arial" w:hAnsi="Arial"/>
          <w:sz w:val="14"/>
          <w:szCs w:val="14"/>
          <w:color w:val="auto"/>
        </w:rPr>
        <w:t>Represents annualized loan prepayment rate assumption.</w:t>
      </w:r>
    </w:p>
    <w:p>
      <w:pPr>
        <w:spacing w:after="0" w:line="13" w:lineRule="exact"/>
        <w:rPr>
          <w:sz w:val="20"/>
          <w:szCs w:val="20"/>
          <w:color w:val="auto"/>
        </w:rPr>
      </w:pPr>
    </w:p>
    <w:p>
      <w:pPr>
        <w:ind w:left="80" w:hanging="72"/>
        <w:spacing w:after="0"/>
        <w:tabs>
          <w:tab w:leader="none" w:pos="80" w:val="left"/>
        </w:tabs>
        <w:numPr>
          <w:ilvl w:val="0"/>
          <w:numId w:val="15"/>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209"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 sensitivity analysis of the Company’s fair value of mortgage servicing rights to changes in certain key assumptions as of June 30, 2020, and December 31, 2019, is presented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30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Constant Prepayment Rate</w:t>
            </w:r>
          </w:p>
        </w:tc>
        <w:tc>
          <w:tcPr>
            <w:tcW w:w="2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Decrease in fair value from 25 basis points (“bps”) adverse change</w:t>
            </w:r>
          </w:p>
        </w:tc>
        <w:tc>
          <w:tcPr>
            <w:tcW w:w="22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(238)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33"/>
        </w:trPr>
        <w:tc>
          <w:tcPr>
            <w:tcW w:w="6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fair value from 50 bps adverse change</w:t>
            </w:r>
          </w:p>
        </w:tc>
        <w:tc>
          <w:tcPr>
            <w:tcW w:w="2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(471)</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w:t>
            </w:r>
          </w:p>
        </w:tc>
      </w:tr>
      <w:tr>
        <w:trPr>
          <w:trHeight w:val="237"/>
        </w:trPr>
        <w:tc>
          <w:tcPr>
            <w:tcW w:w="638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2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fair value from 25 bps adverse change</w:t>
            </w:r>
          </w:p>
        </w:tc>
        <w:tc>
          <w:tcPr>
            <w:tcW w:w="2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(209)</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Decrease in fair value from 50 bps adverse change</w:t>
            </w:r>
          </w:p>
        </w:tc>
        <w:tc>
          <w:tcPr>
            <w:tcW w:w="2260" w:type="dxa"/>
            <w:vAlign w:val="bottom"/>
          </w:tcPr>
          <w:p>
            <w:pPr>
              <w:spacing w:after="0"/>
              <w:rPr>
                <w:sz w:val="20"/>
                <w:szCs w:val="20"/>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(414)</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(522)</w:t>
            </w:r>
          </w:p>
        </w:tc>
      </w:tr>
    </w:tbl>
    <w:p>
      <w:pPr>
        <w:spacing w:after="0" w:line="200" w:lineRule="exact"/>
        <w:rPr>
          <w:sz w:val="20"/>
          <w:szCs w:val="20"/>
          <w:color w:val="auto"/>
        </w:rPr>
      </w:pPr>
    </w:p>
    <w:p>
      <w:pPr>
        <w:spacing w:after="0" w:line="25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Affordable Housing Projects Tax Credit Partnerships</w:t>
      </w:r>
    </w:p>
    <w:p>
      <w:pPr>
        <w:spacing w:after="0" w:line="24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makes equity investments in various limited partnerships or limited liability companies that sponsor affordable housing projects utilizing the Low 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activities of these entities include the identification, development, and operation of multi-family housing that is leased to qualifying residential tenants. Generally, these types of investments are funded through a combination of debt and equity.</w:t>
      </w:r>
    </w:p>
    <w:p>
      <w:pPr>
        <w:spacing w:after="0" w:line="17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is a limited partner or non-managing member in each LIHTC limited partnership or limited liability company, respectively. Each of these entities is managed by an unrelated third-party general partner or managing member who exercises significant control over the affairs of the entity. The general partner or managing member has all the rights, powers and authority granted or permitted to be granted to a general partner of a limited partnership or managing member of a limited liability company. Duties entrusted to the general partner or managing member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or non-managing member(s) relating to the approval of certain transactions, the limited partner(s) and non-managing member(s) may not participate in the operation, management, or control of the entity’s business, transact any business in the entity’s name or have any power to sign documents for or otherwise bind the entity. In addition, the general partner or managing member may only be removed by the limited partner(s) or managing member(s) in the event of a failure to comply with the terms of the agreement or negligence in performing its duties.</w:t>
      </w:r>
    </w:p>
    <w:p>
      <w:pPr>
        <w:spacing w:after="0" w:line="18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general partner or managing member of each entity has both the power to direct the activities which most significantly affect the performance of each entity and the obligation to absorb losses or the right to receive benefits that could be significant to the entities. Therefore, the Company has determined that it is not the primary beneficiary of any LIHTC entity. The Company uses the effective yield method to account for its pre-2015 investments in these entities. Beginning January 1, 2015, any new investments that meet the requirements of the proportional amortization method are recognized using the proportional amortization method. The Company’s net affordable housing tax credit investments and related unfunded commitments were $89.4 million and $76.3 million as of June 30, 2020, and December 31, 2019, respectively, and are included in other assets in the consolidated statements of condition.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expected payments for unfunded affordable housing commitments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Amount</w:t>
            </w:r>
          </w:p>
        </w:tc>
      </w:tr>
      <w:tr>
        <w:trPr>
          <w:trHeight w:val="23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2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6,295</w:t>
            </w:r>
          </w:p>
        </w:tc>
      </w:tr>
      <w:tr>
        <w:trPr>
          <w:trHeight w:val="224"/>
        </w:trPr>
        <w:tc>
          <w:tcPr>
            <w:tcW w:w="6040" w:type="dxa"/>
            <w:vAlign w:val="bottom"/>
          </w:tcPr>
          <w:p>
            <w:pPr>
              <w:ind w:left="40"/>
              <w:spacing w:after="0"/>
              <w:rPr>
                <w:sz w:val="20"/>
                <w:szCs w:val="20"/>
                <w:color w:val="auto"/>
              </w:rPr>
            </w:pPr>
            <w:r>
              <w:rPr>
                <w:rFonts w:ascii="Arial" w:cs="Arial" w:eastAsia="Arial" w:hAnsi="Arial"/>
                <w:sz w:val="16"/>
                <w:szCs w:val="16"/>
                <w:color w:val="auto"/>
              </w:rPr>
              <w:t>2021</w:t>
            </w:r>
          </w:p>
        </w:tc>
        <w:tc>
          <w:tcPr>
            <w:tcW w:w="42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5,310</w:t>
            </w:r>
          </w:p>
        </w:tc>
      </w:tr>
      <w:tr>
        <w:trPr>
          <w:trHeight w:val="33"/>
        </w:trPr>
        <w:tc>
          <w:tcPr>
            <w:tcW w:w="60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24"/>
        </w:trPr>
        <w:tc>
          <w:tcPr>
            <w:tcW w:w="6040" w:type="dxa"/>
            <w:vAlign w:val="bottom"/>
          </w:tcPr>
          <w:p>
            <w:pPr>
              <w:ind w:left="40"/>
              <w:spacing w:after="0"/>
              <w:rPr>
                <w:sz w:val="20"/>
                <w:szCs w:val="20"/>
                <w:color w:val="auto"/>
              </w:rPr>
            </w:pPr>
            <w:r>
              <w:rPr>
                <w:rFonts w:ascii="Arial" w:cs="Arial" w:eastAsia="Arial" w:hAnsi="Arial"/>
                <w:sz w:val="16"/>
                <w:szCs w:val="16"/>
                <w:color w:val="auto"/>
              </w:rPr>
              <w:t>2023</w:t>
            </w:r>
          </w:p>
        </w:tc>
        <w:tc>
          <w:tcPr>
            <w:tcW w:w="42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60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4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r>
      <w:tr>
        <w:trPr>
          <w:trHeight w:val="224"/>
        </w:trPr>
        <w:tc>
          <w:tcPr>
            <w:tcW w:w="60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2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1,754</w:t>
            </w:r>
          </w:p>
        </w:tc>
      </w:tr>
      <w:tr>
        <w:trPr>
          <w:trHeight w:val="33"/>
        </w:trPr>
        <w:tc>
          <w:tcPr>
            <w:tcW w:w="60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Total Unfunded Commitments</w:t>
            </w:r>
          </w:p>
        </w:tc>
        <w:tc>
          <w:tcPr>
            <w:tcW w:w="42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13,548</w:t>
            </w: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4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presents tax credits and other tax benefits recognized and amortization expense related to affordable housing for the three and six months ended June 30, 2020, and June 30,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520" w:type="dxa"/>
            <w:vAlign w:val="bottom"/>
          </w:tcPr>
          <w:p>
            <w:pPr>
              <w:spacing w:after="0"/>
              <w:rPr>
                <w:sz w:val="17"/>
                <w:szCs w:val="17"/>
                <w:color w:val="auto"/>
              </w:rPr>
            </w:pPr>
          </w:p>
        </w:tc>
      </w:tr>
      <w:tr>
        <w:trPr>
          <w:trHeight w:val="210"/>
        </w:trPr>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June 30,</w:t>
            </w:r>
          </w:p>
        </w:tc>
        <w:tc>
          <w:tcPr>
            <w:tcW w:w="52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Effective Yield Method</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2,938</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2,930</w:t>
            </w:r>
          </w:p>
        </w:tc>
        <w:tc>
          <w:tcPr>
            <w:tcW w:w="2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5,876</w:t>
            </w:r>
          </w:p>
        </w:tc>
        <w:tc>
          <w:tcPr>
            <w:tcW w:w="7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5,859</w:t>
            </w:r>
          </w:p>
        </w:tc>
      </w:tr>
      <w:tr>
        <w:trPr>
          <w:trHeight w:val="33"/>
        </w:trPr>
        <w:tc>
          <w:tcPr>
            <w:tcW w:w="6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Amortization Expense in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2,147</w:t>
            </w: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1,891</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4,293</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3,783</w:t>
            </w:r>
          </w:p>
        </w:tc>
      </w:tr>
      <w:tr>
        <w:trPr>
          <w:trHeight w:val="270"/>
        </w:trPr>
        <w:tc>
          <w:tcPr>
            <w:tcW w:w="6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Proportional Amortization Method</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1,523</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753</w:t>
            </w:r>
          </w:p>
        </w:tc>
        <w:tc>
          <w:tcPr>
            <w:tcW w:w="2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3,046</w:t>
            </w:r>
          </w:p>
        </w:tc>
        <w:tc>
          <w:tcPr>
            <w:tcW w:w="7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1,507</w:t>
            </w:r>
          </w:p>
        </w:tc>
      </w:tr>
      <w:tr>
        <w:trPr>
          <w:trHeight w:val="33"/>
        </w:trPr>
        <w:tc>
          <w:tcPr>
            <w:tcW w:w="6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0"/>
        </w:trPr>
        <w:tc>
          <w:tcPr>
            <w:tcW w:w="6080" w:type="dxa"/>
            <w:vAlign w:val="bottom"/>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Amortization Expense in Provision for Income Taxes</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1,318</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645</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2,637</w:t>
            </w: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1,289</w:t>
            </w:r>
          </w:p>
        </w:tc>
      </w:tr>
      <w:tr>
        <w:trPr>
          <w:trHeight w:val="40"/>
        </w:trPr>
        <w:tc>
          <w:tcPr>
            <w:tcW w:w="60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losses related to LIHTC investments during the six months ended June 30, 2020, and June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Balance Sheet Offsetting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 (“Swap Agreements”)</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The Company enters into swap agreements to facilitate the risk management strategies of a small number of commercial banking customers. The Company mitigates the risk of entering into these agreements by entering into equal and offsetting swap agreements with third-party financial institutions. The swap agreements are free-standing derivatives and are recorded at fair value in the Company’s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cash or marketable securities, is posted by the party (i.e., the Company or the financial institution counterparty) with net liability positions in accordance with contract thresholds. The Company had net liability positions with its financial institution counterparties totaling $20.3 million and $5.1 million as of June 30, 2020, and December 31, 2019, respectively. See Note 12 </w:t>
      </w:r>
      <w:r>
        <w:rPr>
          <w:rFonts w:ascii="Arial" w:cs="Arial" w:eastAsia="Arial" w:hAnsi="Arial"/>
          <w:sz w:val="17"/>
          <w:szCs w:val="17"/>
          <w:i w:val="1"/>
          <w:iCs w:val="1"/>
          <w:color w:val="auto"/>
        </w:rPr>
        <w:t>Derivative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for more information.</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Parties to a centrally cleared over-the-counter derivative exchange daily payments that reflect the daily change in value of the derivative. Effective 2017, these payments, commonly referred to as variation margin, are recorded as settlements of the derivatives’ mark-to-market exposure rather than collateral against the exposures. This rule change effectively results in any centrally cleared derivative having a fair value that approximates zero on a daily basis, and therefore, these swap agreements were not included in the offsetting table at the end of this section. See Note 12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 (“Repurchase Agreements”)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these repurchase agreements are accounted for as collateralized financing arrangements (i.e., secured borrowings) and not as sales and subsequent repurchases of securities. The obligation to repurchase the securities is reflected as a liability in the Company’s consolidated statements of condition, while the securities underlying the repurchase agreements remain in the respective investment securities asset accounts. As a result, there is no offsetting or netting of the investment securities assets with the repurchase agreement liabilities. In addition, as the Company does not enter into reverse repurchase agreements, there is no such offsetting to be done with the repurchase agreements.</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right of setoff for a repurchase agreement resembles a secured borrowing, whereby the collateral pledged by the Company would be used to settle the fair value of the repurchase agreement should the Company be in default (e.g., fail to make an interest payment to the counterparty). For private institution repurchase agreements, if the private institution counterparty were to default (e.g., declare bankruptcy), the Company could cancel the repurchase agreement (i.e., cease payment of principal and interest) and attempt collection on the amount of collateral value in excess of the repurchase agreement fair value. The collateral is held by a third-party financial institution in the counterparty’s custodial account. The counterparty has the right to sell or repledge the investment securities. For government entity repurchase agreements, the collateral is held by the Company in a segregated custodial account under a tri-party agreement. The Company is required by the counterparty to maintain adequate collateral levels. In the event the collateral fair value falls below stipulated levels, the Company will pledge additional securities. The Company closely monitors collateral levels to ensure adequate levels are maintained, while mitigating the potential risk of over-collateralization in the event of counterparty default.</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presents the remaining contractual maturities of the Company’s repurchase agreements as of June 30, 2020, and December 31, 2019, disaggregated by the class of collateral pledged.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40" w:type="dxa"/>
            <w:vAlign w:val="bottom"/>
            <w:gridSpan w:val="8"/>
          </w:tcPr>
          <w:p>
            <w:pPr>
              <w:jc w:val="right"/>
              <w:spacing w:after="0"/>
              <w:rPr>
                <w:sz w:val="20"/>
                <w:szCs w:val="20"/>
                <w:color w:val="auto"/>
              </w:rPr>
            </w:pPr>
            <w:r>
              <w:rPr>
                <w:rFonts w:ascii="Arial" w:cs="Arial" w:eastAsia="Arial" w:hAnsi="Arial"/>
                <w:sz w:val="16"/>
                <w:szCs w:val="16"/>
                <w:b w:val="1"/>
                <w:bCs w:val="1"/>
                <w:color w:val="auto"/>
              </w:rPr>
              <w:t>Remaining Contractual Maturity of Repurchase Agreements</w:t>
            </w:r>
          </w:p>
        </w:tc>
        <w:tc>
          <w:tcPr>
            <w:tcW w:w="600" w:type="dxa"/>
            <w:vAlign w:val="bottom"/>
          </w:tcPr>
          <w:p>
            <w:pPr>
              <w:spacing w:after="0"/>
              <w:rPr>
                <w:sz w:val="18"/>
                <w:szCs w:val="18"/>
                <w:color w:val="auto"/>
              </w:rPr>
            </w:pPr>
          </w:p>
        </w:tc>
      </w:tr>
      <w:tr>
        <w:trPr>
          <w:trHeight w:val="33"/>
        </w:trPr>
        <w:tc>
          <w:tcPr>
            <w:tcW w:w="5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9"/>
        </w:trPr>
        <w:tc>
          <w:tcPr>
            <w:tcW w:w="5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62"/>
              <w:spacing w:after="0"/>
              <w:rPr>
                <w:sz w:val="20"/>
                <w:szCs w:val="20"/>
                <w:color w:val="auto"/>
              </w:rPr>
            </w:pPr>
            <w:r>
              <w:rPr>
                <w:rFonts w:ascii="Arial" w:cs="Arial" w:eastAsia="Arial" w:hAnsi="Arial"/>
                <w:sz w:val="16"/>
                <w:szCs w:val="16"/>
                <w:b w:val="1"/>
                <w:bCs w:val="1"/>
                <w:color w:val="auto"/>
              </w:rPr>
              <w:t>Up to</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43"/>
              <w:spacing w:after="0"/>
              <w:rPr>
                <w:sz w:val="20"/>
                <w:szCs w:val="20"/>
                <w:color w:val="auto"/>
              </w:rPr>
            </w:pPr>
            <w:r>
              <w:rPr>
                <w:rFonts w:ascii="Arial" w:cs="Arial" w:eastAsia="Arial" w:hAnsi="Arial"/>
                <w:sz w:val="16"/>
                <w:szCs w:val="16"/>
                <w:b w:val="1"/>
                <w:bCs w:val="1"/>
                <w:color w:val="auto"/>
              </w:rPr>
              <w:t>After</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7"/>
        </w:trPr>
        <w:tc>
          <w:tcPr>
            <w:tcW w:w="57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90 days</w:t>
            </w:r>
          </w:p>
        </w:tc>
        <w:tc>
          <w:tcPr>
            <w:tcW w:w="114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6"/>
                <w:szCs w:val="16"/>
                <w:b w:val="1"/>
                <w:bCs w:val="1"/>
                <w:color w:val="auto"/>
              </w:rPr>
              <w:t>91-365 days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w w:val="98"/>
              </w:rPr>
              <w:t>1-3 Years</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 Years</w:t>
            </w:r>
          </w:p>
        </w:tc>
        <w:tc>
          <w:tcPr>
            <w:tcW w:w="5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Total</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June 30, 2020</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66"/>
        </w:trPr>
        <w:tc>
          <w:tcPr>
            <w:tcW w:w="5740" w:type="dxa"/>
            <w:vAlign w:val="bottom"/>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4"/>
        </w:trPr>
        <w:tc>
          <w:tcPr>
            <w:tcW w:w="574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119,537</w:t>
            </w:r>
          </w:p>
        </w:tc>
        <w:tc>
          <w:tcPr>
            <w:tcW w:w="3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88"/>
              </w:rPr>
              <w:t>119,537</w:t>
            </w:r>
          </w:p>
        </w:tc>
      </w:tr>
      <w:tr>
        <w:trPr>
          <w:trHeight w:val="266"/>
        </w:trPr>
        <w:tc>
          <w:tcPr>
            <w:tcW w:w="5740" w:type="dxa"/>
            <w:vAlign w:val="bottom"/>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60" w:type="dxa"/>
            <w:vAlign w:val="bottom"/>
          </w:tcPr>
          <w:p>
            <w:pPr>
              <w:spacing w:after="0"/>
              <w:rPr>
                <w:sz w:val="23"/>
                <w:szCs w:val="23"/>
                <w:color w:val="auto"/>
              </w:rPr>
            </w:pPr>
          </w:p>
        </w:tc>
        <w:tc>
          <w:tcPr>
            <w:tcW w:w="800" w:type="dxa"/>
            <w:vAlign w:val="bottom"/>
          </w:tcPr>
          <w:p>
            <w:pPr>
              <w:jc w:val="right"/>
              <w:ind w:right="62"/>
              <w:spacing w:after="0"/>
              <w:rPr>
                <w:sz w:val="20"/>
                <w:szCs w:val="20"/>
                <w:color w:val="auto"/>
              </w:rPr>
            </w:pPr>
            <w:r>
              <w:rPr>
                <w:rFonts w:ascii="Arial" w:cs="Arial" w:eastAsia="Arial" w:hAnsi="Arial"/>
                <w:sz w:val="15"/>
                <w:szCs w:val="15"/>
                <w:color w:val="auto"/>
              </w:rPr>
              <w:t>1,100</w:t>
            </w:r>
          </w:p>
        </w:tc>
        <w:tc>
          <w:tcPr>
            <w:tcW w:w="440" w:type="dxa"/>
            <w:vAlign w:val="bottom"/>
          </w:tcPr>
          <w:p>
            <w:pPr>
              <w:spacing w:after="0"/>
              <w:rPr>
                <w:sz w:val="23"/>
                <w:szCs w:val="23"/>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100</w:t>
            </w:r>
          </w:p>
        </w:tc>
        <w:tc>
          <w:tcPr>
            <w:tcW w:w="260" w:type="dxa"/>
            <w:vAlign w:val="bottom"/>
          </w:tcPr>
          <w:p>
            <w:pPr>
              <w:spacing w:after="0"/>
              <w:rPr>
                <w:sz w:val="23"/>
                <w:szCs w:val="23"/>
                <w:color w:val="auto"/>
              </w:rPr>
            </w:pP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490</w:t>
            </w:r>
          </w:p>
        </w:tc>
        <w:tc>
          <w:tcPr>
            <w:tcW w:w="500" w:type="dxa"/>
            <w:vAlign w:val="bottom"/>
          </w:tcPr>
          <w:p>
            <w:pPr>
              <w:spacing w:after="0"/>
              <w:rPr>
                <w:sz w:val="23"/>
                <w:szCs w:val="23"/>
                <w:color w:val="auto"/>
              </w:rPr>
            </w:pPr>
          </w:p>
        </w:tc>
        <w:tc>
          <w:tcPr>
            <w:tcW w:w="600" w:type="dxa"/>
            <w:vAlign w:val="bottom"/>
          </w:tcPr>
          <w:p>
            <w:pPr>
              <w:jc w:val="right"/>
              <w:ind w:right="23"/>
              <w:spacing w:after="0"/>
              <w:rPr>
                <w:sz w:val="20"/>
                <w:szCs w:val="20"/>
                <w:color w:val="auto"/>
              </w:rPr>
            </w:pPr>
            <w:r>
              <w:rPr>
                <w:rFonts w:ascii="Arial" w:cs="Arial" w:eastAsia="Arial" w:hAnsi="Arial"/>
                <w:sz w:val="15"/>
                <w:szCs w:val="15"/>
                <w:color w:val="auto"/>
              </w:rPr>
              <w:t>1,690</w:t>
            </w:r>
          </w:p>
        </w:tc>
      </w:tr>
      <w:tr>
        <w:trPr>
          <w:trHeight w:val="274"/>
        </w:trPr>
        <w:tc>
          <w:tcPr>
            <w:tcW w:w="5740" w:type="dxa"/>
            <w:vAlign w:val="bottom"/>
            <w:shd w:val="clear" w:color="auto" w:fill="CCEEFF"/>
          </w:tcPr>
          <w:p>
            <w:pPr>
              <w:ind w:left="80"/>
              <w:spacing w:after="0"/>
              <w:rPr>
                <w:sz w:val="20"/>
                <w:szCs w:val="20"/>
                <w:color w:val="auto"/>
              </w:rPr>
            </w:pPr>
            <w:r>
              <w:rPr>
                <w:rFonts w:ascii="Arial" w:cs="Arial" w:eastAsia="Arial" w:hAnsi="Arial"/>
                <w:sz w:val="15"/>
                <w:szCs w:val="15"/>
                <w:color w:val="auto"/>
              </w:rPr>
              <w:t>Mortgage-Backed Securities: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6"/>
        </w:trPr>
        <w:tc>
          <w:tcPr>
            <w:tcW w:w="5740" w:type="dxa"/>
            <w:vAlign w:val="bottom"/>
          </w:tcPr>
          <w:p>
            <w:pPr>
              <w:ind w:left="220"/>
              <w:spacing w:after="0"/>
              <w:rPr>
                <w:sz w:val="20"/>
                <w:szCs w:val="20"/>
                <w:color w:val="auto"/>
              </w:rPr>
            </w:pPr>
            <w:r>
              <w:rPr>
                <w:rFonts w:ascii="Arial" w:cs="Arial" w:eastAsia="Arial" w:hAnsi="Arial"/>
                <w:sz w:val="15"/>
                <w:szCs w:val="15"/>
                <w:color w:val="auto"/>
              </w:rPr>
              <w:t>Residential - Government Agencies</w:t>
            </w:r>
          </w:p>
        </w:tc>
        <w:tc>
          <w:tcPr>
            <w:tcW w:w="260" w:type="dxa"/>
            <w:vAlign w:val="bottom"/>
          </w:tcPr>
          <w:p>
            <w:pPr>
              <w:spacing w:after="0"/>
              <w:rPr>
                <w:sz w:val="23"/>
                <w:szCs w:val="23"/>
                <w:color w:val="auto"/>
              </w:rPr>
            </w:pPr>
          </w:p>
        </w:tc>
        <w:tc>
          <w:tcPr>
            <w:tcW w:w="800" w:type="dxa"/>
            <w:vAlign w:val="bottom"/>
          </w:tcPr>
          <w:p>
            <w:pPr>
              <w:jc w:val="right"/>
              <w:ind w:right="62"/>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3"/>
                <w:szCs w:val="23"/>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1,516</w:t>
            </w:r>
          </w:p>
        </w:tc>
        <w:tc>
          <w:tcPr>
            <w:tcW w:w="260" w:type="dxa"/>
            <w:vAlign w:val="bottom"/>
          </w:tcPr>
          <w:p>
            <w:pPr>
              <w:spacing w:after="0"/>
              <w:rPr>
                <w:sz w:val="23"/>
                <w:szCs w:val="23"/>
                <w:color w:val="auto"/>
              </w:rPr>
            </w:pP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105,463</w:t>
            </w:r>
          </w:p>
        </w:tc>
        <w:tc>
          <w:tcPr>
            <w:tcW w:w="34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106,956</w:t>
            </w:r>
          </w:p>
        </w:tc>
        <w:tc>
          <w:tcPr>
            <w:tcW w:w="500" w:type="dxa"/>
            <w:vAlign w:val="bottom"/>
          </w:tcPr>
          <w:p>
            <w:pPr>
              <w:spacing w:after="0"/>
              <w:rPr>
                <w:sz w:val="23"/>
                <w:szCs w:val="23"/>
                <w:color w:val="auto"/>
              </w:rPr>
            </w:pPr>
          </w:p>
        </w:tc>
        <w:tc>
          <w:tcPr>
            <w:tcW w:w="600" w:type="dxa"/>
            <w:vAlign w:val="bottom"/>
          </w:tcPr>
          <w:p>
            <w:pPr>
              <w:jc w:val="right"/>
              <w:ind w:right="23"/>
              <w:spacing w:after="0"/>
              <w:rPr>
                <w:sz w:val="20"/>
                <w:szCs w:val="20"/>
                <w:color w:val="auto"/>
              </w:rPr>
            </w:pPr>
            <w:r>
              <w:rPr>
                <w:rFonts w:ascii="Arial" w:cs="Arial" w:eastAsia="Arial" w:hAnsi="Arial"/>
                <w:sz w:val="15"/>
                <w:szCs w:val="15"/>
                <w:color w:val="auto"/>
                <w:w w:val="88"/>
              </w:rPr>
              <w:t>213,935</w:t>
            </w:r>
          </w:p>
        </w:tc>
      </w:tr>
      <w:tr>
        <w:trPr>
          <w:trHeight w:val="270"/>
        </w:trPr>
        <w:tc>
          <w:tcPr>
            <w:tcW w:w="5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268,044</w:t>
            </w:r>
          </w:p>
        </w:tc>
        <w:tc>
          <w:tcPr>
            <w:tcW w:w="5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88"/>
              </w:rPr>
              <w:t>268,044</w:t>
            </w:r>
          </w:p>
        </w:tc>
      </w:tr>
      <w:tr>
        <w:trPr>
          <w:trHeight w:val="303"/>
        </w:trPr>
        <w:tc>
          <w:tcPr>
            <w:tcW w:w="57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rPr>
              <w:t>1,100</w:t>
            </w:r>
          </w:p>
        </w:tc>
        <w:tc>
          <w:tcPr>
            <w:tcW w:w="4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1,616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225,000</w:t>
            </w:r>
          </w:p>
        </w:tc>
        <w:tc>
          <w:tcPr>
            <w:tcW w:w="3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375,490</w:t>
            </w:r>
          </w:p>
        </w:tc>
        <w:tc>
          <w:tcPr>
            <w:tcW w:w="5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88"/>
              </w:rPr>
              <w:t>603,206</w:t>
            </w:r>
          </w:p>
        </w:tc>
      </w:tr>
      <w:tr>
        <w:trPr>
          <w:trHeight w:val="160"/>
        </w:trPr>
        <w:tc>
          <w:tcPr>
            <w:tcW w:w="5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6"/>
                <w:szCs w:val="16"/>
                <w:b w:val="1"/>
                <w:bCs w:val="1"/>
                <w:color w:val="auto"/>
              </w:rPr>
              <w:t>December 31, 2019</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5740" w:type="dxa"/>
            <w:vAlign w:val="bottom"/>
            <w:shd w:val="clear" w:color="auto" w:fill="CCEEFF"/>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6"/>
        </w:trPr>
        <w:tc>
          <w:tcPr>
            <w:tcW w:w="5740" w:type="dxa"/>
            <w:vAlign w:val="bottom"/>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62"/>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199,173</w:t>
            </w:r>
          </w:p>
        </w:tc>
        <w:tc>
          <w:tcPr>
            <w:tcW w:w="3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38,065</w:t>
            </w:r>
          </w:p>
        </w:tc>
        <w:tc>
          <w:tcPr>
            <w:tcW w:w="50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23"/>
              <w:spacing w:after="0"/>
              <w:rPr>
                <w:sz w:val="20"/>
                <w:szCs w:val="20"/>
                <w:color w:val="auto"/>
              </w:rPr>
            </w:pPr>
            <w:r>
              <w:rPr>
                <w:rFonts w:ascii="Arial" w:cs="Arial" w:eastAsia="Arial" w:hAnsi="Arial"/>
                <w:sz w:val="15"/>
                <w:szCs w:val="15"/>
                <w:color w:val="auto"/>
                <w:w w:val="88"/>
              </w:rPr>
              <w:t>237,238</w:t>
            </w:r>
          </w:p>
        </w:tc>
      </w:tr>
      <w:tr>
        <w:trPr>
          <w:trHeight w:val="274"/>
        </w:trPr>
        <w:tc>
          <w:tcPr>
            <w:tcW w:w="574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rPr>
              <w:t>1,200</w:t>
            </w:r>
          </w:p>
        </w:tc>
        <w:tc>
          <w:tcPr>
            <w:tcW w:w="4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1,100</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490</w:t>
            </w:r>
          </w:p>
        </w:tc>
        <w:tc>
          <w:tcPr>
            <w:tcW w:w="5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2,790</w:t>
            </w:r>
          </w:p>
        </w:tc>
      </w:tr>
      <w:tr>
        <w:trPr>
          <w:trHeight w:val="266"/>
        </w:trPr>
        <w:tc>
          <w:tcPr>
            <w:tcW w:w="5740" w:type="dxa"/>
            <w:vAlign w:val="bottom"/>
          </w:tcPr>
          <w:p>
            <w:pPr>
              <w:ind w:left="80"/>
              <w:spacing w:after="0"/>
              <w:rPr>
                <w:sz w:val="20"/>
                <w:szCs w:val="20"/>
                <w:color w:val="auto"/>
              </w:rPr>
            </w:pPr>
            <w:r>
              <w:rPr>
                <w:rFonts w:ascii="Arial" w:cs="Arial" w:eastAsia="Arial" w:hAnsi="Arial"/>
                <w:sz w:val="15"/>
                <w:szCs w:val="15"/>
                <w:color w:val="auto"/>
              </w:rPr>
              <w:t>Mortgage-Backed Securities:</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4"/>
        </w:trPr>
        <w:tc>
          <w:tcPr>
            <w:tcW w:w="5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Residential - Government Agencies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1,516</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25,827</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88,391</w:t>
            </w:r>
          </w:p>
        </w:tc>
        <w:tc>
          <w:tcPr>
            <w:tcW w:w="5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88"/>
              </w:rPr>
              <w:t>115,734</w:t>
            </w:r>
          </w:p>
        </w:tc>
      </w:tr>
      <w:tr>
        <w:trPr>
          <w:trHeight w:val="266"/>
        </w:trPr>
        <w:tc>
          <w:tcPr>
            <w:tcW w:w="574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248,544</w:t>
            </w:r>
          </w:p>
        </w:tc>
        <w:tc>
          <w:tcPr>
            <w:tcW w:w="5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88"/>
              </w:rPr>
              <w:t>248,544</w:t>
            </w:r>
          </w:p>
        </w:tc>
      </w:tr>
      <w:tr>
        <w:trPr>
          <w:trHeight w:val="264"/>
        </w:trPr>
        <w:tc>
          <w:tcPr>
            <w:tcW w:w="57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rPr>
              <w:t>1,200</w:t>
            </w:r>
          </w:p>
        </w:tc>
        <w:tc>
          <w:tcPr>
            <w:tcW w:w="4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2,616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225,000</w:t>
            </w:r>
          </w:p>
        </w:tc>
        <w:tc>
          <w:tcPr>
            <w:tcW w:w="3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375,490</w:t>
            </w:r>
          </w:p>
        </w:tc>
        <w:tc>
          <w:tcPr>
            <w:tcW w:w="5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88"/>
              </w:rPr>
              <w:t>604,306</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presents the assets and liabilities subject to an enforceable master netting arrangement, or repurchase agreements, as of June 30, 2020, and December 31, 2019. The swap agreements the Company has with our commercial banking customers are not subject to an enforceable master netting arrangement, and therefore, are excluded from this table. As previously mentioned, centrally cleared swap agreements between the Company and institutional counterparties are also excluded from this table.</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(ii)</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(iii) = (i)-(ii)</w:t>
            </w:r>
          </w:p>
        </w:tc>
        <w:tc>
          <w:tcPr>
            <w:tcW w:w="180" w:type="dxa"/>
            <w:vAlign w:val="bottom"/>
          </w:tcPr>
          <w:p>
            <w:pPr>
              <w:spacing w:after="0"/>
              <w:rPr>
                <w:sz w:val="18"/>
                <w:szCs w:val="18"/>
                <w:color w:val="auto"/>
              </w:rPr>
            </w:pPr>
          </w:p>
        </w:tc>
        <w:tc>
          <w:tcPr>
            <w:tcW w:w="1380" w:type="dxa"/>
            <w:vAlign w:val="bottom"/>
          </w:tcPr>
          <w:p>
            <w:pPr>
              <w:jc w:val="center"/>
              <w:ind w:left="1019"/>
              <w:spacing w:after="0"/>
              <w:rPr>
                <w:sz w:val="20"/>
                <w:szCs w:val="20"/>
                <w:color w:val="auto"/>
              </w:rPr>
            </w:pPr>
            <w:r>
              <w:rPr>
                <w:rFonts w:ascii="Arial" w:cs="Arial" w:eastAsia="Arial" w:hAnsi="Arial"/>
                <w:sz w:val="16"/>
                <w:szCs w:val="16"/>
                <w:b w:val="1"/>
                <w:bCs w:val="1"/>
                <w:color w:val="auto"/>
                <w:w w:val="99"/>
              </w:rPr>
              <w:t>(iv)</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(v) = (iii)-(iv)</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3"/>
          </w:tcPr>
          <w:p>
            <w:pPr>
              <w:jc w:val="center"/>
              <w:ind w:right="41"/>
              <w:spacing w:after="0"/>
              <w:rPr>
                <w:sz w:val="20"/>
                <w:szCs w:val="20"/>
                <w:color w:val="auto"/>
              </w:rPr>
            </w:pPr>
            <w:r>
              <w:rPr>
                <w:rFonts w:ascii="Arial" w:cs="Arial" w:eastAsia="Arial" w:hAnsi="Arial"/>
                <w:sz w:val="16"/>
                <w:szCs w:val="16"/>
                <w:b w:val="1"/>
                <w:bCs w:val="1"/>
                <w:color w:val="auto"/>
                <w:w w:val="90"/>
              </w:rPr>
              <w:t>Gross Amounts Not Offset in the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3"/>
          </w:tcPr>
          <w:p>
            <w:pPr>
              <w:jc w:val="center"/>
              <w:ind w:right="61"/>
              <w:spacing w:after="0"/>
              <w:rPr>
                <w:sz w:val="20"/>
                <w:szCs w:val="20"/>
                <w:color w:val="auto"/>
              </w:rPr>
            </w:pPr>
            <w:r>
              <w:rPr>
                <w:rFonts w:ascii="Arial" w:cs="Arial" w:eastAsia="Arial" w:hAnsi="Arial"/>
                <w:sz w:val="16"/>
                <w:szCs w:val="16"/>
                <w:b w:val="1"/>
                <w:bCs w:val="1"/>
                <w:color w:val="auto"/>
                <w:w w:val="90"/>
              </w:rPr>
              <w:t>Statements of Condition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199"/>
              <w:spacing w:after="0"/>
              <w:rPr>
                <w:sz w:val="20"/>
                <w:szCs w:val="20"/>
                <w:color w:val="auto"/>
              </w:rPr>
            </w:pPr>
            <w:r>
              <w:rPr>
                <w:rFonts w:ascii="Arial" w:cs="Arial" w:eastAsia="Arial" w:hAnsi="Arial"/>
                <w:sz w:val="16"/>
                <w:szCs w:val="16"/>
                <w:b w:val="1"/>
                <w:bCs w:val="1"/>
                <w:color w:val="auto"/>
                <w:w w:val="90"/>
              </w:rPr>
              <w:t>Netting</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Gross Amounts</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9"/>
              </w:rPr>
              <w:t>Gross Amounts</w:t>
            </w:r>
          </w:p>
        </w:tc>
        <w:tc>
          <w:tcPr>
            <w:tcW w:w="120" w:type="dxa"/>
            <w:vAlign w:val="bottom"/>
          </w:tcPr>
          <w:p>
            <w:pPr>
              <w:spacing w:after="0"/>
              <w:rPr>
                <w:sz w:val="17"/>
                <w:szCs w:val="17"/>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Net Amounts</w:t>
            </w:r>
          </w:p>
        </w:tc>
        <w:tc>
          <w:tcPr>
            <w:tcW w:w="180" w:type="dxa"/>
            <w:vAlign w:val="bottom"/>
          </w:tcPr>
          <w:p>
            <w:pPr>
              <w:spacing w:after="0"/>
              <w:rPr>
                <w:sz w:val="17"/>
                <w:szCs w:val="17"/>
                <w:color w:val="auto"/>
              </w:rPr>
            </w:pPr>
          </w:p>
        </w:tc>
        <w:tc>
          <w:tcPr>
            <w:tcW w:w="1380" w:type="dxa"/>
            <w:vAlign w:val="bottom"/>
          </w:tcPr>
          <w:p>
            <w:pPr>
              <w:jc w:val="center"/>
              <w:ind w:right="219"/>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7"/>
                <w:szCs w:val="17"/>
                <w:color w:val="auto"/>
              </w:rPr>
            </w:pPr>
          </w:p>
        </w:tc>
        <w:tc>
          <w:tcPr>
            <w:tcW w:w="1100" w:type="dxa"/>
            <w:vAlign w:val="bottom"/>
            <w:vMerge w:val="restart"/>
          </w:tcPr>
          <w:p>
            <w:pPr>
              <w:jc w:val="center"/>
              <w:ind w:right="61"/>
              <w:spacing w:after="0"/>
              <w:rPr>
                <w:sz w:val="20"/>
                <w:szCs w:val="20"/>
                <w:color w:val="auto"/>
              </w:rPr>
            </w:pPr>
            <w:r>
              <w:rPr>
                <w:rFonts w:ascii="Arial" w:cs="Arial" w:eastAsia="Arial" w:hAnsi="Arial"/>
                <w:sz w:val="16"/>
                <w:szCs w:val="16"/>
                <w:b w:val="1"/>
                <w:bCs w:val="1"/>
                <w:color w:val="auto"/>
                <w:w w:val="95"/>
              </w:rPr>
              <w:t>Fair Value of</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800" w:type="dxa"/>
            <w:vAlign w:val="bottom"/>
          </w:tcPr>
          <w:p>
            <w:pPr>
              <w:spacing w:after="0"/>
              <w:rPr>
                <w:sz w:val="7"/>
                <w:szCs w:val="7"/>
                <w:color w:val="auto"/>
              </w:rPr>
            </w:pPr>
          </w:p>
        </w:tc>
        <w:tc>
          <w:tcPr>
            <w:tcW w:w="15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Recognized in the</w:t>
            </w:r>
          </w:p>
        </w:tc>
        <w:tc>
          <w:tcPr>
            <w:tcW w:w="140" w:type="dxa"/>
            <w:vAlign w:val="bottom"/>
          </w:tcPr>
          <w:p>
            <w:pPr>
              <w:spacing w:after="0"/>
              <w:rPr>
                <w:sz w:val="7"/>
                <w:szCs w:val="7"/>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2"/>
              </w:rPr>
              <w:t>Offset in the</w:t>
            </w:r>
          </w:p>
        </w:tc>
        <w:tc>
          <w:tcPr>
            <w:tcW w:w="120" w:type="dxa"/>
            <w:vAlign w:val="bottom"/>
          </w:tcPr>
          <w:p>
            <w:pPr>
              <w:spacing w:after="0"/>
              <w:rPr>
                <w:sz w:val="7"/>
                <w:szCs w:val="7"/>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Presented in the</w:t>
            </w:r>
          </w:p>
        </w:tc>
        <w:tc>
          <w:tcPr>
            <w:tcW w:w="180" w:type="dxa"/>
            <w:vAlign w:val="bottom"/>
          </w:tcPr>
          <w:p>
            <w:pPr>
              <w:spacing w:after="0"/>
              <w:rPr>
                <w:sz w:val="7"/>
                <w:szCs w:val="7"/>
                <w:color w:val="auto"/>
              </w:rPr>
            </w:pPr>
          </w:p>
        </w:tc>
        <w:tc>
          <w:tcPr>
            <w:tcW w:w="138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w w:val="96"/>
              </w:rPr>
              <w:t>per Master</w:t>
            </w: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center"/>
              <w:ind w:right="61"/>
              <w:spacing w:after="0"/>
              <w:rPr>
                <w:sz w:val="20"/>
                <w:szCs w:val="20"/>
                <w:color w:val="auto"/>
              </w:rPr>
            </w:pPr>
            <w:r>
              <w:rPr>
                <w:rFonts w:ascii="Arial" w:cs="Arial" w:eastAsia="Arial" w:hAnsi="Arial"/>
                <w:sz w:val="16"/>
                <w:szCs w:val="16"/>
                <w:b w:val="1"/>
                <w:bCs w:val="1"/>
                <w:color w:val="auto"/>
                <w:w w:val="93"/>
              </w:rPr>
              <w:t>Collateral</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Statements</w:t>
            </w:r>
          </w:p>
        </w:tc>
        <w:tc>
          <w:tcPr>
            <w:tcW w:w="140" w:type="dxa"/>
            <w:vAlign w:val="bottom"/>
          </w:tcPr>
          <w:p>
            <w:pPr>
              <w:spacing w:after="0"/>
              <w:rPr>
                <w:sz w:val="7"/>
                <w:szCs w:val="7"/>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Statements</w:t>
            </w:r>
          </w:p>
        </w:tc>
        <w:tc>
          <w:tcPr>
            <w:tcW w:w="120" w:type="dxa"/>
            <w:vAlign w:val="bottom"/>
          </w:tcPr>
          <w:p>
            <w:pPr>
              <w:spacing w:after="0"/>
              <w:rPr>
                <w:sz w:val="7"/>
                <w:szCs w:val="7"/>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Statements</w:t>
            </w:r>
          </w:p>
        </w:tc>
        <w:tc>
          <w:tcPr>
            <w:tcW w:w="180" w:type="dxa"/>
            <w:vAlign w:val="bottom"/>
          </w:tcPr>
          <w:p>
            <w:pPr>
              <w:spacing w:after="0"/>
              <w:rPr>
                <w:sz w:val="7"/>
                <w:szCs w:val="7"/>
                <w:color w:val="auto"/>
              </w:rPr>
            </w:pPr>
          </w:p>
        </w:tc>
        <w:tc>
          <w:tcPr>
            <w:tcW w:w="138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w w:val="90"/>
              </w:rPr>
              <w:t>Netting</w:t>
            </w: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87"/>
              </w:rPr>
              <w:t>Pledged/Received</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0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7"/>
                <w:szCs w:val="7"/>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of Condition</w:t>
            </w:r>
          </w:p>
        </w:tc>
        <w:tc>
          <w:tcPr>
            <w:tcW w:w="140" w:type="dxa"/>
            <w:vAlign w:val="bottom"/>
          </w:tcPr>
          <w:p>
            <w:pPr>
              <w:spacing w:after="0"/>
              <w:rPr>
                <w:sz w:val="7"/>
                <w:szCs w:val="7"/>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of Condition</w:t>
            </w:r>
          </w:p>
        </w:tc>
        <w:tc>
          <w:tcPr>
            <w:tcW w:w="120" w:type="dxa"/>
            <w:vAlign w:val="bottom"/>
          </w:tcPr>
          <w:p>
            <w:pPr>
              <w:spacing w:after="0"/>
              <w:rPr>
                <w:sz w:val="7"/>
                <w:szCs w:val="7"/>
                <w:color w:val="auto"/>
              </w:rPr>
            </w:pP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of Condition</w:t>
            </w:r>
          </w:p>
        </w:tc>
        <w:tc>
          <w:tcPr>
            <w:tcW w:w="180" w:type="dxa"/>
            <w:vAlign w:val="bottom"/>
          </w:tcPr>
          <w:p>
            <w:pPr>
              <w:spacing w:after="0"/>
              <w:rPr>
                <w:sz w:val="7"/>
                <w:szCs w:val="7"/>
                <w:color w:val="auto"/>
              </w:rPr>
            </w:pPr>
          </w:p>
        </w:tc>
        <w:tc>
          <w:tcPr>
            <w:tcW w:w="13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w w:val="92"/>
              </w:rPr>
              <w:t>Arrangements</w:t>
            </w:r>
          </w:p>
        </w:tc>
        <w:tc>
          <w:tcPr>
            <w:tcW w:w="12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156"/>
        </w:trPr>
        <w:tc>
          <w:tcPr>
            <w:tcW w:w="28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71"/>
              </w:rPr>
              <w:t>1</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2020</w:t>
            </w:r>
          </w:p>
        </w:tc>
        <w:tc>
          <w:tcPr>
            <w:tcW w:w="14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4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23</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20,286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20,286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8,871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11,392</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Arial" w:cs="Arial" w:eastAsia="Arial" w:hAnsi="Arial"/>
                <w:sz w:val="16"/>
                <w:szCs w:val="16"/>
                <w:color w:val="auto"/>
              </w:rPr>
              <w:t>Repurchase Agreements: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0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3,206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3,206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603,206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603,206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603,206</w:t>
            </w:r>
          </w:p>
        </w:tc>
        <w:tc>
          <w:tcPr>
            <w:tcW w:w="3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8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2019</w:t>
            </w:r>
          </w:p>
        </w:tc>
        <w:tc>
          <w:tcPr>
            <w:tcW w:w="14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4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584</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5,361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5,361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584</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3,818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959</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Arial" w:cs="Arial" w:eastAsia="Arial" w:hAnsi="Arial"/>
                <w:sz w:val="16"/>
                <w:szCs w:val="16"/>
                <w:color w:val="auto"/>
              </w:rPr>
              <w:t>Repurchase Agreements: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0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4,306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4,306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4,306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604,306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604,306</w:t>
            </w:r>
          </w:p>
        </w:tc>
        <w:tc>
          <w:tcPr>
            <w:tcW w:w="3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right="180" w:hanging="72"/>
        <w:spacing w:after="0" w:line="286" w:lineRule="auto"/>
        <w:tabs>
          <w:tab w:leader="none" w:pos="80" w:val="left"/>
        </w:tabs>
        <w:numPr>
          <w:ilvl w:val="0"/>
          <w:numId w:val="16"/>
        </w:numPr>
        <w:rPr>
          <w:rFonts w:ascii="Arial" w:cs="Arial" w:eastAsia="Arial" w:hAnsi="Arial"/>
          <w:sz w:val="8"/>
          <w:szCs w:val="8"/>
          <w:color w:val="auto"/>
        </w:rPr>
      </w:pPr>
      <w:r>
        <w:rPr>
          <w:rFonts w:ascii="Arial" w:cs="Arial" w:eastAsia="Arial" w:hAnsi="Arial"/>
          <w:sz w:val="13"/>
          <w:szCs w:val="13"/>
          <w:color w:val="auto"/>
        </w:rPr>
        <w:t>The application of collateral cannot reduce the net amount below zero. Therefore, excess collateral is not reflected in this table. For repurchase agreements with private institutions, the fair value of investment securities pledged was $644.3 million and $645.3 million as of June 30, 2020, and December 31, 2019, respectively. For repurchase agreements with government entities, the fair value of investment securities pledged was $5.0 million and $5.5 million as of June 30, 2020, and December 31, 2019, respectively.</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30" w:right="35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components of other comprehensive income (loss) for the three and six months ended June 30, 2020, and June 30,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w w:val="96"/>
              </w:rPr>
              <w:t>Before Tax</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Tax Effect</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Net of Tax</w:t>
            </w: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2020</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10,393</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2,752</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7,641</w:t>
            </w:r>
          </w:p>
        </w:tc>
      </w:tr>
      <w:tr>
        <w:trPr>
          <w:trHeight w:val="220"/>
        </w:trPr>
        <w:tc>
          <w:tcPr>
            <w:tcW w:w="7180" w:type="dxa"/>
            <w:vAlign w:val="bottom"/>
          </w:tcPr>
          <w:p>
            <w:pPr>
              <w:ind w:left="280"/>
              <w:spacing w:after="0"/>
              <w:rPr>
                <w:sz w:val="20"/>
                <w:szCs w:val="20"/>
                <w:color w:val="auto"/>
              </w:rPr>
            </w:pPr>
            <w:r>
              <w:rPr>
                <w:rFonts w:ascii="Arial" w:cs="Arial" w:eastAsia="Arial" w:hAnsi="Arial"/>
                <w:sz w:val="16"/>
                <w:szCs w:val="16"/>
                <w:color w:val="auto"/>
                <w:w w:val="93"/>
              </w:rPr>
              <w:t>Amounts Reclassified from Accumulated Other Comprehensive Income (Loss) that (Increase) Decrease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6"/>
        </w:trPr>
        <w:tc>
          <w:tcPr>
            <w:tcW w:w="718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121</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32</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r>
      <w:tr>
        <w:trPr>
          <w:trHeight w:val="231"/>
        </w:trPr>
        <w:tc>
          <w:tcPr>
            <w:tcW w:w="71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34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10,514</w:t>
            </w:r>
          </w:p>
        </w:tc>
        <w:tc>
          <w:tcPr>
            <w:tcW w:w="34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2,784</w:t>
            </w:r>
          </w:p>
        </w:tc>
        <w:tc>
          <w:tcPr>
            <w:tcW w:w="2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7,730</w:t>
            </w: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34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571</w:t>
            </w:r>
          </w:p>
        </w:tc>
        <w:tc>
          <w:tcPr>
            <w:tcW w:w="34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151</w:t>
            </w:r>
          </w:p>
        </w:tc>
        <w:tc>
          <w:tcPr>
            <w:tcW w:w="2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420</w:t>
            </w: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31"/>
        </w:trPr>
        <w:tc>
          <w:tcPr>
            <w:tcW w:w="71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509</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135</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374</w:t>
            </w:r>
          </w:p>
        </w:tc>
      </w:tr>
      <w:tr>
        <w:trPr>
          <w:trHeight w:val="33"/>
        </w:trPr>
        <w:tc>
          <w:tcPr>
            <w:tcW w:w="7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11,023</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2,919</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8,104</w:t>
            </w:r>
          </w:p>
        </w:tc>
      </w:tr>
      <w:tr>
        <w:trPr>
          <w:trHeight w:val="20"/>
        </w:trPr>
        <w:tc>
          <w:tcPr>
            <w:tcW w:w="7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7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2019</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21,812</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5,782</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16,030</w:t>
            </w:r>
          </w:p>
        </w:tc>
      </w:tr>
      <w:tr>
        <w:trPr>
          <w:trHeight w:val="220"/>
        </w:trPr>
        <w:tc>
          <w:tcPr>
            <w:tcW w:w="7180" w:type="dxa"/>
            <w:vAlign w:val="bottom"/>
          </w:tcPr>
          <w:p>
            <w:pPr>
              <w:ind w:left="280"/>
              <w:spacing w:after="0"/>
              <w:rPr>
                <w:sz w:val="20"/>
                <w:szCs w:val="20"/>
                <w:color w:val="auto"/>
              </w:rPr>
            </w:pPr>
            <w:r>
              <w:rPr>
                <w:rFonts w:ascii="Arial" w:cs="Arial" w:eastAsia="Arial" w:hAnsi="Arial"/>
                <w:sz w:val="16"/>
                <w:szCs w:val="16"/>
                <w:color w:val="auto"/>
                <w:w w:val="93"/>
              </w:rPr>
              <w:t>Amounts Reclassified from Accumulated Other Comprehensive Income (Loss) that (Increase) Decrease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6"/>
        </w:trPr>
        <w:tc>
          <w:tcPr>
            <w:tcW w:w="718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(Gain) Loss on Sale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70"/>
        </w:trPr>
        <w:tc>
          <w:tcPr>
            <w:tcW w:w="71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368</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272</w:t>
            </w:r>
          </w:p>
        </w:tc>
      </w:tr>
      <w:tr>
        <w:trPr>
          <w:trHeight w:val="244"/>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22,053</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5,844</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16,209</w:t>
            </w:r>
          </w:p>
        </w:tc>
      </w:tr>
      <w:tr>
        <w:trPr>
          <w:trHeight w:val="237"/>
        </w:trPr>
        <w:tc>
          <w:tcPr>
            <w:tcW w:w="7180" w:type="dxa"/>
            <w:vAlign w:val="bottom"/>
          </w:tcPr>
          <w:p>
            <w:pPr>
              <w:ind w:left="40"/>
              <w:spacing w:after="0"/>
              <w:rPr>
                <w:sz w:val="20"/>
                <w:szCs w:val="20"/>
                <w:color w:val="auto"/>
              </w:rPr>
            </w:pPr>
            <w:r>
              <w:rPr>
                <w:rFonts w:ascii="Arial" w:cs="Arial" w:eastAsia="Arial" w:hAnsi="Arial"/>
                <w:sz w:val="16"/>
                <w:szCs w:val="16"/>
                <w:color w:val="auto"/>
              </w:rPr>
              <w:t>Defined Benefit Plans: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406</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r>
      <w:tr>
        <w:trPr>
          <w:trHeight w:val="237"/>
        </w:trPr>
        <w:tc>
          <w:tcPr>
            <w:tcW w:w="7180" w:type="dxa"/>
            <w:vAlign w:val="bottom"/>
          </w:tcPr>
          <w:p>
            <w:pPr>
              <w:ind w:left="280"/>
              <w:spacing w:after="0"/>
              <w:rPr>
                <w:sz w:val="20"/>
                <w:szCs w:val="20"/>
                <w:color w:val="auto"/>
              </w:rPr>
            </w:pPr>
            <w:r>
              <w:rPr>
                <w:rFonts w:ascii="Arial" w:cs="Arial" w:eastAsia="Arial" w:hAnsi="Arial"/>
                <w:sz w:val="16"/>
                <w:szCs w:val="16"/>
                <w:color w:val="auto"/>
              </w:rPr>
              <w:t>Amortization of Prior Service Credit</w:t>
            </w:r>
          </w:p>
        </w:tc>
        <w:tc>
          <w:tcPr>
            <w:tcW w:w="3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7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Defined Benefit Plans, Net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334</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r>
      <w:tr>
        <w:trPr>
          <w:trHeight w:val="230"/>
        </w:trPr>
        <w:tc>
          <w:tcPr>
            <w:tcW w:w="7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22,387</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5,933</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16,454</w:t>
            </w:r>
          </w:p>
        </w:tc>
      </w:tr>
      <w:tr>
        <w:trPr>
          <w:trHeight w:val="73"/>
        </w:trPr>
        <w:tc>
          <w:tcPr>
            <w:tcW w:w="71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115"/>
        </w:trPr>
        <w:tc>
          <w:tcPr>
            <w:tcW w:w="7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237"/>
        </w:trPr>
        <w:tc>
          <w:tcPr>
            <w:tcW w:w="718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 2020</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66,949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17,741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49,208</w:t>
            </w: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0"/>
        </w:trPr>
        <w:tc>
          <w:tcPr>
            <w:tcW w:w="71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Amounts Reclassified from Accumulated Other Comprehensive Income (Loss) that (Increase) Decrease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37"/>
        </w:trPr>
        <w:tc>
          <w:tcPr>
            <w:tcW w:w="7180" w:type="dxa"/>
            <w:vAlign w:val="bottom"/>
          </w:tcPr>
          <w:p>
            <w:pPr>
              <w:ind w:left="360"/>
              <w:spacing w:after="0"/>
              <w:rPr>
                <w:sz w:val="20"/>
                <w:szCs w:val="20"/>
                <w:color w:val="auto"/>
              </w:rPr>
            </w:pPr>
            <w:r>
              <w:rPr>
                <w:rFonts w:ascii="Arial" w:cs="Arial" w:eastAsia="Arial" w:hAnsi="Arial"/>
                <w:sz w:val="16"/>
                <w:szCs w:val="16"/>
                <w:color w:val="auto"/>
              </w:rPr>
              <w:t>(Gain) Loss on Sale</w:t>
            </w:r>
          </w:p>
        </w:tc>
        <w:tc>
          <w:tcPr>
            <w:tcW w:w="3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186</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r>
      <w:tr>
        <w:trPr>
          <w:trHeight w:val="230"/>
        </w:trPr>
        <w:tc>
          <w:tcPr>
            <w:tcW w:w="71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34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67,058</w:t>
            </w:r>
          </w:p>
        </w:tc>
        <w:tc>
          <w:tcPr>
            <w:tcW w:w="34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17,769</w:t>
            </w:r>
          </w:p>
        </w:tc>
        <w:tc>
          <w:tcPr>
            <w:tcW w:w="2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49,289</w:t>
            </w: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34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1,141</w:t>
            </w:r>
          </w:p>
        </w:tc>
        <w:tc>
          <w:tcPr>
            <w:tcW w:w="34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303</w:t>
            </w:r>
          </w:p>
        </w:tc>
        <w:tc>
          <w:tcPr>
            <w:tcW w:w="2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838</w:t>
            </w: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0"/>
        </w:trPr>
        <w:tc>
          <w:tcPr>
            <w:tcW w:w="71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1,018</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270</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748</w:t>
            </w:r>
          </w:p>
        </w:tc>
      </w:tr>
      <w:tr>
        <w:trPr>
          <w:trHeight w:val="33"/>
        </w:trPr>
        <w:tc>
          <w:tcPr>
            <w:tcW w:w="7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68,076</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18,039</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50,037</w:t>
            </w:r>
          </w:p>
        </w:tc>
      </w:tr>
      <w:tr>
        <w:trPr>
          <w:trHeight w:val="20"/>
        </w:trPr>
        <w:tc>
          <w:tcPr>
            <w:tcW w:w="7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7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2019</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30,764</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8,153</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22,611</w:t>
            </w:r>
          </w:p>
        </w:tc>
      </w:tr>
      <w:tr>
        <w:trPr>
          <w:trHeight w:val="220"/>
        </w:trPr>
        <w:tc>
          <w:tcPr>
            <w:tcW w:w="7180" w:type="dxa"/>
            <w:vAlign w:val="bottom"/>
          </w:tcPr>
          <w:p>
            <w:pPr>
              <w:ind w:left="280"/>
              <w:spacing w:after="0"/>
              <w:rPr>
                <w:sz w:val="20"/>
                <w:szCs w:val="20"/>
                <w:color w:val="auto"/>
              </w:rPr>
            </w:pPr>
            <w:r>
              <w:rPr>
                <w:rFonts w:ascii="Arial" w:cs="Arial" w:eastAsia="Arial" w:hAnsi="Arial"/>
                <w:sz w:val="16"/>
                <w:szCs w:val="16"/>
                <w:color w:val="auto"/>
                <w:w w:val="93"/>
              </w:rPr>
              <w:t>Amounts Reclassified from Accumulated Other Comprehensive Income (Loss) that (Increase) Decrease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6"/>
        </w:trPr>
        <w:tc>
          <w:tcPr>
            <w:tcW w:w="718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(Gain) Loss on Sale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70"/>
        </w:trPr>
        <w:tc>
          <w:tcPr>
            <w:tcW w:w="71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764</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201</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563</w:t>
            </w:r>
          </w:p>
        </w:tc>
      </w:tr>
      <w:tr>
        <w:trPr>
          <w:trHeight w:val="244"/>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31,465</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8,337</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23,128</w:t>
            </w:r>
          </w:p>
        </w:tc>
      </w:tr>
      <w:tr>
        <w:trPr>
          <w:trHeight w:val="237"/>
        </w:trPr>
        <w:tc>
          <w:tcPr>
            <w:tcW w:w="7180" w:type="dxa"/>
            <w:vAlign w:val="bottom"/>
          </w:tcPr>
          <w:p>
            <w:pPr>
              <w:ind w:left="40"/>
              <w:spacing w:after="0"/>
              <w:rPr>
                <w:sz w:val="20"/>
                <w:szCs w:val="20"/>
                <w:color w:val="auto"/>
              </w:rPr>
            </w:pPr>
            <w:r>
              <w:rPr>
                <w:rFonts w:ascii="Arial" w:cs="Arial" w:eastAsia="Arial" w:hAnsi="Arial"/>
                <w:sz w:val="16"/>
                <w:szCs w:val="16"/>
                <w:color w:val="auto"/>
              </w:rPr>
              <w:t>Defined Benefit Plans: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812</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215</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w:t>
            </w:r>
          </w:p>
        </w:tc>
      </w:tr>
      <w:tr>
        <w:trPr>
          <w:trHeight w:val="237"/>
        </w:trPr>
        <w:tc>
          <w:tcPr>
            <w:tcW w:w="7180" w:type="dxa"/>
            <w:vAlign w:val="bottom"/>
          </w:tcPr>
          <w:p>
            <w:pPr>
              <w:ind w:left="280"/>
              <w:spacing w:after="0"/>
              <w:rPr>
                <w:sz w:val="20"/>
                <w:szCs w:val="20"/>
                <w:color w:val="auto"/>
              </w:rPr>
            </w:pPr>
            <w:r>
              <w:rPr>
                <w:rFonts w:ascii="Arial" w:cs="Arial" w:eastAsia="Arial" w:hAnsi="Arial"/>
                <w:sz w:val="16"/>
                <w:szCs w:val="16"/>
                <w:color w:val="auto"/>
              </w:rPr>
              <w:t>Amortization of Prior Service Credit</w:t>
            </w:r>
          </w:p>
        </w:tc>
        <w:tc>
          <w:tcPr>
            <w:tcW w:w="3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33"/>
        </w:trPr>
        <w:tc>
          <w:tcPr>
            <w:tcW w:w="7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Defined Benefit Plans, Net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668</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177</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w:t>
            </w:r>
          </w:p>
        </w:tc>
      </w:tr>
      <w:tr>
        <w:trPr>
          <w:trHeight w:val="231"/>
        </w:trPr>
        <w:tc>
          <w:tcPr>
            <w:tcW w:w="7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32,133</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8,514</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23,619</w:t>
            </w:r>
          </w:p>
        </w:tc>
      </w:tr>
      <w:tr>
        <w:trPr>
          <w:trHeight w:val="33"/>
        </w:trPr>
        <w:tc>
          <w:tcPr>
            <w:tcW w:w="7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0" w:gutter="0" w:footer="0" w:header="0"/>
        </w:sectPr>
      </w:pPr>
    </w:p>
    <w:p>
      <w:pPr>
        <w:spacing w:after="0" w:line="105" w:lineRule="exact"/>
        <w:rPr>
          <w:sz w:val="20"/>
          <w:szCs w:val="20"/>
          <w:color w:val="auto"/>
        </w:rPr>
      </w:pPr>
    </w:p>
    <w:p>
      <w:pPr>
        <w:ind w:left="80" w:right="220" w:hanging="72"/>
        <w:spacing w:after="0" w:line="273" w:lineRule="auto"/>
        <w:tabs>
          <w:tab w:leader="none" w:pos="80" w:val="left"/>
        </w:tabs>
        <w:numPr>
          <w:ilvl w:val="0"/>
          <w:numId w:val="17"/>
        </w:numPr>
        <w:rPr>
          <w:rFonts w:ascii="Arial" w:cs="Arial" w:eastAsia="Arial" w:hAnsi="Arial"/>
          <w:sz w:val="9"/>
          <w:szCs w:val="9"/>
          <w:color w:val="auto"/>
        </w:rPr>
      </w:pPr>
      <w:r>
        <w:rPr>
          <w:rFonts w:ascii="Arial" w:cs="Arial" w:eastAsia="Arial" w:hAnsi="Arial"/>
          <w:sz w:val="14"/>
          <w:szCs w:val="14"/>
          <w:color w:val="auto"/>
        </w:rPr>
        <w:t>The amount relates to the amortization/accretion of unrealized net gains and losses related to the Company’s reclassification of available-for-sale investment securities to the held-to-maturity category. The unrealized net gains/losses will be amortized/accreted over the remaining life of the investment securities as an adjustment of yield.</w:t>
      </w:r>
    </w:p>
    <w:p>
      <w:pPr>
        <w:sectPr>
          <w:pgSz w:w="11900" w:h="16838" w:orient="portrait"/>
          <w:cols w:equalWidth="0" w:num="1">
            <w:col w:w="11240"/>
          </w:cols>
          <w:pgMar w:left="320" w:top="130" w:right="339" w:bottom="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9019"/>
          </w:cols>
          <w:pgMar w:left="1440" w:top="341" w:right="1440"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presents the changes in each component of accumulated other comprehensive income (loss), net of tax, for the three and six months ended June 30, 2020, and June 30,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Investment</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Accumulated</w:t>
            </w:r>
          </w:p>
        </w:tc>
      </w:tr>
      <w:tr>
        <w:trPr>
          <w:trHeight w:val="203"/>
        </w:trPr>
        <w:tc>
          <w:tcPr>
            <w:tcW w:w="4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Securities-</w:t>
            </w:r>
          </w:p>
        </w:tc>
        <w:tc>
          <w:tcPr>
            <w:tcW w:w="42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Other</w:t>
            </w:r>
          </w:p>
        </w:tc>
      </w:tr>
      <w:tr>
        <w:trPr>
          <w:trHeight w:val="203"/>
        </w:trPr>
        <w:tc>
          <w:tcPr>
            <w:tcW w:w="4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Available-for-</w:t>
            </w: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w w:val="99"/>
              </w:rPr>
              <w:t>Securities-Held-to-</w:t>
            </w:r>
          </w:p>
        </w:tc>
        <w:tc>
          <w:tcPr>
            <w:tcW w:w="20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Defined Benefit</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Comprehensive</w:t>
            </w:r>
          </w:p>
        </w:tc>
      </w:tr>
      <w:tr>
        <w:trPr>
          <w:trHeight w:val="237"/>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Sale</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Maturity</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Plans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Income (Loss)</w:t>
            </w:r>
          </w:p>
        </w:tc>
      </w:tr>
      <w:tr>
        <w:trPr>
          <w:trHeight w:val="249"/>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2020</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49,870</w:t>
            </w:r>
          </w:p>
        </w:tc>
        <w:tc>
          <w:tcPr>
            <w:tcW w:w="420" w:type="dxa"/>
            <w:vAlign w:val="bottom"/>
          </w:tcPr>
          <w:p>
            <w:pPr>
              <w:ind w:lef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(667)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(38,382)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10,821</w:t>
            </w:r>
          </w:p>
        </w:tc>
      </w:tr>
      <w:tr>
        <w:trPr>
          <w:trHeight w:val="33"/>
        </w:trPr>
        <w:tc>
          <w:tcPr>
            <w:tcW w:w="4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7,641</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7,641</w:t>
            </w:r>
          </w:p>
        </w:tc>
      </w:tr>
      <w:tr>
        <w:trPr>
          <w:trHeight w:val="220"/>
        </w:trPr>
        <w:tc>
          <w:tcPr>
            <w:tcW w:w="482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4820" w:type="dxa"/>
            <w:vAlign w:val="bottom"/>
          </w:tcPr>
          <w:p>
            <w:pPr>
              <w:ind w:left="600"/>
              <w:spacing w:after="0"/>
              <w:rPr>
                <w:sz w:val="20"/>
                <w:szCs w:val="20"/>
                <w:color w:val="auto"/>
              </w:rPr>
            </w:pPr>
            <w:r>
              <w:rPr>
                <w:rFonts w:ascii="Arial" w:cs="Arial" w:eastAsia="Arial" w:hAnsi="Arial"/>
                <w:sz w:val="16"/>
                <w:szCs w:val="16"/>
                <w:color w:val="auto"/>
              </w:rPr>
              <w:t>Comprehensive Income (Loss)</w:t>
            </w:r>
          </w:p>
        </w:tc>
        <w:tc>
          <w:tcPr>
            <w:tcW w:w="68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89</w:t>
            </w:r>
          </w:p>
        </w:tc>
        <w:tc>
          <w:tcPr>
            <w:tcW w:w="20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374</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463</w:t>
            </w:r>
          </w:p>
        </w:tc>
      </w:tr>
      <w:tr>
        <w:trPr>
          <w:trHeight w:val="33"/>
        </w:trPr>
        <w:tc>
          <w:tcPr>
            <w:tcW w:w="4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6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7,641</w:t>
            </w: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374</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8,104</w:t>
            </w:r>
          </w:p>
        </w:tc>
      </w:tr>
      <w:tr>
        <w:trPr>
          <w:trHeight w:val="231"/>
        </w:trPr>
        <w:tc>
          <w:tcPr>
            <w:tcW w:w="4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57,511</w:t>
            </w:r>
          </w:p>
        </w:tc>
        <w:tc>
          <w:tcPr>
            <w:tcW w:w="42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(38,008)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18,925</w:t>
            </w:r>
          </w:p>
        </w:tc>
      </w:tr>
      <w:tr>
        <w:trPr>
          <w:trHeight w:val="73"/>
        </w:trPr>
        <w:tc>
          <w:tcPr>
            <w:tcW w:w="48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50"/>
        </w:trPr>
        <w:tc>
          <w:tcPr>
            <w:tcW w:w="48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Three Months Ended June 30, 2019</w:t>
            </w: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4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(3,819)</w:t>
            </w:r>
          </w:p>
        </w:tc>
        <w:tc>
          <w:tcPr>
            <w:tcW w:w="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(35,764)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(43,878)</w:t>
            </w:r>
          </w:p>
        </w:tc>
      </w:tr>
      <w:tr>
        <w:trPr>
          <w:trHeight w:val="237"/>
        </w:trPr>
        <w:tc>
          <w:tcPr>
            <w:tcW w:w="4820" w:type="dxa"/>
            <w:vAlign w:val="bottom"/>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68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16,030</w:t>
            </w:r>
          </w:p>
        </w:tc>
        <w:tc>
          <w:tcPr>
            <w:tcW w:w="420" w:type="dxa"/>
            <w:vAlign w:val="bottom"/>
          </w:tcPr>
          <w:p>
            <w:pPr>
              <w:spacing w:after="0"/>
              <w:rPr>
                <w:sz w:val="20"/>
                <w:szCs w:val="20"/>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16,030</w:t>
            </w:r>
          </w:p>
        </w:tc>
      </w:tr>
      <w:tr>
        <w:trPr>
          <w:trHeight w:val="33"/>
        </w:trPr>
        <w:tc>
          <w:tcPr>
            <w:tcW w:w="4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Transfers</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(3,259)</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3,259</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82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4820" w:type="dxa"/>
            <w:vAlign w:val="bottom"/>
          </w:tcPr>
          <w:p>
            <w:pPr>
              <w:ind w:left="600"/>
              <w:spacing w:after="0"/>
              <w:rPr>
                <w:sz w:val="20"/>
                <w:szCs w:val="20"/>
                <w:color w:val="auto"/>
              </w:rPr>
            </w:pPr>
            <w:r>
              <w:rPr>
                <w:rFonts w:ascii="Arial" w:cs="Arial" w:eastAsia="Arial" w:hAnsi="Arial"/>
                <w:sz w:val="16"/>
                <w:szCs w:val="16"/>
                <w:color w:val="auto"/>
              </w:rPr>
              <w:t>Comprehensive Income (Loss)</w:t>
            </w:r>
          </w:p>
        </w:tc>
        <w:tc>
          <w:tcPr>
            <w:tcW w:w="6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42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272</w:t>
            </w:r>
          </w:p>
        </w:tc>
        <w:tc>
          <w:tcPr>
            <w:tcW w:w="20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245</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424</w:t>
            </w:r>
          </w:p>
        </w:tc>
      </w:tr>
      <w:tr>
        <w:trPr>
          <w:trHeight w:val="33"/>
        </w:trPr>
        <w:tc>
          <w:tcPr>
            <w:tcW w:w="4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6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12,678</w:t>
            </w: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3,531</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245</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16,454</w:t>
            </w:r>
          </w:p>
        </w:tc>
      </w:tr>
      <w:tr>
        <w:trPr>
          <w:trHeight w:val="231"/>
        </w:trPr>
        <w:tc>
          <w:tcPr>
            <w:tcW w:w="4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8,859</w:t>
            </w:r>
          </w:p>
        </w:tc>
        <w:tc>
          <w:tcPr>
            <w:tcW w:w="42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(35,519)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(27,424)</w:t>
            </w:r>
          </w:p>
        </w:tc>
      </w:tr>
      <w:tr>
        <w:trPr>
          <w:trHeight w:val="33"/>
        </w:trPr>
        <w:tc>
          <w:tcPr>
            <w:tcW w:w="4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1"/>
        </w:trPr>
        <w:tc>
          <w:tcPr>
            <w:tcW w:w="4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2020</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8,359</w:t>
            </w:r>
          </w:p>
        </w:tc>
        <w:tc>
          <w:tcPr>
            <w:tcW w:w="420" w:type="dxa"/>
            <w:vAlign w:val="bottom"/>
          </w:tcPr>
          <w:p>
            <w:pPr>
              <w:ind w:lef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(715)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(38,756)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(31,112)</w:t>
            </w:r>
          </w:p>
        </w:tc>
      </w:tr>
      <w:tr>
        <w:trPr>
          <w:trHeight w:val="33"/>
        </w:trPr>
        <w:tc>
          <w:tcPr>
            <w:tcW w:w="4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49,208</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49,208</w:t>
            </w:r>
          </w:p>
        </w:tc>
      </w:tr>
      <w:tr>
        <w:trPr>
          <w:trHeight w:val="220"/>
        </w:trPr>
        <w:tc>
          <w:tcPr>
            <w:tcW w:w="482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4820" w:type="dxa"/>
            <w:vAlign w:val="bottom"/>
          </w:tcPr>
          <w:p>
            <w:pPr>
              <w:ind w:left="600"/>
              <w:spacing w:after="0"/>
              <w:rPr>
                <w:sz w:val="20"/>
                <w:szCs w:val="20"/>
                <w:color w:val="auto"/>
              </w:rPr>
            </w:pPr>
            <w:r>
              <w:rPr>
                <w:rFonts w:ascii="Arial" w:cs="Arial" w:eastAsia="Arial" w:hAnsi="Arial"/>
                <w:sz w:val="16"/>
                <w:szCs w:val="16"/>
                <w:color w:val="auto"/>
              </w:rPr>
              <w:t>Comprehensive Income (Loss)</w:t>
            </w:r>
          </w:p>
        </w:tc>
        <w:tc>
          <w:tcPr>
            <w:tcW w:w="6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42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137</w:t>
            </w:r>
          </w:p>
        </w:tc>
        <w:tc>
          <w:tcPr>
            <w:tcW w:w="20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748</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829</w:t>
            </w:r>
          </w:p>
        </w:tc>
      </w:tr>
      <w:tr>
        <w:trPr>
          <w:trHeight w:val="33"/>
        </w:trPr>
        <w:tc>
          <w:tcPr>
            <w:tcW w:w="4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6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49,152</w:t>
            </w: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137</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748</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50,037</w:t>
            </w:r>
          </w:p>
        </w:tc>
      </w:tr>
      <w:tr>
        <w:trPr>
          <w:trHeight w:val="230"/>
        </w:trPr>
        <w:tc>
          <w:tcPr>
            <w:tcW w:w="4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57,511</w:t>
            </w:r>
          </w:p>
        </w:tc>
        <w:tc>
          <w:tcPr>
            <w:tcW w:w="42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(38,008)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18,925</w:t>
            </w:r>
          </w:p>
        </w:tc>
      </w:tr>
      <w:tr>
        <w:trPr>
          <w:trHeight w:val="73"/>
        </w:trPr>
        <w:tc>
          <w:tcPr>
            <w:tcW w:w="48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51"/>
        </w:trPr>
        <w:tc>
          <w:tcPr>
            <w:tcW w:w="48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 2019</w:t>
            </w: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4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(10,447)</w:t>
            </w:r>
          </w:p>
        </w:tc>
        <w:tc>
          <w:tcPr>
            <w:tcW w:w="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(51,043)</w:t>
            </w:r>
          </w:p>
        </w:tc>
      </w:tr>
      <w:tr>
        <w:trPr>
          <w:trHeight w:val="237"/>
        </w:trPr>
        <w:tc>
          <w:tcPr>
            <w:tcW w:w="4820" w:type="dxa"/>
            <w:vAlign w:val="bottom"/>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68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22,611</w:t>
            </w:r>
          </w:p>
        </w:tc>
        <w:tc>
          <w:tcPr>
            <w:tcW w:w="420" w:type="dxa"/>
            <w:vAlign w:val="bottom"/>
          </w:tcPr>
          <w:p>
            <w:pPr>
              <w:spacing w:after="0"/>
              <w:rPr>
                <w:sz w:val="20"/>
                <w:szCs w:val="20"/>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22,611</w:t>
            </w:r>
          </w:p>
        </w:tc>
      </w:tr>
      <w:tr>
        <w:trPr>
          <w:trHeight w:val="33"/>
        </w:trPr>
        <w:tc>
          <w:tcPr>
            <w:tcW w:w="4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Transfers</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(3,259)</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3,259</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82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4820" w:type="dxa"/>
            <w:vAlign w:val="bottom"/>
          </w:tcPr>
          <w:p>
            <w:pPr>
              <w:ind w:left="600"/>
              <w:spacing w:after="0"/>
              <w:rPr>
                <w:sz w:val="20"/>
                <w:szCs w:val="20"/>
                <w:color w:val="auto"/>
              </w:rPr>
            </w:pPr>
            <w:r>
              <w:rPr>
                <w:rFonts w:ascii="Arial" w:cs="Arial" w:eastAsia="Arial" w:hAnsi="Arial"/>
                <w:sz w:val="16"/>
                <w:szCs w:val="16"/>
                <w:color w:val="auto"/>
              </w:rPr>
              <w:t>Comprehensive Income (Loss)</w:t>
            </w:r>
          </w:p>
        </w:tc>
        <w:tc>
          <w:tcPr>
            <w:tcW w:w="6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42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563</w:t>
            </w:r>
          </w:p>
        </w:tc>
        <w:tc>
          <w:tcPr>
            <w:tcW w:w="20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491</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1,008</w:t>
            </w:r>
          </w:p>
        </w:tc>
      </w:tr>
      <w:tr>
        <w:trPr>
          <w:trHeight w:val="33"/>
        </w:trPr>
        <w:tc>
          <w:tcPr>
            <w:tcW w:w="4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6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19,306</w:t>
            </w: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3,822</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491</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23,619</w:t>
            </w:r>
          </w:p>
        </w:tc>
      </w:tr>
      <w:tr>
        <w:trPr>
          <w:trHeight w:val="230"/>
        </w:trPr>
        <w:tc>
          <w:tcPr>
            <w:tcW w:w="4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8,859</w:t>
            </w:r>
          </w:p>
        </w:tc>
        <w:tc>
          <w:tcPr>
            <w:tcW w:w="42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(35,519)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(27,424)</w:t>
            </w:r>
          </w:p>
        </w:tc>
      </w:tr>
      <w:tr>
        <w:trPr>
          <w:trHeight w:val="33"/>
        </w:trPr>
        <w:tc>
          <w:tcPr>
            <w:tcW w:w="4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30" w:right="3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presents the amounts reclassified out of each component of accumulated other comprehensive income (loss) for the three and six months ended June 30, 2020, and June 30,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w:t>
            </w:r>
          </w:p>
        </w:tc>
        <w:tc>
          <w:tcPr>
            <w:tcW w:w="0" w:type="dxa"/>
            <w:vAlign w:val="bottom"/>
          </w:tcPr>
          <w:p>
            <w:pPr>
              <w:spacing w:after="0"/>
              <w:rPr>
                <w:sz w:val="1"/>
                <w:szCs w:val="1"/>
                <w:color w:val="auto"/>
              </w:rPr>
            </w:pPr>
          </w:p>
        </w:tc>
      </w:tr>
      <w:tr>
        <w:trPr>
          <w:trHeight w:val="203"/>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Details about Accumulated Other</w:t>
            </w:r>
          </w:p>
        </w:tc>
        <w:tc>
          <w:tcPr>
            <w:tcW w:w="120" w:type="dxa"/>
            <w:vAlign w:val="bottom"/>
          </w:tcPr>
          <w:p>
            <w:pPr>
              <w:spacing w:after="0"/>
              <w:rPr>
                <w:sz w:val="17"/>
                <w:szCs w:val="17"/>
                <w:color w:val="auto"/>
              </w:rPr>
            </w:pPr>
          </w:p>
        </w:tc>
        <w:tc>
          <w:tcPr>
            <w:tcW w:w="3360" w:type="dxa"/>
            <w:vAlign w:val="bottom"/>
            <w:gridSpan w:val="3"/>
          </w:tcPr>
          <w:p>
            <w:pPr>
              <w:jc w:val="right"/>
              <w:ind w:right="18"/>
              <w:spacing w:after="0"/>
              <w:rPr>
                <w:sz w:val="20"/>
                <w:szCs w:val="20"/>
                <w:color w:val="auto"/>
              </w:rPr>
            </w:pPr>
            <w:r>
              <w:rPr>
                <w:rFonts w:ascii="Arial" w:cs="Arial" w:eastAsia="Arial" w:hAnsi="Arial"/>
                <w:sz w:val="16"/>
                <w:szCs w:val="16"/>
                <w:b w:val="1"/>
                <w:bCs w:val="1"/>
                <w:color w:val="auto"/>
                <w:w w:val="92"/>
              </w:rPr>
              <w:t>Amount Reclassified from Accumulated Other</w:t>
            </w:r>
          </w:p>
        </w:tc>
        <w:tc>
          <w:tcPr>
            <w:tcW w:w="2240" w:type="dxa"/>
            <w:vAlign w:val="bottom"/>
          </w:tcPr>
          <w:p>
            <w:pPr>
              <w:jc w:val="right"/>
              <w:spacing w:after="0"/>
              <w:rPr>
                <w:sz w:val="20"/>
                <w:szCs w:val="20"/>
                <w:color w:val="auto"/>
              </w:rPr>
            </w:pPr>
            <w:r>
              <w:rPr>
                <w:rFonts w:ascii="Arial" w:cs="Arial" w:eastAsia="Arial" w:hAnsi="Arial"/>
                <w:sz w:val="16"/>
                <w:szCs w:val="16"/>
                <w:b w:val="1"/>
                <w:bCs w:val="1"/>
                <w:color w:val="auto"/>
                <w:w w:val="99"/>
              </w:rPr>
              <w:t>Statement Where Net Income</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 (Loss) Components</w:t>
            </w:r>
          </w:p>
        </w:tc>
        <w:tc>
          <w:tcPr>
            <w:tcW w:w="12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6"/>
                <w:szCs w:val="16"/>
                <w:b w:val="1"/>
                <w:bCs w:val="1"/>
                <w:color w:val="auto"/>
              </w:rPr>
              <w:t>Comprehensive Income (Loss)</w:t>
            </w:r>
            <w:r>
              <w:rPr>
                <w:rFonts w:ascii="Arial" w:cs="Arial" w:eastAsia="Arial" w:hAnsi="Arial"/>
                <w:sz w:val="17"/>
                <w:szCs w:val="17"/>
                <w:b w:val="1"/>
                <w:bCs w:val="1"/>
                <w:color w:val="auto"/>
                <w:vertAlign w:val="superscript"/>
              </w:rPr>
              <w:t>1</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Is Presented</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2020</w:t>
            </w:r>
          </w:p>
        </w:tc>
        <w:tc>
          <w:tcPr>
            <w:tcW w:w="10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2019</w:t>
            </w:r>
          </w:p>
        </w:tc>
        <w:tc>
          <w:tcPr>
            <w:tcW w:w="22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Unrealized Holding Gains (Losses) on</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Investment Securities Held-to-Maturity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32</w:t>
            </w:r>
          </w:p>
        </w:tc>
        <w:tc>
          <w:tcPr>
            <w:tcW w:w="1080" w:type="dxa"/>
            <w:vAlign w:val="bottom"/>
          </w:tcPr>
          <w:p>
            <w:pPr>
              <w:spacing w:after="0"/>
              <w:rPr>
                <w:sz w:val="20"/>
                <w:szCs w:val="20"/>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96</w:t>
            </w:r>
          </w:p>
        </w:tc>
        <w:tc>
          <w:tcPr>
            <w:tcW w:w="2240" w:type="dxa"/>
            <w:vAlign w:val="bottom"/>
          </w:tcPr>
          <w:p>
            <w:pPr>
              <w:ind w:left="20"/>
              <w:spacing w:after="0"/>
              <w:rPr>
                <w:sz w:val="20"/>
                <w:szCs w:val="20"/>
                <w:color w:val="auto"/>
              </w:rPr>
            </w:pPr>
            <w:r>
              <w:rPr>
                <w:rFonts w:ascii="Arial" w:cs="Arial" w:eastAsia="Arial" w:hAnsi="Arial"/>
                <w:sz w:val="16"/>
                <w:szCs w:val="16"/>
                <w:color w:val="auto"/>
              </w:rPr>
              <w:t>Provision for Income Tax</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20"/>
        </w:trPr>
        <w:tc>
          <w:tcPr>
            <w:tcW w:w="5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vMerge w:val="restart"/>
          </w:tcPr>
          <w:p>
            <w:pPr>
              <w:jc w:val="right"/>
              <w:ind w:right="18"/>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600" w:type="dxa"/>
            <w:vAlign w:val="bottom"/>
            <w:vMerge w:val="restart"/>
          </w:tcPr>
          <w:p>
            <w:pPr>
              <w:jc w:val="right"/>
              <w:ind w:right="18"/>
              <w:spacing w:after="0"/>
              <w:rPr>
                <w:sz w:val="20"/>
                <w:szCs w:val="20"/>
                <w:color w:val="auto"/>
              </w:rPr>
            </w:pPr>
            <w:r>
              <w:rPr>
                <w:rFonts w:ascii="Arial" w:cs="Arial" w:eastAsia="Arial" w:hAnsi="Arial"/>
                <w:sz w:val="18"/>
                <w:szCs w:val="18"/>
                <w:color w:val="auto"/>
              </w:rPr>
              <w:t>127</w:t>
            </w:r>
          </w:p>
        </w:tc>
        <w:tc>
          <w:tcPr>
            <w:tcW w:w="2240" w:type="dxa"/>
            <w:vAlign w:val="bottom"/>
          </w:tcPr>
          <w:p>
            <w:pPr>
              <w:ind w:left="20"/>
              <w:spacing w:after="0"/>
              <w:rPr>
                <w:sz w:val="20"/>
                <w:szCs w:val="20"/>
                <w:color w:val="auto"/>
              </w:rPr>
            </w:pPr>
            <w:r>
              <w:rPr>
                <w:rFonts w:ascii="Arial" w:cs="Arial" w:eastAsia="Arial" w:hAnsi="Arial"/>
                <w:sz w:val="16"/>
                <w:szCs w:val="16"/>
                <w:color w:val="auto"/>
              </w:rPr>
              <w:t>Investment Securities Gains</w:t>
            </w:r>
          </w:p>
        </w:tc>
        <w:tc>
          <w:tcPr>
            <w:tcW w:w="0" w:type="dxa"/>
            <w:vAlign w:val="bottom"/>
          </w:tcPr>
          <w:p>
            <w:pPr>
              <w:spacing w:after="0"/>
              <w:rPr>
                <w:sz w:val="1"/>
                <w:szCs w:val="1"/>
                <w:color w:val="auto"/>
              </w:rPr>
            </w:pPr>
          </w:p>
        </w:tc>
      </w:tr>
      <w:tr>
        <w:trPr>
          <w:trHeight w:val="212"/>
        </w:trPr>
        <w:tc>
          <w:tcPr>
            <w:tcW w:w="5520" w:type="dxa"/>
            <w:vAlign w:val="bottom"/>
          </w:tcPr>
          <w:p>
            <w:pPr>
              <w:ind w:left="40"/>
              <w:spacing w:after="0"/>
              <w:rPr>
                <w:sz w:val="20"/>
                <w:szCs w:val="20"/>
                <w:color w:val="auto"/>
              </w:rPr>
            </w:pPr>
            <w:r>
              <w:rPr>
                <w:rFonts w:ascii="Arial" w:cs="Arial" w:eastAsia="Arial" w:hAnsi="Arial"/>
                <w:sz w:val="16"/>
                <w:szCs w:val="16"/>
                <w:color w:val="auto"/>
              </w:rPr>
              <w:t>Sale of Investment Securities Available-for-Sale</w:t>
            </w:r>
          </w:p>
        </w:tc>
        <w:tc>
          <w:tcPr>
            <w:tcW w:w="1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40" w:type="dxa"/>
            <w:vAlign w:val="bottom"/>
          </w:tcPr>
          <w:p>
            <w:pPr>
              <w:ind w:left="20"/>
              <w:spacing w:after="0"/>
              <w:rPr>
                <w:sz w:val="20"/>
                <w:szCs w:val="20"/>
                <w:color w:val="auto"/>
              </w:rPr>
            </w:pPr>
            <w:r>
              <w:rPr>
                <w:rFonts w:ascii="Arial" w:cs="Arial" w:eastAsia="Arial" w:hAnsi="Arial"/>
                <w:sz w:val="16"/>
                <w:szCs w:val="16"/>
                <w:color w:val="auto"/>
              </w:rPr>
              <w:t>(Losses), Net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w:t>
            </w:r>
          </w:p>
        </w:tc>
        <w:tc>
          <w:tcPr>
            <w:tcW w:w="0" w:type="dxa"/>
            <w:vAlign w:val="bottom"/>
          </w:tcPr>
          <w:p>
            <w:pPr>
              <w:spacing w:after="0"/>
              <w:rPr>
                <w:sz w:val="1"/>
                <w:szCs w:val="1"/>
                <w:color w:val="auto"/>
              </w:rPr>
            </w:pPr>
          </w:p>
        </w:tc>
      </w:tr>
      <w:tr>
        <w:trPr>
          <w:trHeight w:val="217"/>
        </w:trPr>
        <w:tc>
          <w:tcPr>
            <w:tcW w:w="5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93</w:t>
            </w:r>
          </w:p>
        </w:tc>
        <w:tc>
          <w:tcPr>
            <w:tcW w:w="224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Amortization of Defined Benefit Plan Items</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17"/>
                <w:szCs w:val="17"/>
                <w:color w:val="auto"/>
                <w:vertAlign w:val="superscript"/>
              </w:rPr>
              <w:t>2</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62</w:t>
            </w:r>
          </w:p>
        </w:tc>
        <w:tc>
          <w:tcPr>
            <w:tcW w:w="10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72</w:t>
            </w:r>
          </w:p>
        </w:tc>
        <w:tc>
          <w:tcPr>
            <w:tcW w:w="2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 xml:space="preserve">Net Actuarial Losses </w:t>
            </w:r>
            <w:r>
              <w:rPr>
                <w:rFonts w:ascii="Arial" w:cs="Arial" w:eastAsia="Arial" w:hAnsi="Arial"/>
                <w:sz w:val="17"/>
                <w:szCs w:val="17"/>
                <w:color w:val="auto"/>
                <w:vertAlign w:val="superscript"/>
              </w:rPr>
              <w:t>2</w:t>
            </w:r>
          </w:p>
        </w:tc>
        <w:tc>
          <w:tcPr>
            <w:tcW w:w="1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w:t>
            </w:r>
          </w:p>
        </w:tc>
        <w:tc>
          <w:tcPr>
            <w:tcW w:w="10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22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5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135</w:t>
            </w:r>
          </w:p>
        </w:tc>
        <w:tc>
          <w:tcPr>
            <w:tcW w:w="1080" w:type="dxa"/>
            <w:vAlign w:val="bottom"/>
          </w:tcPr>
          <w:p>
            <w:pPr>
              <w:spacing w:after="0"/>
              <w:rPr>
                <w:sz w:val="20"/>
                <w:szCs w:val="20"/>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89</w:t>
            </w:r>
          </w:p>
        </w:tc>
        <w:tc>
          <w:tcPr>
            <w:tcW w:w="2240" w:type="dxa"/>
            <w:vAlign w:val="bottom"/>
          </w:tcPr>
          <w:p>
            <w:pPr>
              <w:ind w:left="20"/>
              <w:spacing w:after="0"/>
              <w:rPr>
                <w:sz w:val="20"/>
                <w:szCs w:val="20"/>
                <w:color w:val="auto"/>
              </w:rPr>
            </w:pPr>
            <w:r>
              <w:rPr>
                <w:rFonts w:ascii="Arial" w:cs="Arial" w:eastAsia="Arial" w:hAnsi="Arial"/>
                <w:sz w:val="16"/>
                <w:szCs w:val="16"/>
                <w:color w:val="auto"/>
              </w:rPr>
              <w:t>Provision for Income Tax</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63"/>
        </w:trPr>
        <w:tc>
          <w:tcPr>
            <w:tcW w:w="55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Reclassifications for the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Affected Line Item in the</w:t>
            </w:r>
          </w:p>
        </w:tc>
        <w:tc>
          <w:tcPr>
            <w:tcW w:w="0" w:type="dxa"/>
            <w:vAlign w:val="bottom"/>
          </w:tcPr>
          <w:p>
            <w:pPr>
              <w:spacing w:after="0" w:line="20" w:lineRule="exact"/>
              <w:rPr>
                <w:sz w:val="1"/>
                <w:szCs w:val="1"/>
                <w:color w:val="auto"/>
              </w:rPr>
            </w:pPr>
          </w:p>
        </w:tc>
      </w:tr>
      <w:tr>
        <w:trPr>
          <w:trHeight w:val="473"/>
        </w:trPr>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Details about Accumulated Other</w:t>
            </w:r>
          </w:p>
        </w:tc>
        <w:tc>
          <w:tcPr>
            <w:tcW w:w="120" w:type="dxa"/>
            <w:vAlign w:val="bottom"/>
          </w:tcPr>
          <w:p>
            <w:pPr>
              <w:spacing w:after="0"/>
              <w:rPr>
                <w:sz w:val="17"/>
                <w:szCs w:val="17"/>
                <w:color w:val="auto"/>
              </w:rPr>
            </w:pPr>
          </w:p>
        </w:tc>
        <w:tc>
          <w:tcPr>
            <w:tcW w:w="3360" w:type="dxa"/>
            <w:vAlign w:val="bottom"/>
            <w:gridSpan w:val="3"/>
          </w:tcPr>
          <w:p>
            <w:pPr>
              <w:jc w:val="right"/>
              <w:ind w:right="18"/>
              <w:spacing w:after="0"/>
              <w:rPr>
                <w:sz w:val="20"/>
                <w:szCs w:val="20"/>
                <w:color w:val="auto"/>
              </w:rPr>
            </w:pPr>
            <w:r>
              <w:rPr>
                <w:rFonts w:ascii="Arial" w:cs="Arial" w:eastAsia="Arial" w:hAnsi="Arial"/>
                <w:sz w:val="16"/>
                <w:szCs w:val="16"/>
                <w:b w:val="1"/>
                <w:bCs w:val="1"/>
                <w:color w:val="auto"/>
                <w:w w:val="92"/>
              </w:rPr>
              <w:t>Amount Reclassified from Accumulated Other</w:t>
            </w:r>
          </w:p>
        </w:tc>
        <w:tc>
          <w:tcPr>
            <w:tcW w:w="2240" w:type="dxa"/>
            <w:vAlign w:val="bottom"/>
          </w:tcPr>
          <w:p>
            <w:pPr>
              <w:jc w:val="right"/>
              <w:spacing w:after="0"/>
              <w:rPr>
                <w:sz w:val="20"/>
                <w:szCs w:val="20"/>
                <w:color w:val="auto"/>
              </w:rPr>
            </w:pPr>
            <w:r>
              <w:rPr>
                <w:rFonts w:ascii="Arial" w:cs="Arial" w:eastAsia="Arial" w:hAnsi="Arial"/>
                <w:sz w:val="16"/>
                <w:szCs w:val="16"/>
                <w:b w:val="1"/>
                <w:bCs w:val="1"/>
                <w:color w:val="auto"/>
                <w:w w:val="99"/>
              </w:rPr>
              <w:t>Statement Where Net Income</w:t>
            </w:r>
          </w:p>
        </w:tc>
        <w:tc>
          <w:tcPr>
            <w:tcW w:w="0" w:type="dxa"/>
            <w:vAlign w:val="bottom"/>
          </w:tcPr>
          <w:p>
            <w:pPr>
              <w:spacing w:after="0"/>
              <w:rPr>
                <w:sz w:val="1"/>
                <w:szCs w:val="1"/>
                <w:color w:val="auto"/>
              </w:rPr>
            </w:pPr>
          </w:p>
        </w:tc>
      </w:tr>
      <w:tr>
        <w:trPr>
          <w:trHeight w:val="242"/>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 (Loss) Components</w:t>
            </w:r>
          </w:p>
        </w:tc>
        <w:tc>
          <w:tcPr>
            <w:tcW w:w="12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6"/>
                <w:szCs w:val="16"/>
                <w:b w:val="1"/>
                <w:bCs w:val="1"/>
                <w:color w:val="auto"/>
              </w:rPr>
              <w:t>Comprehensive Income (Loss)</w:t>
            </w:r>
            <w:r>
              <w:rPr>
                <w:rFonts w:ascii="Arial" w:cs="Arial" w:eastAsia="Arial" w:hAnsi="Arial"/>
                <w:sz w:val="17"/>
                <w:szCs w:val="17"/>
                <w:b w:val="1"/>
                <w:bCs w:val="1"/>
                <w:color w:val="auto"/>
                <w:vertAlign w:val="superscript"/>
              </w:rPr>
              <w:t>1</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Is Presented</w:t>
            </w:r>
          </w:p>
        </w:tc>
        <w:tc>
          <w:tcPr>
            <w:tcW w:w="0" w:type="dxa"/>
            <w:vAlign w:val="bottom"/>
          </w:tcPr>
          <w:p>
            <w:pPr>
              <w:spacing w:after="0"/>
              <w:rPr>
                <w:sz w:val="1"/>
                <w:szCs w:val="1"/>
                <w:color w:val="auto"/>
              </w:rPr>
            </w:pPr>
          </w:p>
        </w:tc>
      </w:tr>
      <w:tr>
        <w:trPr>
          <w:trHeight w:val="232"/>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(dollars in thousands)</w:t>
            </w:r>
          </w:p>
        </w:tc>
        <w:tc>
          <w:tcPr>
            <w:tcW w:w="12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2020</w:t>
            </w:r>
          </w:p>
        </w:tc>
        <w:tc>
          <w:tcPr>
            <w:tcW w:w="10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2019</w:t>
            </w:r>
          </w:p>
        </w:tc>
        <w:tc>
          <w:tcPr>
            <w:tcW w:w="2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520" w:type="dxa"/>
            <w:vAlign w:val="bottom"/>
          </w:tcPr>
          <w:p>
            <w:pPr>
              <w:ind w:left="40"/>
              <w:spacing w:after="0"/>
              <w:rPr>
                <w:sz w:val="20"/>
                <w:szCs w:val="20"/>
                <w:color w:val="auto"/>
              </w:rPr>
            </w:pPr>
            <w:r>
              <w:rPr>
                <w:rFonts w:ascii="Arial" w:cs="Arial" w:eastAsia="Arial" w:hAnsi="Arial"/>
                <w:sz w:val="16"/>
                <w:szCs w:val="16"/>
                <w:color w:val="auto"/>
              </w:rPr>
              <w:t>Amortization of Unrealized Holding Gains (Losses) on</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520" w:type="dxa"/>
            <w:vAlign w:val="bottom"/>
          </w:tcPr>
          <w:p>
            <w:pPr>
              <w:ind w:left="240"/>
              <w:spacing w:after="0"/>
              <w:rPr>
                <w:sz w:val="20"/>
                <w:szCs w:val="20"/>
                <w:color w:val="auto"/>
              </w:rPr>
            </w:pPr>
            <w:r>
              <w:rPr>
                <w:rFonts w:ascii="Arial" w:cs="Arial" w:eastAsia="Arial" w:hAnsi="Arial"/>
                <w:sz w:val="16"/>
                <w:szCs w:val="16"/>
                <w:color w:val="auto"/>
              </w:rPr>
              <w:t>Investment Securities Held-to-Maturity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(186)</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(764)</w:t>
            </w:r>
          </w:p>
        </w:tc>
        <w:tc>
          <w:tcPr>
            <w:tcW w:w="22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49</w:t>
            </w: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201</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w:t>
            </w:r>
          </w:p>
        </w:tc>
        <w:tc>
          <w:tcPr>
            <w:tcW w:w="0" w:type="dxa"/>
            <w:vAlign w:val="bottom"/>
          </w:tcPr>
          <w:p>
            <w:pPr>
              <w:spacing w:after="0"/>
              <w:rPr>
                <w:sz w:val="1"/>
                <w:szCs w:val="1"/>
                <w:color w:val="auto"/>
              </w:rPr>
            </w:pPr>
          </w:p>
        </w:tc>
      </w:tr>
      <w:tr>
        <w:trPr>
          <w:trHeight w:val="217"/>
        </w:trPr>
        <w:tc>
          <w:tcPr>
            <w:tcW w:w="5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224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Securities Gains</w:t>
            </w:r>
          </w:p>
        </w:tc>
        <w:tc>
          <w:tcPr>
            <w:tcW w:w="0" w:type="dxa"/>
            <w:vAlign w:val="bottom"/>
          </w:tcPr>
          <w:p>
            <w:pPr>
              <w:spacing w:after="0"/>
              <w:rPr>
                <w:sz w:val="1"/>
                <w:szCs w:val="1"/>
                <w:color w:val="auto"/>
              </w:rPr>
            </w:pPr>
          </w:p>
        </w:tc>
      </w:tr>
      <w:tr>
        <w:trPr>
          <w:trHeight w:val="206"/>
        </w:trPr>
        <w:tc>
          <w:tcPr>
            <w:tcW w:w="5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Sale of Investment Securities Available-for-Sale</w:t>
            </w:r>
          </w:p>
        </w:tc>
        <w:tc>
          <w:tcPr>
            <w:tcW w:w="12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77</w:t>
            </w:r>
          </w:p>
        </w:tc>
        <w:tc>
          <w:tcPr>
            <w:tcW w:w="10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63</w:t>
            </w:r>
          </w:p>
        </w:tc>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(Losses), Net</w:t>
            </w:r>
          </w:p>
        </w:tc>
        <w:tc>
          <w:tcPr>
            <w:tcW w:w="0" w:type="dxa"/>
            <w:vAlign w:val="bottom"/>
          </w:tcPr>
          <w:p>
            <w:pPr>
              <w:spacing w:after="0"/>
              <w:rPr>
                <w:sz w:val="1"/>
                <w:szCs w:val="1"/>
                <w:color w:val="auto"/>
              </w:rPr>
            </w:pPr>
          </w:p>
        </w:tc>
      </w:tr>
      <w:tr>
        <w:trPr>
          <w:trHeight w:val="215"/>
        </w:trPr>
        <w:tc>
          <w:tcPr>
            <w:tcW w:w="55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vMerge w:val="continue"/>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vMerge w:val="continue"/>
            <w:shd w:val="clear" w:color="auto" w:fill="CCEEFF"/>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(21)</w:t>
            </w: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c>
          <w:tcPr>
            <w:tcW w:w="2240" w:type="dxa"/>
            <w:vAlign w:val="bottom"/>
          </w:tcPr>
          <w:p>
            <w:pPr>
              <w:ind w:left="20"/>
              <w:spacing w:after="0"/>
              <w:rPr>
                <w:sz w:val="20"/>
                <w:szCs w:val="20"/>
                <w:color w:val="auto"/>
              </w:rPr>
            </w:pPr>
            <w:r>
              <w:rPr>
                <w:rFonts w:ascii="Arial" w:cs="Arial" w:eastAsia="Arial" w:hAnsi="Arial"/>
                <w:sz w:val="16"/>
                <w:szCs w:val="16"/>
                <w:color w:val="auto"/>
              </w:rPr>
              <w:t>Provision for Income Tax</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56</w:t>
            </w:r>
          </w:p>
        </w:tc>
        <w:tc>
          <w:tcPr>
            <w:tcW w:w="10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46</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Defined Benefit Plan Items</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520" w:type="dxa"/>
            <w:vAlign w:val="bottom"/>
          </w:tcPr>
          <w:p>
            <w:pPr>
              <w:ind w:left="28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17"/>
                <w:szCs w:val="17"/>
                <w:color w:val="auto"/>
                <w:vertAlign w:val="superscript"/>
              </w:rPr>
              <w:t>2</w:t>
            </w:r>
          </w:p>
        </w:tc>
        <w:tc>
          <w:tcPr>
            <w:tcW w:w="12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123</w:t>
            </w:r>
          </w:p>
        </w:tc>
        <w:tc>
          <w:tcPr>
            <w:tcW w:w="1080" w:type="dxa"/>
            <w:vAlign w:val="bottom"/>
          </w:tcPr>
          <w:p>
            <w:pPr>
              <w:spacing w:after="0"/>
              <w:rPr>
                <w:sz w:val="23"/>
                <w:szCs w:val="23"/>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144</w:t>
            </w: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Net Actuarial Losses </w:t>
            </w:r>
            <w:r>
              <w:rPr>
                <w:rFonts w:ascii="Arial" w:cs="Arial" w:eastAsia="Arial" w:hAnsi="Arial"/>
                <w:sz w:val="17"/>
                <w:szCs w:val="17"/>
                <w:color w:val="auto"/>
                <w:vertAlign w:val="superscript"/>
              </w:rPr>
              <w:t>2</w:t>
            </w:r>
          </w:p>
        </w:tc>
        <w:tc>
          <w:tcPr>
            <w:tcW w:w="1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10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2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(1,018)</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(668)</w:t>
            </w:r>
          </w:p>
        </w:tc>
        <w:tc>
          <w:tcPr>
            <w:tcW w:w="2240" w:type="dxa"/>
            <w:vAlign w:val="bottom"/>
          </w:tcPr>
          <w:p>
            <w:pPr>
              <w:ind w:left="20"/>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270</w:t>
            </w: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177</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w:t>
            </w:r>
          </w:p>
        </w:tc>
        <w:tc>
          <w:tcPr>
            <w:tcW w:w="0" w:type="dxa"/>
            <w:vAlign w:val="bottom"/>
          </w:tcPr>
          <w:p>
            <w:pPr>
              <w:spacing w:after="0"/>
              <w:rPr>
                <w:sz w:val="1"/>
                <w:szCs w:val="1"/>
                <w:color w:val="auto"/>
              </w:rPr>
            </w:pPr>
          </w:p>
        </w:tc>
      </w:tr>
      <w:tr>
        <w:trPr>
          <w:trHeight w:val="217"/>
        </w:trPr>
        <w:tc>
          <w:tcPr>
            <w:tcW w:w="5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10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224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20" w:type="dxa"/>
            <w:vAlign w:val="bottom"/>
          </w:tcPr>
          <w:p>
            <w:pPr>
              <w:ind w:left="40"/>
              <w:spacing w:after="0"/>
              <w:rPr>
                <w:sz w:val="20"/>
                <w:szCs w:val="20"/>
                <w:color w:val="auto"/>
              </w:rPr>
            </w:pPr>
            <w:r>
              <w:rPr>
                <w:rFonts w:ascii="Arial" w:cs="Arial" w:eastAsia="Arial" w:hAnsi="Arial"/>
                <w:sz w:val="16"/>
                <w:szCs w:val="16"/>
                <w:color w:val="auto"/>
              </w:rPr>
              <w:t>Total Reclassifications for the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w:t>
            </w:r>
          </w:p>
        </w:tc>
        <w:tc>
          <w:tcPr>
            <w:tcW w:w="224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9"/>
          <w:szCs w:val="9"/>
          <w:color w:val="auto"/>
        </w:rPr>
      </w:pPr>
      <w:r>
        <w:rPr>
          <w:rFonts w:ascii="Arial" w:cs="Arial" w:eastAsia="Arial" w:hAnsi="Arial"/>
          <w:sz w:val="14"/>
          <w:szCs w:val="14"/>
          <w:color w:val="auto"/>
        </w:rPr>
        <w:t>Amounts in parentheses indicate reductions to net income.</w:t>
      </w:r>
    </w:p>
    <w:p>
      <w:pPr>
        <w:spacing w:after="0" w:line="13" w:lineRule="exact"/>
        <w:rPr>
          <w:sz w:val="20"/>
          <w:szCs w:val="20"/>
          <w:color w:val="auto"/>
        </w:rPr>
      </w:pPr>
    </w:p>
    <w:p>
      <w:pPr>
        <w:ind w:left="180" w:right="620" w:hanging="172"/>
        <w:spacing w:after="0" w:line="255" w:lineRule="auto"/>
        <w:tabs>
          <w:tab w:leader="none" w:pos="180" w:val="left"/>
        </w:tabs>
        <w:numPr>
          <w:ilvl w:val="0"/>
          <w:numId w:val="19"/>
        </w:numPr>
        <w:rPr>
          <w:rFonts w:ascii="Arial" w:cs="Arial" w:eastAsia="Arial" w:hAnsi="Arial"/>
          <w:sz w:val="9"/>
          <w:szCs w:val="9"/>
          <w:color w:val="auto"/>
        </w:rPr>
      </w:pPr>
      <w:r>
        <w:rPr>
          <w:rFonts w:ascii="Arial" w:cs="Arial" w:eastAsia="Arial" w:hAnsi="Arial"/>
          <w:sz w:val="14"/>
          <w:szCs w:val="14"/>
          <w:color w:val="auto"/>
        </w:rPr>
        <w:t xml:space="preserve">These accumulated other comprehensive income (loss) components are included in the computation of net periodic benefit cost and are included in Other Noninterest Expense on the consolidated statements of income (see Note 11 </w:t>
      </w:r>
      <w:r>
        <w:rPr>
          <w:rFonts w:ascii="Arial" w:cs="Arial" w:eastAsia="Arial" w:hAnsi="Arial"/>
          <w:sz w:val="14"/>
          <w:szCs w:val="14"/>
          <w:i w:val="1"/>
          <w:iCs w:val="1"/>
          <w:color w:val="auto"/>
        </w:rPr>
        <w:t>Pension Plans and Postretirement Benefit Plan</w:t>
      </w:r>
      <w:r>
        <w:rPr>
          <w:rFonts w:ascii="Arial" w:cs="Arial" w:eastAsia="Arial" w:hAnsi="Arial"/>
          <w:sz w:val="14"/>
          <w:szCs w:val="14"/>
          <w:color w:val="auto"/>
        </w:rPr>
        <w:t xml:space="preserve"> for additional details).</w:t>
      </w:r>
    </w:p>
    <w:p>
      <w:pPr>
        <w:sectPr>
          <w:pgSz w:w="11900" w:h="16838" w:orient="portrait"/>
          <w:cols w:equalWidth="0" w:num="1">
            <w:col w:w="11240"/>
          </w:cols>
          <w:pgMar w:left="320" w:top="130" w:right="339"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30" w:right="33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There were no adjustments to net income, the numerator, for purposes of computing earnings per share. The following is a reconciliation of the weighted average number of common shares outstanding for computing diluted earnings per share and antidilutive stock options and restricted stock outstanding for the three and six months ended June 30, 2020, and June 30, 2019:</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3060" w:type="dxa"/>
            <w:vAlign w:val="bottom"/>
            <w:gridSpan w:val="3"/>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880" w:type="dxa"/>
            <w:vAlign w:val="bottom"/>
            <w:gridSpan w:val="2"/>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300" w:type="dxa"/>
            <w:vAlign w:val="bottom"/>
          </w:tcPr>
          <w:p>
            <w:pPr>
              <w:spacing w:after="0"/>
              <w:rPr>
                <w:sz w:val="18"/>
                <w:szCs w:val="18"/>
                <w:color w:val="auto"/>
              </w:rPr>
            </w:pPr>
          </w:p>
        </w:tc>
        <w:tc>
          <w:tcPr>
            <w:tcW w:w="1860" w:type="dxa"/>
            <w:vAlign w:val="bottom"/>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r>
      <w:tr>
        <w:trPr>
          <w:trHeight w:val="33"/>
        </w:trPr>
        <w:tc>
          <w:tcPr>
            <w:tcW w:w="53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300" w:type="dxa"/>
            <w:vAlign w:val="bottom"/>
          </w:tcPr>
          <w:p>
            <w:pPr>
              <w:spacing w:after="0"/>
              <w:rPr>
                <w:sz w:val="20"/>
                <w:szCs w:val="20"/>
                <w:color w:val="auto"/>
              </w:rPr>
            </w:pPr>
          </w:p>
        </w:tc>
        <w:tc>
          <w:tcPr>
            <w:tcW w:w="186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900" w:type="dxa"/>
            <w:vAlign w:val="bottom"/>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33"/>
        </w:trPr>
        <w:tc>
          <w:tcPr>
            <w:tcW w:w="5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 for Basic Earnings Per Share</w:t>
            </w:r>
          </w:p>
        </w:tc>
        <w:tc>
          <w:tcPr>
            <w:tcW w:w="18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39,703,735</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40,541,594</w:t>
            </w: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39,692,695</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40,738,772</w:t>
            </w: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color w:val="auto"/>
              </w:rPr>
              <w:t>Dilutive Effect of Equity Based Awards</w:t>
            </w:r>
          </w:p>
        </w:tc>
        <w:tc>
          <w:tcPr>
            <w:tcW w:w="1860" w:type="dxa"/>
            <w:vAlign w:val="bottom"/>
          </w:tcPr>
          <w:p>
            <w:pPr>
              <w:jc w:val="right"/>
              <w:ind w:right="539"/>
              <w:spacing w:after="0"/>
              <w:rPr>
                <w:sz w:val="20"/>
                <w:szCs w:val="20"/>
                <w:color w:val="auto"/>
              </w:rPr>
            </w:pPr>
            <w:r>
              <w:rPr>
                <w:rFonts w:ascii="Arial" w:cs="Arial" w:eastAsia="Arial" w:hAnsi="Arial"/>
                <w:sz w:val="16"/>
                <w:szCs w:val="16"/>
                <w:color w:val="auto"/>
              </w:rPr>
              <w:t>128,740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228,173</w:t>
            </w:r>
          </w:p>
        </w:tc>
        <w:tc>
          <w:tcPr>
            <w:tcW w:w="220" w:type="dxa"/>
            <w:vAlign w:val="bottom"/>
          </w:tcPr>
          <w:p>
            <w:pPr>
              <w:spacing w:after="0"/>
              <w:rPr>
                <w:sz w:val="20"/>
                <w:szCs w:val="20"/>
                <w:color w:val="auto"/>
              </w:rPr>
            </w:pP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180,639</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249,229</w:t>
            </w:r>
          </w:p>
        </w:tc>
      </w:tr>
      <w:tr>
        <w:trPr>
          <w:trHeight w:val="33"/>
        </w:trPr>
        <w:tc>
          <w:tcPr>
            <w:tcW w:w="5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Denominator for Diluted Earnings Per Share</w:t>
            </w:r>
          </w:p>
        </w:tc>
        <w:tc>
          <w:tcPr>
            <w:tcW w:w="18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39,832,475</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40,769,767</w:t>
            </w:r>
          </w:p>
        </w:tc>
        <w:tc>
          <w:tcPr>
            <w:tcW w:w="2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39,873,334</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40,988,001</w:t>
            </w:r>
          </w:p>
        </w:tc>
      </w:tr>
      <w:tr>
        <w:trPr>
          <w:trHeight w:val="20"/>
        </w:trPr>
        <w:tc>
          <w:tcPr>
            <w:tcW w:w="5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5"/>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Antidilutive Stock Options and Restricted Stock Outstanding</w:t>
            </w:r>
          </w:p>
        </w:tc>
        <w:tc>
          <w:tcPr>
            <w:tcW w:w="18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113,906</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4,706</w:t>
            </w:r>
          </w:p>
        </w:tc>
        <w:tc>
          <w:tcPr>
            <w:tcW w:w="2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111,507</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4,706</w:t>
            </w:r>
          </w:p>
        </w:tc>
      </w:tr>
      <w:tr>
        <w:trPr>
          <w:trHeight w:val="20"/>
        </w:trPr>
        <w:tc>
          <w:tcPr>
            <w:tcW w:w="5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200" w:lineRule="exact"/>
        <w:rPr>
          <w:sz w:val="20"/>
          <w:szCs w:val="20"/>
          <w:color w:val="auto"/>
        </w:rPr>
      </w:pPr>
    </w:p>
    <w:p>
      <w:pPr>
        <w:spacing w:after="0" w:line="24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Effective January 1, 2020, the Company changed segments based on management structure and strategic focus which is placing a greater emphasis on customer segment vs. product type. The Company’s business segments are defined as Consumer Banking, Commercial Banking, and Treasury and Other. The Company’s internal management accounting process measures the performance of these business segments. This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spacing w:after="0" w:line="16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9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provision for credit losses for the Consumer Banking and Commercial Banking business segments reflects the actual net charge-offs of those business segments. The amount of the consolidated provision for loan and lease losses is based on the methodology that we use to estimate our consolidated Allowance. The residual provision for credit losses to arrive at the consolidated provision for credit losses is included in Treasury and Other.</w:t>
      </w:r>
    </w:p>
    <w:p>
      <w:pPr>
        <w:spacing w:after="0" w:line="1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Noninterest income and expense includes allocations from support units to business units. These allocations are based on actual usage where practicably calculated or by management’s estimate of such usage.</w:t>
      </w:r>
    </w:p>
    <w:p>
      <w:pPr>
        <w:spacing w:after="0" w:line="17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provision for income taxes is allocated to business segments using a 26% effective income tax rate. However, the provision for income taxes for our Leasing business unit (included in the Commercial Banking segment) and Auto Leasing portfolio and Pacific Century Life Insurance business unit (both included in the Consumer Banking segment) are assigned their actual effective income tax rates due to the unique relationship that income taxes have with their products. The residual income tax expense or benefit to arrive at the consolidated effective tax rate is included in Treasury and Other.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Banking</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Consumer Banking offers a broad range of financial products and services, including loan, deposit and insurance products; private banking and international client banking services; trust services; investment management; and institutional investment advisory services. Consumer Banking also provides a full service brokerage offering equities, mutual funds, life insurance, and annuity products. Loan and lease products include residential mortgage loans, home equity lines of credit, automobile loans and leases, personal lines of credit, installment loans, small business loans and leases, and credit cards. Deposit products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include checking, savings, and time deposit accounts. Private banking and personal trust groups assist individuals and families in building and preserving their wealth by providing investment, credit, and trust services to high-net-worth individuals. The investment management group manages portfolios utilizing a variety of investment products. Also within Consumer Banking, institutional client services offer investment advice to corporations, government entities, and foundations. Products and services from Consumer Banking are delivered to customers through 67 branch locations and 367 ATMs throughout Hawaii and the Pacific Islands, e-Bankoh (on-line banking service), a 24-hour customer service center, and a mobile banking service.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Commercial Banking offers products including corporate banking, commercial real estate loans, commercial lease financing, auto dealer financing, and deposit products. Commercial lending and deposit products are offered to middle-market and large companies in Hawaii and the Pacific Islands. In addition, Commercial Banking offers deposit products to government entities in Hawaii. Commercial real estate mortgages focus on customers that include investors, developers, and builders predominantly domiciled in Hawaii. Commercial Banking also includes international banking and provides merchant services to its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along with the elimination of intercompany transactions.</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provide a wide-range of support to the Company’s other income earning segments. Expenses incurred by these support units are charged to the business segments through an internal cost allocation process.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Selected business segment financial information as of and for the three and six months ended June 30, 2020, and June 30, 2019,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Consumer</w:t>
            </w:r>
          </w:p>
        </w:tc>
        <w:tc>
          <w:tcPr>
            <w:tcW w:w="3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Commercial</w:t>
            </w:r>
          </w:p>
        </w:tc>
        <w:tc>
          <w:tcPr>
            <w:tcW w:w="36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Treasury</w:t>
            </w:r>
          </w:p>
        </w:tc>
        <w:tc>
          <w:tcPr>
            <w:tcW w:w="2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w w:val="98"/>
              </w:rPr>
              <w:t>Consolidated</w:t>
            </w:r>
          </w:p>
        </w:tc>
      </w:tr>
      <w:tr>
        <w:trPr>
          <w:trHeight w:val="237"/>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Banking</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Banking</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and Other</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2020</w:t>
            </w:r>
          </w:p>
        </w:tc>
        <w:tc>
          <w:tcPr>
            <w:tcW w:w="1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73,221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51,219</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2,251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126,691</w:t>
            </w:r>
          </w:p>
        </w:tc>
      </w:tr>
      <w:tr>
        <w:trPr>
          <w:trHeight w:val="33"/>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1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6,137</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35,288</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40,400</w:t>
            </w:r>
          </w:p>
        </w:tc>
      </w:tr>
      <w:tr>
        <w:trPr>
          <w:trHeight w:val="231"/>
        </w:trPr>
        <w:tc>
          <w:tcPr>
            <w:tcW w:w="45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1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67,084</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52,244</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(33,037)</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86,291</w:t>
            </w:r>
          </w:p>
        </w:tc>
      </w:tr>
      <w:tr>
        <w:trPr>
          <w:trHeight w:val="33"/>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1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28,943</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7,076</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15,249</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51,268</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1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(70,744)</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(14,776)</w:t>
            </w:r>
          </w:p>
        </w:tc>
        <w:tc>
          <w:tcPr>
            <w:tcW w:w="3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(3,372)</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(88,892)</w:t>
            </w:r>
          </w:p>
        </w:tc>
      </w:tr>
      <w:tr>
        <w:trPr>
          <w:trHeight w:val="33"/>
        </w:trPr>
        <w:tc>
          <w:tcPr>
            <w:tcW w:w="4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1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25,283</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44,544</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(21,160)</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48,667</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(6,451)</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(10,940)</w:t>
            </w:r>
          </w:p>
        </w:tc>
        <w:tc>
          <w:tcPr>
            <w:tcW w:w="3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7,632</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(9,759)</w:t>
            </w:r>
          </w:p>
        </w:tc>
      </w:tr>
      <w:tr>
        <w:trPr>
          <w:trHeight w:val="33"/>
        </w:trPr>
        <w:tc>
          <w:tcPr>
            <w:tcW w:w="4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8"/>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18,832</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33,604</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(13,528)</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38,908</w:t>
            </w:r>
          </w:p>
        </w:tc>
      </w:tr>
      <w:tr>
        <w:trPr>
          <w:trHeight w:val="20"/>
        </w:trPr>
        <w:tc>
          <w:tcPr>
            <w:tcW w:w="4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540" w:type="dxa"/>
            <w:vAlign w:val="bottom"/>
          </w:tcPr>
          <w:p>
            <w:pPr>
              <w:ind w:left="40"/>
              <w:spacing w:after="0"/>
              <w:rPr>
                <w:sz w:val="20"/>
                <w:szCs w:val="20"/>
                <w:color w:val="auto"/>
              </w:rPr>
            </w:pPr>
            <w:r>
              <w:rPr>
                <w:rFonts w:ascii="Arial" w:cs="Arial" w:eastAsia="Arial" w:hAnsi="Arial"/>
                <w:sz w:val="16"/>
                <w:szCs w:val="16"/>
                <w:b w:val="1"/>
                <w:bCs w:val="1"/>
                <w:color w:val="auto"/>
              </w:rPr>
              <w:t>Total Assets as of June 30, 2020</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7,416,337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5,033,297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7,320,308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19,769,942</w:t>
            </w:r>
          </w:p>
        </w:tc>
      </w:tr>
      <w:tr>
        <w:trPr>
          <w:trHeight w:val="73"/>
        </w:trPr>
        <w:tc>
          <w:tcPr>
            <w:tcW w:w="45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50"/>
        </w:trPr>
        <w:tc>
          <w:tcPr>
            <w:tcW w:w="45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6"/>
                <w:szCs w:val="16"/>
                <w:b w:val="1"/>
                <w:bCs w:val="1"/>
                <w:color w:val="auto"/>
              </w:rPr>
              <w:t xml:space="preserve">Three Months Ended June 30, 2019 </w:t>
            </w:r>
            <w:r>
              <w:rPr>
                <w:rFonts w:ascii="Arial" w:cs="Arial" w:eastAsia="Arial" w:hAnsi="Arial"/>
                <w:sz w:val="21"/>
                <w:szCs w:val="21"/>
                <w:b w:val="1"/>
                <w:bCs w:val="1"/>
                <w:color w:val="auto"/>
                <w:vertAlign w:val="superscript"/>
              </w:rPr>
              <w:t>1</w:t>
            </w:r>
          </w:p>
        </w:tc>
        <w:tc>
          <w:tcPr>
            <w:tcW w:w="1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77,063</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45,703</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1,331</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124,097</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13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2,526</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3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1,649</w:t>
            </w:r>
          </w:p>
        </w:tc>
        <w:tc>
          <w:tcPr>
            <w:tcW w:w="28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4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1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74,537</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45,878</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120,097</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13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35,967</w:t>
            </w:r>
          </w:p>
        </w:tc>
        <w:tc>
          <w:tcPr>
            <w:tcW w:w="3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6,938</w:t>
            </w:r>
          </w:p>
        </w:tc>
        <w:tc>
          <w:tcPr>
            <w:tcW w:w="3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2,545</w:t>
            </w:r>
          </w:p>
        </w:tc>
        <w:tc>
          <w:tcPr>
            <w:tcW w:w="28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45,450</w:t>
            </w:r>
          </w:p>
        </w:tc>
      </w:tr>
      <w:tr>
        <w:trPr>
          <w:trHeight w:val="33"/>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1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(68,543)</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(21,260)</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(2,922)</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(92,725)</w:t>
            </w:r>
          </w:p>
        </w:tc>
      </w:tr>
      <w:tr>
        <w:trPr>
          <w:trHeight w:val="231"/>
        </w:trPr>
        <w:tc>
          <w:tcPr>
            <w:tcW w:w="45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1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41,961</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31,556</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(695)</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72,822</w:t>
            </w:r>
          </w:p>
        </w:tc>
      </w:tr>
      <w:tr>
        <w:trPr>
          <w:trHeight w:val="33"/>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(10,405)</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(7,945)</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2,447</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(15,903)</w:t>
            </w:r>
          </w:p>
        </w:tc>
      </w:tr>
      <w:tr>
        <w:trPr>
          <w:trHeight w:val="230"/>
        </w:trPr>
        <w:tc>
          <w:tcPr>
            <w:tcW w:w="45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Income</w:t>
            </w:r>
          </w:p>
        </w:tc>
        <w:tc>
          <w:tcPr>
            <w:tcW w:w="13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31,556</w:t>
            </w:r>
          </w:p>
        </w:tc>
        <w:tc>
          <w:tcPr>
            <w:tcW w:w="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23,611</w:t>
            </w:r>
          </w:p>
        </w:tc>
        <w:tc>
          <w:tcPr>
            <w:tcW w:w="3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1,752</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56,919</w:t>
            </w:r>
          </w:p>
        </w:tc>
      </w:tr>
      <w:tr>
        <w:trPr>
          <w:trHeight w:val="73"/>
        </w:trPr>
        <w:tc>
          <w:tcPr>
            <w:tcW w:w="45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50"/>
        </w:trPr>
        <w:tc>
          <w:tcPr>
            <w:tcW w:w="4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Total Assets as of June 30, 2019 </w:t>
            </w:r>
            <w:r>
              <w:rPr>
                <w:rFonts w:ascii="Arial" w:cs="Arial" w:eastAsia="Arial" w:hAnsi="Arial"/>
                <w:sz w:val="21"/>
                <w:szCs w:val="21"/>
                <w:b w:val="1"/>
                <w:bCs w:val="1"/>
                <w:color w:val="auto"/>
                <w:vertAlign w:val="superscript"/>
              </w:rPr>
              <w:t>1</w:t>
            </w: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6,924,338</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4,089,452</w:t>
            </w:r>
          </w:p>
        </w:tc>
        <w:tc>
          <w:tcPr>
            <w:tcW w:w="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6,675,055</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17,688,845</w:t>
            </w: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0"/>
        </w:trPr>
        <w:tc>
          <w:tcPr>
            <w:tcW w:w="45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2020</w:t>
            </w:r>
          </w:p>
        </w:tc>
        <w:tc>
          <w:tcPr>
            <w:tcW w:w="1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147,135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96,456</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9,066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252,657</w:t>
            </w:r>
          </w:p>
        </w:tc>
      </w:tr>
      <w:tr>
        <w:trPr>
          <w:trHeight w:val="33"/>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1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9,588</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65,147</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74,000</w:t>
            </w:r>
          </w:p>
        </w:tc>
      </w:tr>
      <w:tr>
        <w:trPr>
          <w:trHeight w:val="230"/>
        </w:trPr>
        <w:tc>
          <w:tcPr>
            <w:tcW w:w="45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1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137,547</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97,191</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(56,081)</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178,657</w:t>
            </w:r>
          </w:p>
        </w:tc>
      </w:tr>
      <w:tr>
        <w:trPr>
          <w:trHeight w:val="33"/>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1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61,533</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18,811</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17,073</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97,417</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1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(141,644)</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(32,122)</w:t>
            </w:r>
          </w:p>
        </w:tc>
        <w:tc>
          <w:tcPr>
            <w:tcW w:w="3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(11,438)</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(185,204)</w:t>
            </w:r>
          </w:p>
        </w:tc>
      </w:tr>
      <w:tr>
        <w:trPr>
          <w:trHeight w:val="33"/>
        </w:trPr>
        <w:tc>
          <w:tcPr>
            <w:tcW w:w="4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1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57,436</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83,880</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(50,446)</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90,870</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(14,527)</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(20,494)</w:t>
            </w:r>
          </w:p>
        </w:tc>
        <w:tc>
          <w:tcPr>
            <w:tcW w:w="3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17,801</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(17,220)</w:t>
            </w:r>
          </w:p>
        </w:tc>
      </w:tr>
      <w:tr>
        <w:trPr>
          <w:trHeight w:val="33"/>
        </w:trPr>
        <w:tc>
          <w:tcPr>
            <w:tcW w:w="4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8"/>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42,909</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63,386</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(32,645)</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73,650</w:t>
            </w:r>
          </w:p>
        </w:tc>
      </w:tr>
      <w:tr>
        <w:trPr>
          <w:trHeight w:val="20"/>
        </w:trPr>
        <w:tc>
          <w:tcPr>
            <w:tcW w:w="4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540" w:type="dxa"/>
            <w:vAlign w:val="bottom"/>
          </w:tcPr>
          <w:p>
            <w:pPr>
              <w:ind w:left="40"/>
              <w:spacing w:after="0"/>
              <w:rPr>
                <w:sz w:val="20"/>
                <w:szCs w:val="20"/>
                <w:color w:val="auto"/>
              </w:rPr>
            </w:pPr>
            <w:r>
              <w:rPr>
                <w:rFonts w:ascii="Arial" w:cs="Arial" w:eastAsia="Arial" w:hAnsi="Arial"/>
                <w:sz w:val="16"/>
                <w:szCs w:val="16"/>
                <w:b w:val="1"/>
                <w:bCs w:val="1"/>
                <w:color w:val="auto"/>
              </w:rPr>
              <w:t>Total Assets as of June 30, 2020</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7,416,337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5,033,297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7,320,308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19,769,942</w:t>
            </w:r>
          </w:p>
        </w:tc>
      </w:tr>
      <w:tr>
        <w:trPr>
          <w:trHeight w:val="73"/>
        </w:trPr>
        <w:tc>
          <w:tcPr>
            <w:tcW w:w="45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50"/>
        </w:trPr>
        <w:tc>
          <w:tcPr>
            <w:tcW w:w="45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6"/>
                <w:szCs w:val="16"/>
                <w:b w:val="1"/>
                <w:bCs w:val="1"/>
                <w:color w:val="auto"/>
              </w:rPr>
              <w:t xml:space="preserve">Six Months Ended June 30, 2019 </w:t>
            </w:r>
            <w:r>
              <w:rPr>
                <w:rFonts w:ascii="Arial" w:cs="Arial" w:eastAsia="Arial" w:hAnsi="Arial"/>
                <w:sz w:val="21"/>
                <w:szCs w:val="21"/>
                <w:b w:val="1"/>
                <w:bCs w:val="1"/>
                <w:color w:val="auto"/>
                <w:vertAlign w:val="superscript"/>
              </w:rPr>
              <w:t>1</w:t>
            </w:r>
          </w:p>
        </w:tc>
        <w:tc>
          <w:tcPr>
            <w:tcW w:w="1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153,415</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92,993</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2,526</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248,934</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13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4,750</w:t>
            </w:r>
          </w:p>
        </w:tc>
        <w:tc>
          <w:tcPr>
            <w:tcW w:w="3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1,271</w:t>
            </w:r>
          </w:p>
        </w:tc>
        <w:tc>
          <w:tcPr>
            <w:tcW w:w="3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979</w:t>
            </w:r>
          </w:p>
        </w:tc>
        <w:tc>
          <w:tcPr>
            <w:tcW w:w="28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7,000</w:t>
            </w:r>
          </w:p>
        </w:tc>
      </w:tr>
      <w:tr>
        <w:trPr>
          <w:trHeight w:val="33"/>
        </w:trPr>
        <w:tc>
          <w:tcPr>
            <w:tcW w:w="4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1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148,665</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91,722</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1,547</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241,934</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13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70,445</w:t>
            </w:r>
          </w:p>
        </w:tc>
        <w:tc>
          <w:tcPr>
            <w:tcW w:w="3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13,999</w:t>
            </w:r>
          </w:p>
        </w:tc>
        <w:tc>
          <w:tcPr>
            <w:tcW w:w="3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4,685</w:t>
            </w:r>
          </w:p>
        </w:tc>
        <w:tc>
          <w:tcPr>
            <w:tcW w:w="28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89,129</w:t>
            </w:r>
          </w:p>
        </w:tc>
      </w:tr>
      <w:tr>
        <w:trPr>
          <w:trHeight w:val="33"/>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1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(137,970)</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(42,215)</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(5,597)</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(185,782)</w:t>
            </w:r>
          </w:p>
        </w:tc>
      </w:tr>
      <w:tr>
        <w:trPr>
          <w:trHeight w:val="230"/>
        </w:trPr>
        <w:tc>
          <w:tcPr>
            <w:tcW w:w="45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1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81,140</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63,506</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635</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145,281</w:t>
            </w:r>
          </w:p>
        </w:tc>
      </w:tr>
      <w:tr>
        <w:trPr>
          <w:trHeight w:val="33"/>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(20,239)</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(13,947)</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4,623</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(29,563)</w:t>
            </w:r>
          </w:p>
        </w:tc>
      </w:tr>
      <w:tr>
        <w:trPr>
          <w:trHeight w:val="230"/>
        </w:trPr>
        <w:tc>
          <w:tcPr>
            <w:tcW w:w="45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Income</w:t>
            </w:r>
          </w:p>
        </w:tc>
        <w:tc>
          <w:tcPr>
            <w:tcW w:w="13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60,901</w:t>
            </w:r>
          </w:p>
        </w:tc>
        <w:tc>
          <w:tcPr>
            <w:tcW w:w="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49,559</w:t>
            </w:r>
          </w:p>
        </w:tc>
        <w:tc>
          <w:tcPr>
            <w:tcW w:w="3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5,258</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115,718</w:t>
            </w:r>
          </w:p>
        </w:tc>
      </w:tr>
      <w:tr>
        <w:trPr>
          <w:trHeight w:val="73"/>
        </w:trPr>
        <w:tc>
          <w:tcPr>
            <w:tcW w:w="45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51"/>
        </w:trPr>
        <w:tc>
          <w:tcPr>
            <w:tcW w:w="4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Total Assets as of June 30, 2019 </w:t>
            </w:r>
            <w:r>
              <w:rPr>
                <w:rFonts w:ascii="Arial" w:cs="Arial" w:eastAsia="Arial" w:hAnsi="Arial"/>
                <w:sz w:val="21"/>
                <w:szCs w:val="21"/>
                <w:b w:val="1"/>
                <w:bCs w:val="1"/>
                <w:color w:val="auto"/>
                <w:vertAlign w:val="superscript"/>
              </w:rPr>
              <w:t>1</w:t>
            </w: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6,924,338</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4,089,452</w:t>
            </w:r>
          </w:p>
        </w:tc>
        <w:tc>
          <w:tcPr>
            <w:tcW w:w="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6,675,055</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17,688,845</w:t>
            </w: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80" w:hanging="72"/>
        <w:spacing w:after="0"/>
        <w:tabs>
          <w:tab w:leader="none" w:pos="80" w:val="left"/>
        </w:tabs>
        <w:numPr>
          <w:ilvl w:val="0"/>
          <w:numId w:val="20"/>
        </w:numPr>
        <w:rPr>
          <w:rFonts w:ascii="Arial" w:cs="Arial" w:eastAsia="Arial" w:hAnsi="Arial"/>
          <w:sz w:val="9"/>
          <w:szCs w:val="9"/>
          <w:color w:val="auto"/>
        </w:rPr>
      </w:pPr>
      <w:r>
        <w:rPr>
          <w:rFonts w:ascii="Arial" w:cs="Arial" w:eastAsia="Arial" w:hAnsi="Arial"/>
          <w:sz w:val="14"/>
          <w:szCs w:val="14"/>
          <w:color w:val="auto"/>
        </w:rPr>
        <w:t>Certain prior period information has been reclassified to conform to current presentation.</w:t>
      </w:r>
    </w:p>
    <w:p>
      <w:pPr>
        <w:sectPr>
          <w:pgSz w:w="11900" w:h="16838" w:orient="portrait"/>
          <w:cols w:equalWidth="0" w:num="1">
            <w:col w:w="11240"/>
          </w:cols>
          <w:pgMar w:left="320" w:top="130" w:right="3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130" w:right="33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Pension Plans and Postretirement Benefit Plan</w:t>
      </w:r>
    </w:p>
    <w:p>
      <w:pPr>
        <w:spacing w:after="0" w:line="1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Components of net periodic benefit cost for the Company’s pension plans and the postretirement benefit plan are presented in the following table for the three and six months ended June 30, 2020, and June 30, 2019.</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Pension Benefits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Arial" w:cs="Arial" w:eastAsia="Arial" w:hAnsi="Arial"/>
                <w:sz w:val="16"/>
                <w:szCs w:val="16"/>
                <w:b w:val="1"/>
                <w:bCs w:val="1"/>
                <w:color w:val="auto"/>
              </w:rPr>
              <w:t>Postretirement Benefits</w:t>
            </w:r>
          </w:p>
        </w:tc>
        <w:tc>
          <w:tcPr>
            <w:tcW w:w="54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8"/>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2020</w:t>
            </w:r>
          </w:p>
        </w:tc>
        <w:tc>
          <w:tcPr>
            <w:tcW w:w="9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2019</w:t>
            </w:r>
          </w:p>
        </w:tc>
      </w:tr>
      <w:tr>
        <w:trPr>
          <w:trHeight w:val="249"/>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152</w:t>
            </w:r>
          </w:p>
        </w:tc>
        <w:tc>
          <w:tcPr>
            <w:tcW w:w="92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117</w:t>
            </w:r>
          </w:p>
        </w:tc>
      </w:tr>
      <w:tr>
        <w:trPr>
          <w:trHeight w:val="33"/>
        </w:trPr>
        <w:tc>
          <w:tcPr>
            <w:tcW w:w="5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900</w:t>
            </w: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1,093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231</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257</w:t>
            </w: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Expected Return on Plan Assets</w:t>
            </w:r>
          </w:p>
        </w:tc>
        <w:tc>
          <w:tcPr>
            <w:tcW w:w="480" w:type="dxa"/>
            <w:vAlign w:val="bottom"/>
          </w:tcPr>
          <w:p>
            <w:pPr>
              <w:spacing w:after="0"/>
              <w:rPr>
                <w:sz w:val="20"/>
                <w:szCs w:val="20"/>
                <w:color w:val="auto"/>
              </w:rPr>
            </w:pPr>
          </w:p>
        </w:tc>
        <w:tc>
          <w:tcPr>
            <w:tcW w:w="1000" w:type="dxa"/>
            <w:vAlign w:val="bottom"/>
          </w:tcPr>
          <w:p>
            <w:pPr>
              <w:jc w:val="right"/>
              <w:ind w:right="98"/>
              <w:spacing w:after="0"/>
              <w:rPr>
                <w:sz w:val="20"/>
                <w:szCs w:val="20"/>
                <w:color w:val="auto"/>
              </w:rPr>
            </w:pPr>
            <w:r>
              <w:rPr>
                <w:rFonts w:ascii="Arial" w:cs="Arial" w:eastAsia="Arial" w:hAnsi="Arial"/>
                <w:sz w:val="16"/>
                <w:szCs w:val="16"/>
                <w:color w:val="auto"/>
              </w:rPr>
              <w:t>(1,258)</w:t>
            </w:r>
          </w:p>
        </w:tc>
        <w:tc>
          <w:tcPr>
            <w:tcW w:w="7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(1,249)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5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180" w:type="dxa"/>
            <w:vAlign w:val="bottom"/>
          </w:tcPr>
          <w:p>
            <w:pPr>
              <w:ind w:left="180"/>
              <w:spacing w:after="0"/>
              <w:rPr>
                <w:sz w:val="20"/>
                <w:szCs w:val="20"/>
                <w:color w:val="auto"/>
              </w:rPr>
            </w:pPr>
            <w:r>
              <w:rPr>
                <w:rFonts w:ascii="Arial" w:cs="Arial" w:eastAsia="Arial" w:hAnsi="Arial"/>
                <w:sz w:val="16"/>
                <w:szCs w:val="16"/>
                <w:color w:val="auto"/>
              </w:rPr>
              <w:t>Prior Service Credit</w:t>
            </w:r>
          </w:p>
        </w:tc>
        <w:tc>
          <w:tcPr>
            <w:tcW w:w="480" w:type="dxa"/>
            <w:vAlign w:val="bottom"/>
          </w:tcPr>
          <w:p>
            <w:pPr>
              <w:spacing w:after="0"/>
              <w:rPr>
                <w:sz w:val="20"/>
                <w:szCs w:val="20"/>
                <w:color w:val="auto"/>
              </w:rPr>
            </w:pPr>
          </w:p>
        </w:tc>
        <w:tc>
          <w:tcPr>
            <w:tcW w:w="100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60" w:type="dxa"/>
            <w:vAlign w:val="bottom"/>
          </w:tcPr>
          <w:p>
            <w:pPr>
              <w:jc w:val="right"/>
              <w:ind w:right="58"/>
              <w:spacing w:after="0"/>
              <w:rPr>
                <w:sz w:val="20"/>
                <w:szCs w:val="20"/>
                <w:color w:val="auto"/>
              </w:rPr>
            </w:pPr>
            <w:r>
              <w:rPr>
                <w:rFonts w:ascii="Arial" w:cs="Arial" w:eastAsia="Arial" w:hAnsi="Arial"/>
                <w:sz w:val="16"/>
                <w:szCs w:val="16"/>
                <w:color w:val="auto"/>
              </w:rPr>
              <w:t>(62)</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33"/>
        </w:trPr>
        <w:tc>
          <w:tcPr>
            <w:tcW w:w="5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5"/>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Actuarial Losses (Gains)</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571</w:t>
            </w:r>
          </w:p>
        </w:tc>
        <w:tc>
          <w:tcPr>
            <w:tcW w:w="7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484</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31"/>
        </w:trPr>
        <w:tc>
          <w:tcPr>
            <w:tcW w:w="5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color w:val="auto"/>
              </w:rPr>
              <w:t>213</w:t>
            </w:r>
          </w:p>
        </w:tc>
        <w:tc>
          <w:tcPr>
            <w:tcW w:w="7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328</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rPr>
              <w:t>321</w:t>
            </w:r>
          </w:p>
        </w:tc>
        <w:tc>
          <w:tcPr>
            <w:tcW w:w="920" w:type="dxa"/>
            <w:vAlign w:val="bottom"/>
            <w:tcBorders>
              <w:top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224</w:t>
            </w:r>
          </w:p>
        </w:tc>
      </w:tr>
      <w:tr>
        <w:trPr>
          <w:trHeight w:val="73"/>
        </w:trPr>
        <w:tc>
          <w:tcPr>
            <w:tcW w:w="5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r>
      <w:tr>
        <w:trPr>
          <w:trHeight w:val="251"/>
        </w:trPr>
        <w:tc>
          <w:tcPr>
            <w:tcW w:w="5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3"/>
        </w:trPr>
        <w:tc>
          <w:tcPr>
            <w:tcW w:w="5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303</w:t>
            </w:r>
          </w:p>
        </w:tc>
        <w:tc>
          <w:tcPr>
            <w:tcW w:w="9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235</w:t>
            </w: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480" w:type="dxa"/>
            <w:vAlign w:val="bottom"/>
          </w:tcPr>
          <w:p>
            <w:pPr>
              <w:spacing w:after="0"/>
              <w:rPr>
                <w:sz w:val="20"/>
                <w:szCs w:val="20"/>
                <w:color w:val="auto"/>
              </w:rPr>
            </w:pPr>
          </w:p>
        </w:tc>
        <w:tc>
          <w:tcPr>
            <w:tcW w:w="1000" w:type="dxa"/>
            <w:vAlign w:val="bottom"/>
          </w:tcPr>
          <w:p>
            <w:pPr>
              <w:jc w:val="right"/>
              <w:ind w:right="138"/>
              <w:spacing w:after="0"/>
              <w:rPr>
                <w:sz w:val="20"/>
                <w:szCs w:val="20"/>
                <w:color w:val="auto"/>
              </w:rPr>
            </w:pPr>
            <w:r>
              <w:rPr>
                <w:rFonts w:ascii="Arial" w:cs="Arial" w:eastAsia="Arial" w:hAnsi="Arial"/>
                <w:sz w:val="16"/>
                <w:szCs w:val="16"/>
                <w:color w:val="auto"/>
              </w:rPr>
              <w:t>1,800</w:t>
            </w:r>
          </w:p>
        </w:tc>
        <w:tc>
          <w:tcPr>
            <w:tcW w:w="76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Arial" w:cs="Arial" w:eastAsia="Arial" w:hAnsi="Arial"/>
                <w:sz w:val="16"/>
                <w:szCs w:val="16"/>
                <w:color w:val="auto"/>
              </w:rPr>
              <w:t>2,187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462</w:t>
            </w:r>
          </w:p>
        </w:tc>
        <w:tc>
          <w:tcPr>
            <w:tcW w:w="92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515</w:t>
            </w:r>
          </w:p>
        </w:tc>
      </w:tr>
      <w:tr>
        <w:trPr>
          <w:trHeight w:val="33"/>
        </w:trPr>
        <w:tc>
          <w:tcPr>
            <w:tcW w:w="5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(2,516)</w:t>
            </w: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(2,498)</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Amortization of:</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3"/>
        </w:trPr>
        <w:tc>
          <w:tcPr>
            <w:tcW w:w="5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Prior Service Credit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(123)</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37"/>
        </w:trPr>
        <w:tc>
          <w:tcPr>
            <w:tcW w:w="5180" w:type="dxa"/>
            <w:vAlign w:val="bottom"/>
          </w:tcPr>
          <w:p>
            <w:pPr>
              <w:ind w:left="180"/>
              <w:spacing w:after="0"/>
              <w:rPr>
                <w:sz w:val="20"/>
                <w:szCs w:val="20"/>
                <w:color w:val="auto"/>
              </w:rPr>
            </w:pPr>
            <w:r>
              <w:rPr>
                <w:rFonts w:ascii="Arial" w:cs="Arial" w:eastAsia="Arial" w:hAnsi="Arial"/>
                <w:sz w:val="16"/>
                <w:szCs w:val="16"/>
                <w:color w:val="auto"/>
              </w:rPr>
              <w:t>Net Actuarial Losses (Gains)</w:t>
            </w:r>
          </w:p>
        </w:tc>
        <w:tc>
          <w:tcPr>
            <w:tcW w:w="480" w:type="dxa"/>
            <w:vAlign w:val="bottom"/>
          </w:tcPr>
          <w:p>
            <w:pPr>
              <w:spacing w:after="0"/>
              <w:rPr>
                <w:sz w:val="20"/>
                <w:szCs w:val="20"/>
                <w:color w:val="auto"/>
              </w:rPr>
            </w:pPr>
          </w:p>
        </w:tc>
        <w:tc>
          <w:tcPr>
            <w:tcW w:w="1000" w:type="dxa"/>
            <w:vAlign w:val="bottom"/>
          </w:tcPr>
          <w:p>
            <w:pPr>
              <w:jc w:val="right"/>
              <w:ind w:right="138"/>
              <w:spacing w:after="0"/>
              <w:rPr>
                <w:sz w:val="20"/>
                <w:szCs w:val="20"/>
                <w:color w:val="auto"/>
              </w:rPr>
            </w:pPr>
            <w:r>
              <w:rPr>
                <w:rFonts w:ascii="Arial" w:cs="Arial" w:eastAsia="Arial" w:hAnsi="Arial"/>
                <w:sz w:val="16"/>
                <w:szCs w:val="16"/>
                <w:color w:val="auto"/>
              </w:rPr>
              <w:t>1,141</w:t>
            </w:r>
          </w:p>
        </w:tc>
        <w:tc>
          <w:tcPr>
            <w:tcW w:w="76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Arial" w:cs="Arial" w:eastAsia="Arial" w:hAnsi="Arial"/>
                <w:sz w:val="16"/>
                <w:szCs w:val="16"/>
                <w:color w:val="auto"/>
              </w:rPr>
              <w:t>968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33"/>
        </w:trPr>
        <w:tc>
          <w:tcPr>
            <w:tcW w:w="5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8"/>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425</w:t>
            </w:r>
          </w:p>
        </w:tc>
        <w:tc>
          <w:tcPr>
            <w:tcW w:w="7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657</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642</w:t>
            </w:r>
          </w:p>
        </w:tc>
        <w:tc>
          <w:tcPr>
            <w:tcW w:w="9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450</w:t>
            </w:r>
          </w:p>
        </w:tc>
      </w:tr>
      <w:tr>
        <w:trPr>
          <w:trHeight w:val="20"/>
        </w:trPr>
        <w:tc>
          <w:tcPr>
            <w:tcW w:w="5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service cost component of net periodic benefit cost is included in salaries and benefits and all other components of net periodic benefit cost are included in other noninterest expense in the consolidated statements of income for the Company’s pension plans and postretirement benefit plan. For the three and six months ended June 30, 2020, the Company contributed $0.1 million and $0.2 million, respectively, to the pension plans and $0.2 million and $0.5 million, respectively, to the postretirement benefit plan. The Company expects to contribute a total of $0.4 million to the pension plans and $1.0 million to the postretirement benefit plan for the year ending December 31, 2020.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30" w:right="3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notional amount and fair value of the Company’s derivative financial instruments as of June 30, 2020, and December 31, 2019,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June 30, 2020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2019</w:t>
            </w:r>
          </w:p>
        </w:tc>
        <w:tc>
          <w:tcPr>
            <w:tcW w:w="920" w:type="dxa"/>
            <w:vAlign w:val="bottom"/>
          </w:tcPr>
          <w:p>
            <w:pPr>
              <w:spacing w:after="0"/>
              <w:rPr>
                <w:sz w:val="18"/>
                <w:szCs w:val="18"/>
                <w:color w:val="auto"/>
              </w:rPr>
            </w:pPr>
          </w:p>
        </w:tc>
      </w:tr>
      <w:tr>
        <w:trPr>
          <w:trHeight w:val="33"/>
        </w:trPr>
        <w:tc>
          <w:tcPr>
            <w:tcW w:w="440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84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b w:val="1"/>
                <w:bCs w:val="1"/>
                <w:color w:val="auto"/>
              </w:rPr>
              <w:t>Notional Amount</w:t>
            </w: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Fair Value</w:t>
            </w:r>
          </w:p>
        </w:tc>
        <w:tc>
          <w:tcPr>
            <w:tcW w:w="1780" w:type="dxa"/>
            <w:vAlign w:val="bottom"/>
            <w:tcBorders>
              <w:bottom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Notional Amount</w:t>
            </w: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7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49,890</w:t>
            </w:r>
          </w:p>
        </w:tc>
        <w:tc>
          <w:tcPr>
            <w:tcW w:w="5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48,677</w:t>
            </w:r>
          </w:p>
        </w:tc>
        <w:tc>
          <w:tcPr>
            <w:tcW w:w="6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1,280</w:t>
            </w:r>
          </w:p>
        </w:tc>
      </w:tr>
      <w:tr>
        <w:trPr>
          <w:trHeight w:val="237"/>
        </w:trPr>
        <w:tc>
          <w:tcPr>
            <w:tcW w:w="440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70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62,039</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82,735</w:t>
            </w: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33"/>
        </w:trPr>
        <w:tc>
          <w:tcPr>
            <w:tcW w:w="4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400" w:type="dxa"/>
            <w:vAlign w:val="bottom"/>
          </w:tcPr>
          <w:p>
            <w:pPr>
              <w:ind w:left="280"/>
              <w:spacing w:after="0"/>
              <w:rPr>
                <w:sz w:val="20"/>
                <w:szCs w:val="20"/>
                <w:color w:val="auto"/>
              </w:rPr>
            </w:pPr>
            <w:r>
              <w:rPr>
                <w:rFonts w:ascii="Arial" w:cs="Arial" w:eastAsia="Arial" w:hAnsi="Arial"/>
                <w:sz w:val="16"/>
                <w:szCs w:val="16"/>
                <w:color w:val="auto"/>
              </w:rPr>
              <w:t>Receive Fixed/Pay Variable Swaps</w:t>
            </w:r>
          </w:p>
        </w:tc>
        <w:tc>
          <w:tcPr>
            <w:tcW w:w="70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1,132,329</w:t>
            </w:r>
          </w:p>
        </w:tc>
        <w:tc>
          <w:tcPr>
            <w:tcW w:w="5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106,602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802,389</w:t>
            </w:r>
          </w:p>
        </w:tc>
        <w:tc>
          <w:tcPr>
            <w:tcW w:w="6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26,070</w:t>
            </w:r>
          </w:p>
        </w:tc>
      </w:tr>
      <w:tr>
        <w:trPr>
          <w:trHeight w:val="33"/>
        </w:trPr>
        <w:tc>
          <w:tcPr>
            <w:tcW w:w="4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 Fixed/Receive Variable Swaps</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1,132,329</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(20,263)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802,389</w:t>
            </w: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(4,777)</w:t>
            </w:r>
          </w:p>
        </w:tc>
      </w:tr>
      <w:tr>
        <w:trPr>
          <w:trHeight w:val="237"/>
        </w:trPr>
        <w:tc>
          <w:tcPr>
            <w:tcW w:w="440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70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90,045</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85,499</w:t>
            </w:r>
          </w:p>
        </w:tc>
        <w:tc>
          <w:tcPr>
            <w:tcW w:w="6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163</w:t>
            </w:r>
          </w:p>
        </w:tc>
      </w:tr>
      <w:tr>
        <w:trPr>
          <w:trHeight w:val="33"/>
        </w:trPr>
        <w:tc>
          <w:tcPr>
            <w:tcW w:w="4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Conversion Rate Swap Agreement</w:t>
            </w:r>
          </w:p>
        </w:tc>
        <w:tc>
          <w:tcPr>
            <w:tcW w:w="7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117,710</w:t>
            </w:r>
          </w:p>
        </w:tc>
        <w:tc>
          <w:tcPr>
            <w:tcW w:w="5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114,499</w:t>
            </w:r>
          </w:p>
        </w:tc>
        <w:tc>
          <w:tcPr>
            <w:tcW w:w="6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4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their fair values, and their location in the consolidated statements of condition as of June 30, 2020, and December 31,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w:t>
            </w:r>
          </w:p>
        </w:tc>
        <w:tc>
          <w:tcPr>
            <w:tcW w:w="220" w:type="dxa"/>
            <w:vAlign w:val="bottom"/>
          </w:tcPr>
          <w:p>
            <w:pPr>
              <w:spacing w:after="0"/>
              <w:rPr>
                <w:sz w:val="18"/>
                <w:szCs w:val="18"/>
                <w:color w:val="auto"/>
              </w:rPr>
            </w:pPr>
          </w:p>
        </w:tc>
        <w:tc>
          <w:tcPr>
            <w:tcW w:w="2740" w:type="dxa"/>
            <w:vAlign w:val="bottom"/>
            <w:gridSpan w:val="4"/>
          </w:tcPr>
          <w:p>
            <w:pPr>
              <w:ind w:left="700"/>
              <w:spacing w:after="0"/>
              <w:rPr>
                <w:sz w:val="20"/>
                <w:szCs w:val="20"/>
                <w:color w:val="auto"/>
              </w:rPr>
            </w:pPr>
            <w:r>
              <w:rPr>
                <w:rFonts w:ascii="Arial" w:cs="Arial" w:eastAsia="Arial" w:hAnsi="Arial"/>
                <w:sz w:val="16"/>
                <w:szCs w:val="16"/>
                <w:b w:val="1"/>
                <w:bCs w:val="1"/>
                <w:color w:val="auto"/>
              </w:rPr>
              <w:t>June 30, 2020</w:t>
            </w:r>
          </w:p>
        </w:tc>
        <w:tc>
          <w:tcPr>
            <w:tcW w:w="220" w:type="dxa"/>
            <w:vAlign w:val="bottom"/>
          </w:tcPr>
          <w:p>
            <w:pPr>
              <w:spacing w:after="0"/>
              <w:rPr>
                <w:sz w:val="18"/>
                <w:szCs w:val="18"/>
                <w:color w:val="auto"/>
              </w:rPr>
            </w:pPr>
          </w:p>
        </w:tc>
        <w:tc>
          <w:tcPr>
            <w:tcW w:w="242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90"/>
        </w:trPr>
        <w:tc>
          <w:tcPr>
            <w:tcW w:w="5640" w:type="dxa"/>
            <w:vAlign w:val="bottom"/>
          </w:tcPr>
          <w:p>
            <w:pPr>
              <w:ind w:left="200"/>
              <w:spacing w:after="0"/>
              <w:rPr>
                <w:sz w:val="20"/>
                <w:szCs w:val="20"/>
                <w:color w:val="auto"/>
              </w:rPr>
            </w:pPr>
            <w:r>
              <w:rPr>
                <w:rFonts w:ascii="Arial" w:cs="Arial" w:eastAsia="Arial" w:hAnsi="Arial"/>
                <w:sz w:val="16"/>
                <w:szCs w:val="16"/>
                <w:b w:val="1"/>
                <w:bCs w:val="1"/>
                <w:color w:val="auto"/>
              </w:rPr>
              <w:t xml:space="preserve">Not Designated as Hedging Instruments </w:t>
            </w:r>
            <w:r>
              <w:rPr>
                <w:rFonts w:ascii="Arial" w:cs="Arial" w:eastAsia="Arial" w:hAnsi="Arial"/>
                <w:sz w:val="21"/>
                <w:szCs w:val="21"/>
                <w:b w:val="1"/>
                <w:bCs w:val="1"/>
                <w:color w:val="auto"/>
                <w:vertAlign w:val="superscript"/>
              </w:rPr>
              <w:t>1</w:t>
            </w:r>
          </w:p>
        </w:tc>
        <w:tc>
          <w:tcPr>
            <w:tcW w:w="220" w:type="dxa"/>
            <w:vAlign w:val="bottom"/>
          </w:tcPr>
          <w:p>
            <w:pPr>
              <w:spacing w:after="0"/>
              <w:rPr>
                <w:sz w:val="24"/>
                <w:szCs w:val="24"/>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Asset</w:t>
            </w:r>
          </w:p>
        </w:tc>
        <w:tc>
          <w:tcPr>
            <w:tcW w:w="40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Liability</w:t>
            </w:r>
          </w:p>
        </w:tc>
        <w:tc>
          <w:tcPr>
            <w:tcW w:w="220" w:type="dxa"/>
            <w:vAlign w:val="bottom"/>
          </w:tcPr>
          <w:p>
            <w:pPr>
              <w:spacing w:after="0"/>
              <w:rPr>
                <w:sz w:val="24"/>
                <w:szCs w:val="24"/>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rPr>
              <w:t>Asset</w:t>
            </w:r>
          </w:p>
        </w:tc>
        <w:tc>
          <w:tcPr>
            <w:tcW w:w="36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Liability</w:t>
            </w:r>
          </w:p>
        </w:tc>
      </w:tr>
      <w:tr>
        <w:trPr>
          <w:trHeight w:val="237"/>
        </w:trPr>
        <w:tc>
          <w:tcPr>
            <w:tcW w:w="5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Derivatives</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Derivatives</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Derivatives</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Derivatives</w:t>
            </w:r>
          </w:p>
        </w:tc>
      </w:tr>
      <w:tr>
        <w:trPr>
          <w:trHeight w:val="249"/>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2,656</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1,280</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2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394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23</w:t>
            </w:r>
          </w:p>
        </w:tc>
        <w:tc>
          <w:tcPr>
            <w:tcW w:w="3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205</w:t>
            </w:r>
          </w:p>
        </w:tc>
      </w:tr>
      <w:tr>
        <w:trPr>
          <w:trHeight w:val="33"/>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106,648</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20,309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27,344</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6,051</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2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335</w:t>
            </w:r>
          </w:p>
        </w:tc>
        <w:tc>
          <w:tcPr>
            <w:tcW w:w="4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386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284</w:t>
            </w:r>
          </w:p>
        </w:tc>
        <w:tc>
          <w:tcPr>
            <w:tcW w:w="3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5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8"/>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109,640</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21,089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28,931</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6,377</w:t>
            </w:r>
          </w:p>
        </w:tc>
      </w:tr>
      <w:tr>
        <w:trPr>
          <w:trHeight w:val="20"/>
        </w:trPr>
        <w:tc>
          <w:tcPr>
            <w:tcW w:w="5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21"/>
        </w:numPr>
        <w:rPr>
          <w:rFonts w:ascii="Arial" w:cs="Arial" w:eastAsia="Arial" w:hAnsi="Arial"/>
          <w:sz w:val="9"/>
          <w:szCs w:val="9"/>
          <w:color w:val="auto"/>
        </w:rPr>
      </w:pPr>
      <w:r>
        <w:rPr>
          <w:rFonts w:ascii="Arial" w:cs="Arial" w:eastAsia="Arial" w:hAnsi="Arial"/>
          <w:sz w:val="14"/>
          <w:szCs w:val="14"/>
          <w:color w:val="auto"/>
        </w:rPr>
        <w:t>Asset derivatives are included in other assets and liability derivatives are included in other liabilities in the consolidated statements of condition.</w:t>
      </w:r>
    </w:p>
    <w:p>
      <w:pPr>
        <w:spacing w:after="0" w:line="16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and the amount and location of the net gains or losses recognized in the consolidated statements of income for the three and six months ended June 30, 2020, and June 30,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8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Location of</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70"/>
        </w:trPr>
        <w:tc>
          <w:tcPr>
            <w:tcW w:w="360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w:t>
            </w:r>
          </w:p>
        </w:tc>
        <w:tc>
          <w:tcPr>
            <w:tcW w:w="28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Net Gains (Losses)</w:t>
            </w:r>
          </w:p>
        </w:tc>
        <w:tc>
          <w:tcPr>
            <w:tcW w:w="2380" w:type="dxa"/>
            <w:vAlign w:val="bottom"/>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23"/>
                <w:szCs w:val="23"/>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540" w:type="dxa"/>
            <w:vAlign w:val="bottom"/>
          </w:tcPr>
          <w:p>
            <w:pPr>
              <w:spacing w:after="0"/>
              <w:rPr>
                <w:sz w:val="23"/>
                <w:szCs w:val="23"/>
                <w:color w:val="auto"/>
              </w:rPr>
            </w:pPr>
          </w:p>
        </w:tc>
      </w:tr>
      <w:tr>
        <w:trPr>
          <w:trHeight w:val="270"/>
        </w:trPr>
        <w:tc>
          <w:tcPr>
            <w:tcW w:w="3600" w:type="dxa"/>
            <w:vAlign w:val="bottom"/>
          </w:tcPr>
          <w:p>
            <w:pPr>
              <w:ind w:left="200"/>
              <w:spacing w:after="0"/>
              <w:rPr>
                <w:sz w:val="20"/>
                <w:szCs w:val="20"/>
                <w:color w:val="auto"/>
              </w:rPr>
            </w:pPr>
            <w:r>
              <w:rPr>
                <w:rFonts w:ascii="Arial" w:cs="Arial" w:eastAsia="Arial" w:hAnsi="Arial"/>
                <w:sz w:val="16"/>
                <w:szCs w:val="16"/>
                <w:b w:val="1"/>
                <w:bCs w:val="1"/>
                <w:color w:val="auto"/>
              </w:rPr>
              <w:t>Not Designated as Hedging Instruments</w:t>
            </w:r>
          </w:p>
        </w:tc>
        <w:tc>
          <w:tcPr>
            <w:tcW w:w="28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Recognized in the</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540" w:type="dxa"/>
            <w:vAlign w:val="bottom"/>
          </w:tcPr>
          <w:p>
            <w:pPr>
              <w:spacing w:after="0"/>
              <w:rPr>
                <w:sz w:val="23"/>
                <w:szCs w:val="23"/>
                <w:color w:val="auto"/>
              </w:rPr>
            </w:pPr>
          </w:p>
        </w:tc>
      </w:tr>
      <w:tr>
        <w:trPr>
          <w:trHeight w:val="33"/>
        </w:trPr>
        <w:tc>
          <w:tcPr>
            <w:tcW w:w="36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8"/>
        </w:trPr>
        <w:tc>
          <w:tcPr>
            <w:tcW w:w="3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Statements of Income</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2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Mortgage Banking  $</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4,351</w:t>
            </w:r>
          </w:p>
        </w:tc>
        <w:tc>
          <w:tcPr>
            <w:tcW w:w="5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10,654</w:t>
            </w:r>
          </w:p>
        </w:tc>
        <w:tc>
          <w:tcPr>
            <w:tcW w:w="6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5,286</w:t>
            </w:r>
          </w:p>
        </w:tc>
      </w:tr>
      <w:tr>
        <w:trPr>
          <w:trHeight w:val="237"/>
        </w:trPr>
        <w:tc>
          <w:tcPr>
            <w:tcW w:w="360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2820" w:type="dxa"/>
            <w:vAlign w:val="bottom"/>
            <w:gridSpan w:val="2"/>
          </w:tcPr>
          <w:p>
            <w:pPr>
              <w:jc w:val="right"/>
              <w:ind w:right="480"/>
              <w:spacing w:after="0"/>
              <w:rPr>
                <w:sz w:val="20"/>
                <w:szCs w:val="20"/>
                <w:color w:val="auto"/>
              </w:rPr>
            </w:pPr>
            <w:r>
              <w:rPr>
                <w:rFonts w:ascii="Arial" w:cs="Arial" w:eastAsia="Arial" w:hAnsi="Arial"/>
                <w:sz w:val="16"/>
                <w:szCs w:val="16"/>
                <w:color w:val="auto"/>
              </w:rPr>
              <w:t>Mortgage Banking</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(874)</w:t>
            </w: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(1,382)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(3,058)</w:t>
            </w:r>
          </w:p>
        </w:tc>
        <w:tc>
          <w:tcPr>
            <w:tcW w:w="6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0"/>
              </w:rPr>
              <w:t>(1,974)</w:t>
            </w:r>
          </w:p>
        </w:tc>
      </w:tr>
      <w:tr>
        <w:trPr>
          <w:trHeight w:val="33"/>
        </w:trPr>
        <w:tc>
          <w:tcPr>
            <w:tcW w:w="36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282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Other Noninterest Income</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3,029</w:t>
            </w: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9,467</w:t>
            </w: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2,896</w:t>
            </w:r>
          </w:p>
        </w:tc>
      </w:tr>
      <w:tr>
        <w:trPr>
          <w:trHeight w:val="237"/>
        </w:trPr>
        <w:tc>
          <w:tcPr>
            <w:tcW w:w="360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2820" w:type="dxa"/>
            <w:vAlign w:val="bottom"/>
            <w:gridSpan w:val="2"/>
          </w:tcPr>
          <w:p>
            <w:pPr>
              <w:jc w:val="right"/>
              <w:ind w:right="480"/>
              <w:spacing w:after="0"/>
              <w:rPr>
                <w:sz w:val="20"/>
                <w:szCs w:val="20"/>
                <w:color w:val="auto"/>
              </w:rPr>
            </w:pPr>
            <w:r>
              <w:rPr>
                <w:rFonts w:ascii="Arial" w:cs="Arial" w:eastAsia="Arial" w:hAnsi="Arial"/>
                <w:sz w:val="16"/>
                <w:szCs w:val="16"/>
                <w:color w:val="auto"/>
              </w:rPr>
              <w:t>Other Noninterest Income</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223</w:t>
            </w:r>
          </w:p>
        </w:tc>
        <w:tc>
          <w:tcPr>
            <w:tcW w:w="5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1,152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936</w:t>
            </w:r>
          </w:p>
        </w:tc>
        <w:tc>
          <w:tcPr>
            <w:tcW w:w="68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2,066</w:t>
            </w:r>
          </w:p>
        </w:tc>
      </w:tr>
      <w:tr>
        <w:trPr>
          <w:trHeight w:val="33"/>
        </w:trPr>
        <w:tc>
          <w:tcPr>
            <w:tcW w:w="36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9"/>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6,729</w:t>
            </w:r>
          </w:p>
        </w:tc>
        <w:tc>
          <w:tcPr>
            <w:tcW w:w="5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5,091</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17,999</w:t>
            </w:r>
          </w:p>
        </w:tc>
        <w:tc>
          <w:tcPr>
            <w:tcW w:w="6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8,274</w:t>
            </w:r>
          </w:p>
        </w:tc>
      </w:tr>
      <w:tr>
        <w:trPr>
          <w:trHeight w:val="20"/>
        </w:trPr>
        <w:tc>
          <w:tcPr>
            <w:tcW w:w="360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Management has received authorization from the Bank’s Board of Directors to use derivative financial instruments as an end-user in connection with the Bank’s risk management activities and to accommodate the needs of the Bank’s customers. As with any financial instrument, derivative financial instruments have inherent risks. Market risk is defined as the risk of adverse financial impact due to fluctuations in interest rates, foreign exchange rates, and equity prices. Market risks associated with derivative financial instruments are balanced with the expected returns to enhance earnings performance and shareholder value, while limiting the volatility of each. The Company uses various processes to monitor its overall market risk exposure, including sensitivity analysis, value-at-risk calculations, and other methodologies.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Derivative financial instruments are also subject to credit and counterparty risk, which is defined as the risk of financial loss if a borrower or counterparty is either unable or unwilling to repay borrowings or settle transactions in accordance with the underlying contractual terms. Credit and counterparty risks associated with derivative financial instruments are similar to those relating to traditional financial instruments. The Company manages derivative credit and counterparty risk by evaluating the creditworthiness of each borrower or counterparty, adhering to the same credit approval process used for commercial lending activities.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130" w:right="3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of June 30, 2020, and December 31, 2019, the Company did not designate any derivative financial instruments as formal hedging relationships. The Company’s free-standing derivative financial instruments are required to be carried at their fair value on the Company’s consolidated statements of condition. These financial instruments have been limited to interest rate lock commitments (“IRLCs”), forward commitments, interest rate swap agreements, foreign exchange contracts, and conversion rate swap agreements.</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enters into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consolidated statements of income.</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The Company enters into interest rate swap agreements to facilitate the risk management strategies of a small number of commercial banking customers. The Company mitigates the interest rate risk of entering into these agreements by entering into equal and offsetting interest rate swap agreements with third-party financial institutions. The interest rate swap agreements are free-standing derivatives and are recorded at fair value in the Company’s consolidated statements of condition. Fair value changes are recorded in other noninterest income in the Company’s consolidated statements of income. The Company is party to master netting arrangements with its financial institution counterparties; however, the Company does not offset assets and liabilities under these arrangements for financial statement presentation purposes. Collateral, usually in the form of cash or marketable securities, is posted by the counterparty with net liability positions in accordance with contract thresholds. See Note 7 </w:t>
      </w:r>
      <w:r>
        <w:rPr>
          <w:rFonts w:ascii="Arial" w:cs="Arial" w:eastAsia="Arial" w:hAnsi="Arial"/>
          <w:sz w:val="16"/>
          <w:szCs w:val="16"/>
          <w:i w:val="1"/>
          <w:iCs w:val="1"/>
          <w:color w:val="auto"/>
        </w:rPr>
        <w:t>Balance Sheet Offsetting</w:t>
      </w:r>
      <w:r>
        <w:rPr>
          <w:rFonts w:ascii="Arial" w:cs="Arial" w:eastAsia="Arial" w:hAnsi="Arial"/>
          <w:sz w:val="16"/>
          <w:szCs w:val="16"/>
          <w:color w:val="auto"/>
        </w:rPr>
        <w:t xml:space="preserve"> for more information.</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interest rate swap agreements with financial institution counterparties may contain credit-risk-related contingent features tied to a specified credit rating of the Company. Under these provisions, should the Company’s specified rating fall below a particular level (e.g., investment grade), or if the Company no longer obtains the specified rating, the counterparty may require the Company to pledge collateral on an immediate and ongoing basis (subject to the requirement that such swaps are in a net liability position beyond the level specified in the contract), or require immediate settlement of the swap agreement. Other credit-risk-related contingent features may also allow the counterparty to require immediate settlement of the swap agreement if the Company fails to maintain a specified minimum level of capitalization.</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regard to derivative contracts not centrally cleared through a clearinghouse, regulations require collateral to be posted by the party with a net liability position (i.e., the threshold for posting collateral was reduced to zero, subject to certain minimum transfer amounts). The requirements generally applied to new derivative contracts entered into by the Company after March 1, 2017, although certain counterparties may elect to apply lower thresholds to existing contracts.</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Parties to a centrally cleared over-the-counter derivative exchange daily payments that reflect the daily change in value of the derivative. These payments are commonly referred to as variation margin. Historically, variation margin payments have typically been treated as collateral against the derivative position. Effective 2017, the Chicago Mercantile Exchange and LCH.Clearnet Limited (collectively, the “clearinghouses”) amended their rulebooks to legally characterize variation margin payments for over-the-counter derivatives they clear as settlements of the derivatives’ mark-to-market exposure rather than collateral against the exposures. This rule change effectively causes any derivative cleared through one of the clearinghouses to have a fair value that approximates zero on a daily basis. The majority of the Company’s swap agreements executed with third-party financial institutions are now required to be cleared through one of the clearinghouses. The uncleared swap agreements executed with third-party financial institutions will remain subject to the collateral requirements and credit-risk-related contingent features described in the previous paragraphs, and therefore, are not subject to the variation margin rule change. Likewise, the swap agreements executed with the Company’s commercial banking customers will remain uncleared and will also not be subject to the variation margin rule change.</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utilizes foreign exchange contracts to offset risks related to transactions executed on behalf of customers. The foreign exchange contracts are free-standing derivatives which are carried at fair value with changes included in other noninterest income in the Company’s consolidated statements of income.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30" w:right="3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As certain sales of Visa Class B restricted shares were completed, the Company entered into a conversion rate swap agreement with the buyer that requires payment to the buyer in the event Visa further reduces the conversion ratio of Class B into Class A unrestricted common shares. In the event of Visa increasing the conversion ratio, the buyer would be required to make payment to the Company. As of June 30, 2020, and December 31 2019, the conversion rate swap agreement was valued at zero (i.e., no contingent liability recorded) as further reductions to the conversion ratio were deemed neither probable nor reasonably estimable by management. See Note 3 </w:t>
      </w:r>
      <w:r>
        <w:rPr>
          <w:rFonts w:ascii="Arial" w:cs="Arial" w:eastAsia="Arial" w:hAnsi="Arial"/>
          <w:sz w:val="17"/>
          <w:szCs w:val="17"/>
          <w:i w:val="1"/>
          <w:iCs w:val="1"/>
          <w:color w:val="auto"/>
        </w:rPr>
        <w:t>Investment Securities</w:t>
      </w:r>
      <w:r>
        <w:rPr>
          <w:rFonts w:ascii="Arial" w:cs="Arial" w:eastAsia="Arial" w:hAnsi="Arial"/>
          <w:sz w:val="17"/>
          <w:szCs w:val="17"/>
          <w:color w:val="auto"/>
        </w:rPr>
        <w:t xml:space="preserve"> for more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Contingencies, and Guarantees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commitments as of June 30, 2020, and December 31, 2019, were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0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Unfunded Commitments to Extend Credit</w:t>
            </w:r>
          </w:p>
        </w:tc>
        <w:tc>
          <w:tcPr>
            <w:tcW w:w="30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2,646,821</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2,713,937</w:t>
            </w:r>
          </w:p>
        </w:tc>
      </w:tr>
      <w:tr>
        <w:trPr>
          <w:trHeight w:val="237"/>
        </w:trPr>
        <w:tc>
          <w:tcPr>
            <w:tcW w:w="5440" w:type="dxa"/>
            <w:vAlign w:val="bottom"/>
          </w:tcPr>
          <w:p>
            <w:pPr>
              <w:ind w:left="40"/>
              <w:spacing w:after="0"/>
              <w:rPr>
                <w:sz w:val="20"/>
                <w:szCs w:val="20"/>
                <w:color w:val="auto"/>
              </w:rPr>
            </w:pPr>
            <w:r>
              <w:rPr>
                <w:rFonts w:ascii="Arial" w:cs="Arial" w:eastAsia="Arial" w:hAnsi="Arial"/>
                <w:sz w:val="16"/>
                <w:szCs w:val="16"/>
                <w:color w:val="auto"/>
              </w:rPr>
              <w:t>Standby Letters of Credit</w:t>
            </w:r>
          </w:p>
        </w:tc>
        <w:tc>
          <w:tcPr>
            <w:tcW w:w="308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87,950</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81,000</w:t>
            </w:r>
          </w:p>
        </w:tc>
      </w:tr>
      <w:tr>
        <w:trPr>
          <w:trHeight w:val="33"/>
        </w:trPr>
        <w:tc>
          <w:tcPr>
            <w:tcW w:w="54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Letters of Credit</w:t>
            </w:r>
          </w:p>
        </w:tc>
        <w:tc>
          <w:tcPr>
            <w:tcW w:w="30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10,317</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16,981</w:t>
            </w:r>
          </w:p>
        </w:tc>
      </w:tr>
      <w:tr>
        <w:trPr>
          <w:trHeight w:val="231"/>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Credit Commitments</w:t>
            </w:r>
          </w:p>
        </w:tc>
        <w:tc>
          <w:tcPr>
            <w:tcW w:w="308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2,745,088</w:t>
            </w: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2,811,918</w:t>
            </w:r>
          </w:p>
        </w:tc>
      </w:tr>
      <w:tr>
        <w:trPr>
          <w:trHeight w:val="33"/>
        </w:trPr>
        <w:tc>
          <w:tcPr>
            <w:tcW w:w="54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 to Extend Credit</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Standby and Commercial Letters of Credit</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 to a third-party. Standby letters of credit generally become payable upon the failure of the customer to perform according to the terms of the underlying contract with the third-party,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third-party under a standby letter of credit, and generally holds cash or deposits as collateral on those standby letters of credit for which collateral is deemed necessary.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September 9, 2016, a purported class action lawsuit was filed by a Bank customer primarily alleging the Bank’s practice of determining whether consumer deposit accounts were overdrawn based on “available balance” (which deducts debit card transactions that have taken place but which have not yet been posted) was not properly applied or disclosed to customers. On October 16, 2019, the Bank reached a tentative settlement with the named plaintiff, subject to documentation and court approvals. The settlement provides for forgiveness of certain related and previously charged off overdraft fees, and a payment by the Company of $8.0 million into a class settlement fund the proceeds of which will be used to refund class members, and to pay attorneys’ fees, administrative and other costs, in exchange for a complete release of all claims asserted against the Company. On March 12, 2020, the court granted preliminary approval of the settlement. As a result, the Company recorded an $8.0 million liability reserve relating to this claim. A court hearing for final approval of the settlement was held on July 23, 2020. The judge indicated he approved all substantive and procedural terms of the settlement; however, the judge declined to issue the approval order until the Class Action Fairness Act (CAFA) notice period expires on September 25, 2020. No payments in settlement of this claim will be made prior to this date.</w:t>
      </w:r>
    </w:p>
    <w:p>
      <w:pPr>
        <w:spacing w:after="0" w:line="18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June 2, 2020, Aloha Accounting and Tax LLC filed a lawsuit (seeking class action status) against the Bank, First Hawaiian Bank, American Savings Bank, Central Pacific Bank, and Kabbage Inc. (collectively, the “Defendants”) alleging that the Defendants did not pay agent fees owed under the CARES Act PPP. An amended complaint was filed on June 23, 2020, adding Bank of America as a co-defendant. Counsel for Aloha Accounting and Tax LLC has brought similar lawsuits against banks across the country and is seeking to consolidate the cases in a Multidistrict Litigation (MDL) in Arizona federal court. A hearing before the MDL Panel in Washington DC is set for July 30, 2020.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30" w:right="3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to the litigation noted above, the Company is subject to various other pending and threatened legal proceedings arising out of the normal course of business or operations. On at least a quarterly basis, the Company assesses its liabilities and contingencies in connection with outstanding legal proceedings using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Representation and Warranty Provisions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sells residential mortgage loans in the secondary market primarily to the Federal National Mortgage Association (“Fannie Mae”). The Company also pools Federal Housing Administration (“FHA”) insured and U.S. Department of Veterans Affairs (“VA”) guaranteed residential mortgage loans for sale to the Government National Mortgage Corporation (“Ginnie Mae”). These pools of FHA-insured and VA-guaranteed residential mortgage loans are securitized by Ginnie Mae. The agreements under which the Company sells residential mortgage loans to Fannie Mae or Ginnie Mae and the insurance or guaranty agreements with FHA and VA contain provisions that include various representations and warranties regarding the origination and characteristics of the residential mortgage loans. Although the specific representations and warranties vary among investors, insurance or guarantee agreements, they typically cover ownership of the loan, validity of the lien securing the loan, the absence of delinquent taxes or liens against the property securing the loan, compliance with loan criteria set forth in the applicable agreement, compliance with applicable federal, state, and local laws, and other matters. As of June 30, 2020, the unpaid principal balance of residential mortgage loans sold by the Company was $2.8 billion. The agreements under which the Company sells residential mortgage loans require delivery of various documents to the investor or its document custodian. Although these loans are primarily sold on a non-recourse basis, the Company may be obligated to repurchase residential mortgage loans or reimburse investors for losses incurred if a loan review reveals that underwriting and documentation standards were potentially not met. Some agreements may require the Company to repurchase delinquent loans. Upon receipt of a repurchase request, the Company works with investors or insurers to arrive at a mutually agreeable resolution. Repurchase demands are typically reviewed on an individual loan-by-loan basis to validate the claims made by the investor or insurer and to determine if a contractually required repurchase event has occurred. The Company manages the risk associated with potential repurchases or other forms of settlement through its underwriting and quality assurance practices and by servicing mortgage loans to meet investor and secondary market standards. During the six months ended June 30, 2020, there were no residential mortgage loans repurchased as a result of the representation and warranty provisions contained in the applicable contract. As of June 30, 2020, there was no pending repurchase requests related to representation and warranty provisions.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Relating to Residential Mortgage Loan Servicing Activities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addition to servicing loans in the Company’s portfolio, substantially all of the loans the Company sells to investors are sold with servicing rights retained. The Company also services loans originated by other mortgage loan originators. As servicer, the Company’s primary duties are to: (1) collect payments due from borrowers; (2) advance certain delinquent payments of principal and interest; (3) maintain and administer any hazard, title, or primary mortgage insurance policies relating to the mortgage loans; (4) maintain any required escrow accounts for payment of taxes and insurance and administer escrow payments; and (5) foreclose on defaulted mortgage loans or, to the extent consistent with the documents governing a securitization, consider alternatives to foreclosure, such as loan modifications or short sales. Each agreement under which the Company acts as servicer generally specifies a standard of responsibility for actions taken by the Company in such capacity and provides protection against expenses and liabilities incurred by the Company when acting in compliance with the respective servicing agreements. However, if the Company commits a material breach of obligations as servicer, the Company may be subject to termination if the breach is not cured within a specified period following notice. The standards governing servicing and the possible remedies for violations of such standards vary by investor. These standards and remedies are determined by servicing guides issued by the investors as well as the contract provisions established between the investors and the Company. Remedies could include repurchase of an affected loan. For the six months ended June 30, 2020, there were no loans repurchased related to loan servicing activities. As of June 30, 2020, there were no pending repurchase requests related to loan servicing activities.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130" w:right="37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Although to date repurchase requests related to representation and warranty provisions and servicing activities have been limited, it is possible that requests to repurchase mortgage loans may increase in frequency as investors more aggressively pursue all means of recovering losses on their purchased loans. However, as of June 30, 2020, management believes that this exposure is not material due to the historical level of repurchase requests and loss trends and thus has not established a liability for losses related to mortgage loan repurchases. As of June 30, 2020, 99% of the Company’s residential mortgage loans serviced for investors were current. The Company maintains ongoing communications with investors and continues to evaluate this exposure by monitoring the level and number of repurchase requests as well as the delinquency rates in the loans sold to investors.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of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the principal or most advantageous market for an asset or liability in an orderly transaction between market participants at the measurement date. GAAP established a fair value hierarchy that prioritizes the use of inputs used in valuation methodologies into the following three levels:</w:t>
      </w:r>
    </w:p>
    <w:p>
      <w:pPr>
        <w:spacing w:after="0" w:line="130" w:lineRule="exact"/>
        <w:rPr>
          <w:sz w:val="20"/>
          <w:szCs w:val="20"/>
          <w:color w:val="auto"/>
        </w:rPr>
      </w:pPr>
    </w:p>
    <w:p>
      <w:pPr>
        <w:ind w:left="1480" w:right="600" w:hanging="1038"/>
        <w:spacing w:after="0" w:line="286" w:lineRule="auto"/>
        <w:tabs>
          <w:tab w:leader="none" w:pos="14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Inputs to the valuation methodology are quoted prices, unadjusted, for identical assets or liabilities in active markets. A quoted price in an active market provides the most reliable evidence of fair value and is used to measure fair value whenever available. A contractually binding sales price also provides reliable evidence of fair value.</w:t>
      </w:r>
    </w:p>
    <w:p>
      <w:pPr>
        <w:spacing w:after="0" w:line="200" w:lineRule="exact"/>
        <w:rPr>
          <w:sz w:val="20"/>
          <w:szCs w:val="20"/>
          <w:color w:val="auto"/>
        </w:rPr>
      </w:pPr>
    </w:p>
    <w:p>
      <w:pPr>
        <w:spacing w:after="0" w:line="222" w:lineRule="exact"/>
        <w:rPr>
          <w:sz w:val="20"/>
          <w:szCs w:val="20"/>
          <w:color w:val="auto"/>
        </w:rPr>
      </w:pPr>
    </w:p>
    <w:p>
      <w:pPr>
        <w:ind w:left="1480" w:right="620" w:hanging="1038"/>
        <w:spacing w:after="0" w:line="259" w:lineRule="auto"/>
        <w:tabs>
          <w:tab w:leader="none" w:pos="14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p>
      <w:pPr>
        <w:spacing w:after="0" w:line="200" w:lineRule="exact"/>
        <w:rPr>
          <w:sz w:val="20"/>
          <w:szCs w:val="20"/>
          <w:color w:val="auto"/>
        </w:rPr>
      </w:pPr>
    </w:p>
    <w:p>
      <w:pPr>
        <w:spacing w:after="0" w:line="243" w:lineRule="exact"/>
        <w:rPr>
          <w:sz w:val="20"/>
          <w:szCs w:val="20"/>
          <w:color w:val="auto"/>
        </w:rPr>
      </w:pPr>
    </w:p>
    <w:p>
      <w:pPr>
        <w:ind w:left="1480" w:right="660" w:hanging="1038"/>
        <w:spacing w:after="0" w:line="259" w:lineRule="auto"/>
        <w:tabs>
          <w:tab w:leader="none" w:pos="14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to the valuation methodology are unobservable and significant to the fair value measurement; inputs to the valuation methodology that utilize model-based techniques for which significant assumptions are not observable in the market; or inputs to the valuation methodology that require significant management judgment or estimation, some of which may be internally developed.</w:t>
      </w:r>
    </w:p>
    <w:p>
      <w:pPr>
        <w:spacing w:after="0" w:line="26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some instances, an instrument may fall into multiple levels of the fair value hierarchy. In such instances, the instrument’s level within the fair value hierarchy is based on the lowest of the three levels (with Level 3 being the lowest) that is significant to the fair value measurement. Our assessment of the significance of an input requires judgment and considers factors specific to the instrument.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Available-for-Sale</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Fair values of investment securities available-for-sale were primarily measured using information from a third-party pricing service. This service provides pricing information by utilizing evaluated pricing models supported with market data information. Standard inputs include benchmark yields, reported trades, broker/dealer quotes, issuer spreads, two-sided markets, benchmark securities, bids, offers, and reference data from market research publications. 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issued by government agencies and government-sponsored enterprises. 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third-party broker quotes.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30" w:right="3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 quarterly basis, management reviews the pricing information received from the Company’s third-party pricing service. This review process includes a comparison to a second source. The Company’s third-party pricing service has also established processes for us to submit inquiries regarding quoted prices. Periodically, based on these reviews, the Company will challenge the quoted prices provided by the Company’s third-party pricing service. The Company’s third-party pricing service will review the inputs to the evaluation in light of the new market data presented by us. The Company’s third-party pricing service may then affirm the original quoted price or may update the evaluation on a going-forward basis. Generally, we do not adjust the price from the third-party service provider. On a quarterly basis, management also reviews a sample of securities priced by the Company’s third-party pricing service to review the significant assumptions and valuation methodologies used by the service. The information provided is comprised of market reference data, which may include reported trades; bids, offers, or broker-dealer dealer quotes; benchmark yields and spreads; as well as other reference data as appropriate. Based on this review, management determines whether the current placement of the security in the fair value hierarchy is appropriate or whether transfers may be warranted.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Servicing Rights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Mortgage servicing rights do not trade in an active market with readily observable market data. As a result, the Company estimates the fair value of mortgage servicing rights by using a discounted cash flow model to calculate the present value of estimated future net servicing income. The Company stratifies its mortgage servicing portfolio on the basis of loan type. The assumptions used in the discounted cash flow model are those that the Company believes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Other assets recorded at fair value on a recurring basis are primarily comprised of investments related to deferred compensation arrangements. Quoted prices for these investments, primarily in mutual funds, are available in active markets. Thus, the Company’s investments related to deferred compensation arrangements are classified as Level 1 measurements in the fair value hierarchy.</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130" w:right="3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Derivative financial instruments recorded at fair value on a recurring basis are comprised of IRLCs, forward commitments, interest rate swap agreements, foreign exchange contracts, and Visa Class B to Class A shares conversion rate swap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 The fair values of interest rate swap agreements are calculated using a discounted cash flow approach and utilize Level 2 observable inputs such as a market yield curve, effective date, maturity date, notional amount, and stated interest rate. In addition, the Company includes in its fair value calculation a credit factor adjustment which is based primarily on management judgment. Thus, interest rate swap agreements are classified as a Level 3 measurement. The fair values of foreign exchange contracts are calculated using the Bank’s multi-currency accounting system which utilizes contract specific information such as currency, maturity date, contractual amount, and strike price, along with market data information such as the spot rates of specific currency and yield curves. Foreign exchange contracts are classified as Level 2 measurements because while they are valued using the Bank’s multi-currency accounting system, significant management judgment or estimation is not required.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June 30, 2020, and December 31, 2019, the conversion rate swap agreements were valued at zero as reductions to the conversion ratio were neither probable nor reasonably estimable by management. See Note 12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for more information.</w:t>
      </w:r>
    </w:p>
    <w:p>
      <w:pPr>
        <w:spacing w:after="0" w:line="1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and counterparties that carry high quality credit ratings. Credit risk associated with borrowers or counterparties as well as the Company’s non-performance risk is factored into the determination of the fair value of derivative financial instruments.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30" w:right="35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balances of assets and liabilities measured at fair value on a recurring basis as of June 30, 2020, and December 31,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jc w:val="right"/>
              <w:ind w:right="127"/>
              <w:spacing w:after="0"/>
              <w:rPr>
                <w:sz w:val="20"/>
                <w:szCs w:val="20"/>
                <w:color w:val="auto"/>
              </w:rPr>
            </w:pPr>
            <w:r>
              <w:rPr>
                <w:rFonts w:ascii="Arial" w:cs="Arial" w:eastAsia="Arial" w:hAnsi="Arial"/>
                <w:sz w:val="16"/>
                <w:szCs w:val="16"/>
                <w:b w:val="1"/>
                <w:bCs w:val="1"/>
                <w:color w:val="auto"/>
              </w:rPr>
              <w:t>Quoted Prices</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jc w:val="right"/>
              <w:ind w:right="127"/>
              <w:spacing w:after="0"/>
              <w:rPr>
                <w:sz w:val="20"/>
                <w:szCs w:val="20"/>
                <w:color w:val="auto"/>
              </w:rPr>
            </w:pPr>
            <w:r>
              <w:rPr>
                <w:rFonts w:ascii="Arial" w:cs="Arial" w:eastAsia="Arial" w:hAnsi="Arial"/>
                <w:sz w:val="16"/>
                <w:szCs w:val="16"/>
                <w:b w:val="1"/>
                <w:bCs w:val="1"/>
                <w:color w:val="auto"/>
              </w:rPr>
              <w:t>in Active</w:t>
            </w:r>
          </w:p>
        </w:tc>
        <w:tc>
          <w:tcPr>
            <w:tcW w:w="380" w:type="dxa"/>
            <w:vAlign w:val="bottom"/>
          </w:tcPr>
          <w:p>
            <w:pPr>
              <w:spacing w:after="0"/>
              <w:rPr>
                <w:sz w:val="17"/>
                <w:szCs w:val="17"/>
                <w:color w:val="auto"/>
              </w:rPr>
            </w:pPr>
          </w:p>
        </w:tc>
        <w:tc>
          <w:tcPr>
            <w:tcW w:w="1080" w:type="dxa"/>
            <w:vAlign w:val="bottom"/>
          </w:tcPr>
          <w:p>
            <w:pPr>
              <w:jc w:val="right"/>
              <w:ind w:right="107"/>
              <w:spacing w:after="0"/>
              <w:rPr>
                <w:sz w:val="20"/>
                <w:szCs w:val="20"/>
                <w:color w:val="auto"/>
              </w:rPr>
            </w:pPr>
            <w:r>
              <w:rPr>
                <w:rFonts w:ascii="Arial" w:cs="Arial" w:eastAsia="Arial" w:hAnsi="Arial"/>
                <w:sz w:val="16"/>
                <w:szCs w:val="16"/>
                <w:b w:val="1"/>
                <w:bCs w:val="1"/>
                <w:color w:val="auto"/>
              </w:rPr>
              <w:t>Significant</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jc w:val="right"/>
              <w:ind w:right="127"/>
              <w:spacing w:after="0"/>
              <w:rPr>
                <w:sz w:val="20"/>
                <w:szCs w:val="20"/>
                <w:color w:val="auto"/>
              </w:rPr>
            </w:pPr>
            <w:r>
              <w:rPr>
                <w:rFonts w:ascii="Arial" w:cs="Arial" w:eastAsia="Arial" w:hAnsi="Arial"/>
                <w:sz w:val="16"/>
                <w:szCs w:val="16"/>
                <w:b w:val="1"/>
                <w:bCs w:val="1"/>
                <w:color w:val="auto"/>
              </w:rPr>
              <w:t>Markets for</w:t>
            </w:r>
          </w:p>
        </w:tc>
        <w:tc>
          <w:tcPr>
            <w:tcW w:w="380" w:type="dxa"/>
            <w:vAlign w:val="bottom"/>
          </w:tcPr>
          <w:p>
            <w:pPr>
              <w:spacing w:after="0"/>
              <w:rPr>
                <w:sz w:val="17"/>
                <w:szCs w:val="17"/>
                <w:color w:val="auto"/>
              </w:rPr>
            </w:pPr>
          </w:p>
        </w:tc>
        <w:tc>
          <w:tcPr>
            <w:tcW w:w="1080" w:type="dxa"/>
            <w:vAlign w:val="bottom"/>
          </w:tcPr>
          <w:p>
            <w:pPr>
              <w:jc w:val="right"/>
              <w:ind w:right="107"/>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7"/>
                <w:szCs w:val="17"/>
                <w:color w:val="auto"/>
              </w:rPr>
            </w:pPr>
          </w:p>
        </w:tc>
        <w:tc>
          <w:tcPr>
            <w:tcW w:w="1220" w:type="dxa"/>
            <w:vAlign w:val="bottom"/>
          </w:tcPr>
          <w:p>
            <w:pPr>
              <w:jc w:val="right"/>
              <w:ind w:right="107"/>
              <w:spacing w:after="0"/>
              <w:rPr>
                <w:sz w:val="20"/>
                <w:szCs w:val="20"/>
                <w:color w:val="auto"/>
              </w:rPr>
            </w:pPr>
            <w:r>
              <w:rPr>
                <w:rFonts w:ascii="Arial" w:cs="Arial" w:eastAsia="Arial" w:hAnsi="Arial"/>
                <w:sz w:val="16"/>
                <w:szCs w:val="16"/>
                <w:b w:val="1"/>
                <w:bCs w:val="1"/>
                <w:color w:val="auto"/>
              </w:rPr>
              <w:t>Significant</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jc w:val="right"/>
              <w:ind w:right="127"/>
              <w:spacing w:after="0"/>
              <w:rPr>
                <w:sz w:val="20"/>
                <w:szCs w:val="20"/>
                <w:color w:val="auto"/>
              </w:rPr>
            </w:pPr>
            <w:r>
              <w:rPr>
                <w:rFonts w:ascii="Arial" w:cs="Arial" w:eastAsia="Arial" w:hAnsi="Arial"/>
                <w:sz w:val="16"/>
                <w:szCs w:val="16"/>
                <w:b w:val="1"/>
                <w:bCs w:val="1"/>
                <w:color w:val="auto"/>
                <w:w w:val="95"/>
              </w:rPr>
              <w:t>Identical Assets</w:t>
            </w:r>
          </w:p>
        </w:tc>
        <w:tc>
          <w:tcPr>
            <w:tcW w:w="380" w:type="dxa"/>
            <w:vAlign w:val="bottom"/>
          </w:tcPr>
          <w:p>
            <w:pPr>
              <w:spacing w:after="0"/>
              <w:rPr>
                <w:sz w:val="17"/>
                <w:szCs w:val="17"/>
                <w:color w:val="auto"/>
              </w:rPr>
            </w:pPr>
          </w:p>
        </w:tc>
        <w:tc>
          <w:tcPr>
            <w:tcW w:w="1080" w:type="dxa"/>
            <w:vAlign w:val="bottom"/>
          </w:tcPr>
          <w:p>
            <w:pPr>
              <w:jc w:val="right"/>
              <w:ind w:right="107"/>
              <w:spacing w:after="0"/>
              <w:rPr>
                <w:sz w:val="20"/>
                <w:szCs w:val="20"/>
                <w:color w:val="auto"/>
              </w:rPr>
            </w:pPr>
            <w:r>
              <w:rPr>
                <w:rFonts w:ascii="Arial" w:cs="Arial" w:eastAsia="Arial" w:hAnsi="Arial"/>
                <w:sz w:val="16"/>
                <w:szCs w:val="16"/>
                <w:b w:val="1"/>
                <w:bCs w:val="1"/>
                <w:color w:val="auto"/>
              </w:rPr>
              <w:t>Observable</w:t>
            </w:r>
          </w:p>
        </w:tc>
        <w:tc>
          <w:tcPr>
            <w:tcW w:w="340" w:type="dxa"/>
            <w:vAlign w:val="bottom"/>
          </w:tcPr>
          <w:p>
            <w:pPr>
              <w:spacing w:after="0"/>
              <w:rPr>
                <w:sz w:val="17"/>
                <w:szCs w:val="17"/>
                <w:color w:val="auto"/>
              </w:rPr>
            </w:pPr>
          </w:p>
        </w:tc>
        <w:tc>
          <w:tcPr>
            <w:tcW w:w="1220" w:type="dxa"/>
            <w:vAlign w:val="bottom"/>
          </w:tcPr>
          <w:p>
            <w:pPr>
              <w:jc w:val="right"/>
              <w:ind w:right="107"/>
              <w:spacing w:after="0"/>
              <w:rPr>
                <w:sz w:val="20"/>
                <w:szCs w:val="20"/>
                <w:color w:val="auto"/>
              </w:rPr>
            </w:pPr>
            <w:r>
              <w:rPr>
                <w:rFonts w:ascii="Arial" w:cs="Arial" w:eastAsia="Arial" w:hAnsi="Arial"/>
                <w:sz w:val="16"/>
                <w:szCs w:val="16"/>
                <w:b w:val="1"/>
                <w:bCs w:val="1"/>
                <w:color w:val="auto"/>
                <w:w w:val="96"/>
              </w:rPr>
              <w:t>Unobservable</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jc w:val="right"/>
              <w:ind w:right="127"/>
              <w:spacing w:after="0"/>
              <w:rPr>
                <w:sz w:val="20"/>
                <w:szCs w:val="20"/>
                <w:color w:val="auto"/>
              </w:rPr>
            </w:pPr>
            <w:r>
              <w:rPr>
                <w:rFonts w:ascii="Arial" w:cs="Arial" w:eastAsia="Arial" w:hAnsi="Arial"/>
                <w:sz w:val="16"/>
                <w:szCs w:val="16"/>
                <w:b w:val="1"/>
                <w:bCs w:val="1"/>
                <w:color w:val="auto"/>
              </w:rPr>
              <w:t>or Liabilities</w:t>
            </w:r>
          </w:p>
        </w:tc>
        <w:tc>
          <w:tcPr>
            <w:tcW w:w="380" w:type="dxa"/>
            <w:vAlign w:val="bottom"/>
          </w:tcPr>
          <w:p>
            <w:pPr>
              <w:spacing w:after="0"/>
              <w:rPr>
                <w:sz w:val="18"/>
                <w:szCs w:val="18"/>
                <w:color w:val="auto"/>
              </w:rPr>
            </w:pPr>
          </w:p>
        </w:tc>
        <w:tc>
          <w:tcPr>
            <w:tcW w:w="1080" w:type="dxa"/>
            <w:vAlign w:val="bottom"/>
          </w:tcPr>
          <w:p>
            <w:pPr>
              <w:jc w:val="right"/>
              <w:ind w:right="107"/>
              <w:spacing w:after="0"/>
              <w:rPr>
                <w:sz w:val="20"/>
                <w:szCs w:val="20"/>
                <w:color w:val="auto"/>
              </w:rPr>
            </w:pPr>
            <w:r>
              <w:rPr>
                <w:rFonts w:ascii="Arial" w:cs="Arial" w:eastAsia="Arial" w:hAnsi="Arial"/>
                <w:sz w:val="16"/>
                <w:szCs w:val="16"/>
                <w:b w:val="1"/>
                <w:bCs w:val="1"/>
                <w:color w:val="auto"/>
              </w:rPr>
              <w:t>Inputs</w:t>
            </w:r>
          </w:p>
        </w:tc>
        <w:tc>
          <w:tcPr>
            <w:tcW w:w="340" w:type="dxa"/>
            <w:vAlign w:val="bottom"/>
          </w:tcPr>
          <w:p>
            <w:pPr>
              <w:spacing w:after="0"/>
              <w:rPr>
                <w:sz w:val="18"/>
                <w:szCs w:val="18"/>
                <w:color w:val="auto"/>
              </w:rPr>
            </w:pPr>
          </w:p>
        </w:tc>
        <w:tc>
          <w:tcPr>
            <w:tcW w:w="1220" w:type="dxa"/>
            <w:vAlign w:val="bottom"/>
          </w:tcPr>
          <w:p>
            <w:pPr>
              <w:jc w:val="right"/>
              <w:ind w:right="107"/>
              <w:spacing w:after="0"/>
              <w:rPr>
                <w:sz w:val="20"/>
                <w:szCs w:val="20"/>
                <w:color w:val="auto"/>
              </w:rPr>
            </w:pPr>
            <w:r>
              <w:rPr>
                <w:rFonts w:ascii="Arial" w:cs="Arial" w:eastAsia="Arial" w:hAnsi="Arial"/>
                <w:sz w:val="16"/>
                <w:szCs w:val="16"/>
                <w:b w:val="1"/>
                <w:bCs w:val="1"/>
                <w:color w:val="auto"/>
              </w:rPr>
              <w:t>Inputs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82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660" w:type="dxa"/>
            <w:vAlign w:val="bottom"/>
          </w:tcPr>
          <w:p>
            <w:pPr>
              <w:spacing w:after="0"/>
              <w:rPr>
                <w:sz w:val="22"/>
                <w:szCs w:val="22"/>
                <w:color w:val="auto"/>
              </w:rPr>
            </w:pPr>
          </w:p>
        </w:tc>
        <w:tc>
          <w:tcPr>
            <w:tcW w:w="1380" w:type="dxa"/>
            <w:vAlign w:val="bottom"/>
          </w:tcPr>
          <w:p>
            <w:pPr>
              <w:jc w:val="right"/>
              <w:ind w:right="127"/>
              <w:spacing w:after="0"/>
              <w:rPr>
                <w:sz w:val="20"/>
                <w:szCs w:val="20"/>
                <w:color w:val="auto"/>
              </w:rPr>
            </w:pPr>
            <w:r>
              <w:rPr>
                <w:rFonts w:ascii="Arial" w:cs="Arial" w:eastAsia="Arial" w:hAnsi="Arial"/>
                <w:sz w:val="16"/>
                <w:szCs w:val="16"/>
                <w:b w:val="1"/>
                <w:bCs w:val="1"/>
                <w:color w:val="auto"/>
              </w:rPr>
              <w:t>(Level 1)</w:t>
            </w:r>
          </w:p>
        </w:tc>
        <w:tc>
          <w:tcPr>
            <w:tcW w:w="380" w:type="dxa"/>
            <w:vAlign w:val="bottom"/>
          </w:tcPr>
          <w:p>
            <w:pPr>
              <w:spacing w:after="0"/>
              <w:rPr>
                <w:sz w:val="22"/>
                <w:szCs w:val="22"/>
                <w:color w:val="auto"/>
              </w:rPr>
            </w:pPr>
          </w:p>
        </w:tc>
        <w:tc>
          <w:tcPr>
            <w:tcW w:w="1080" w:type="dxa"/>
            <w:vAlign w:val="bottom"/>
          </w:tcPr>
          <w:p>
            <w:pPr>
              <w:jc w:val="right"/>
              <w:ind w:right="107"/>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22"/>
                <w:szCs w:val="22"/>
                <w:color w:val="auto"/>
              </w:rPr>
            </w:pPr>
          </w:p>
        </w:tc>
        <w:tc>
          <w:tcPr>
            <w:tcW w:w="1220" w:type="dxa"/>
            <w:vAlign w:val="bottom"/>
          </w:tcPr>
          <w:p>
            <w:pPr>
              <w:jc w:val="right"/>
              <w:ind w:right="107"/>
              <w:spacing w:after="0"/>
              <w:rPr>
                <w:sz w:val="20"/>
                <w:szCs w:val="20"/>
                <w:color w:val="auto"/>
              </w:rPr>
            </w:pPr>
            <w:r>
              <w:rPr>
                <w:rFonts w:ascii="Arial" w:cs="Arial" w:eastAsia="Arial" w:hAnsi="Arial"/>
                <w:sz w:val="16"/>
                <w:szCs w:val="16"/>
                <w:b w:val="1"/>
                <w:bCs w:val="1"/>
                <w:color w:val="auto"/>
              </w:rPr>
              <w:t>(Level 3)</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6"/>
        </w:trPr>
        <w:tc>
          <w:tcPr>
            <w:tcW w:w="48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June 30, 2020</w:t>
            </w:r>
          </w:p>
        </w:tc>
        <w:tc>
          <w:tcPr>
            <w:tcW w:w="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82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6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Securities Available-for-Sale</w:t>
            </w: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820" w:type="dxa"/>
            <w:vAlign w:val="bottom"/>
          </w:tcPr>
          <w:p>
            <w:pPr>
              <w:ind w:left="28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820" w:type="dxa"/>
            <w:vAlign w:val="bottom"/>
          </w:tcPr>
          <w:p>
            <w:pPr>
              <w:ind w:left="500"/>
              <w:spacing w:after="0"/>
              <w:rPr>
                <w:sz w:val="20"/>
                <w:szCs w:val="20"/>
                <w:color w:val="auto"/>
              </w:rPr>
            </w:pPr>
            <w:r>
              <w:rPr>
                <w:rFonts w:ascii="Arial" w:cs="Arial" w:eastAsia="Arial" w:hAnsi="Arial"/>
                <w:sz w:val="14"/>
                <w:szCs w:val="14"/>
                <w:color w:val="auto"/>
              </w:rPr>
              <w:t>and Government Agencies</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27"/>
              <w:spacing w:after="0"/>
              <w:rPr>
                <w:sz w:val="20"/>
                <w:szCs w:val="20"/>
                <w:color w:val="auto"/>
              </w:rPr>
            </w:pPr>
            <w:r>
              <w:rPr>
                <w:rFonts w:ascii="Arial" w:cs="Arial" w:eastAsia="Arial" w:hAnsi="Arial"/>
                <w:sz w:val="14"/>
                <w:szCs w:val="14"/>
                <w:color w:val="auto"/>
              </w:rPr>
              <w:t>1,116</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7"/>
              <w:spacing w:after="0"/>
              <w:rPr>
                <w:sz w:val="20"/>
                <w:szCs w:val="20"/>
                <w:color w:val="auto"/>
              </w:rPr>
            </w:pPr>
            <w:r>
              <w:rPr>
                <w:rFonts w:ascii="Arial" w:cs="Arial" w:eastAsia="Arial" w:hAnsi="Arial"/>
                <w:sz w:val="14"/>
                <w:szCs w:val="14"/>
                <w:color w:val="auto"/>
              </w:rPr>
              <w:t>186,833</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187,949</w:t>
            </w: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Debt Securities Issued by States and Political Subdivisions</w:t>
            </w: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55,602</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55,602</w:t>
            </w:r>
          </w:p>
        </w:tc>
        <w:tc>
          <w:tcPr>
            <w:tcW w:w="0" w:type="dxa"/>
            <w:vAlign w:val="bottom"/>
          </w:tcPr>
          <w:p>
            <w:pPr>
              <w:spacing w:after="0"/>
              <w:rPr>
                <w:sz w:val="1"/>
                <w:szCs w:val="1"/>
                <w:color w:val="auto"/>
              </w:rPr>
            </w:pPr>
          </w:p>
        </w:tc>
      </w:tr>
      <w:tr>
        <w:trPr>
          <w:trHeight w:val="264"/>
        </w:trPr>
        <w:tc>
          <w:tcPr>
            <w:tcW w:w="4820" w:type="dxa"/>
            <w:vAlign w:val="bottom"/>
          </w:tcPr>
          <w:p>
            <w:pPr>
              <w:ind w:left="460"/>
              <w:spacing w:after="0"/>
              <w:rPr>
                <w:sz w:val="20"/>
                <w:szCs w:val="20"/>
                <w:color w:val="auto"/>
              </w:rPr>
            </w:pPr>
            <w:r>
              <w:rPr>
                <w:rFonts w:ascii="Arial" w:cs="Arial" w:eastAsia="Arial" w:hAnsi="Arial"/>
                <w:sz w:val="14"/>
                <w:szCs w:val="14"/>
                <w:color w:val="auto"/>
              </w:rPr>
              <w:t>Debt Securities Issued by U.S. Government-Sponsored Enterprises</w:t>
            </w:r>
          </w:p>
        </w:tc>
        <w:tc>
          <w:tcPr>
            <w:tcW w:w="660" w:type="dxa"/>
            <w:vAlign w:val="bottom"/>
          </w:tcPr>
          <w:p>
            <w:pPr>
              <w:spacing w:after="0"/>
              <w:rPr>
                <w:sz w:val="22"/>
                <w:szCs w:val="22"/>
                <w:color w:val="auto"/>
              </w:rPr>
            </w:pPr>
          </w:p>
        </w:tc>
        <w:tc>
          <w:tcPr>
            <w:tcW w:w="138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ind w:right="107"/>
              <w:spacing w:after="0"/>
              <w:rPr>
                <w:sz w:val="20"/>
                <w:szCs w:val="20"/>
                <w:color w:val="auto"/>
              </w:rPr>
            </w:pPr>
            <w:r>
              <w:rPr>
                <w:rFonts w:ascii="Arial" w:cs="Arial" w:eastAsia="Arial" w:hAnsi="Arial"/>
                <w:sz w:val="14"/>
                <w:szCs w:val="14"/>
                <w:color w:val="auto"/>
              </w:rPr>
              <w:t>1,014</w:t>
            </w:r>
          </w:p>
        </w:tc>
        <w:tc>
          <w:tcPr>
            <w:tcW w:w="340" w:type="dxa"/>
            <w:vAlign w:val="bottom"/>
          </w:tcPr>
          <w:p>
            <w:pPr>
              <w:spacing w:after="0"/>
              <w:rPr>
                <w:sz w:val="22"/>
                <w:szCs w:val="22"/>
                <w:color w:val="auto"/>
              </w:rPr>
            </w:pPr>
          </w:p>
        </w:tc>
        <w:tc>
          <w:tcPr>
            <w:tcW w:w="12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1,014</w:t>
            </w: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Debt Securities Issued by Corporations</w:t>
            </w: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225,380</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225,380</w:t>
            </w:r>
          </w:p>
        </w:tc>
        <w:tc>
          <w:tcPr>
            <w:tcW w:w="0" w:type="dxa"/>
            <w:vAlign w:val="bottom"/>
          </w:tcPr>
          <w:p>
            <w:pPr>
              <w:spacing w:after="0"/>
              <w:rPr>
                <w:sz w:val="1"/>
                <w:szCs w:val="1"/>
                <w:color w:val="auto"/>
              </w:rPr>
            </w:pPr>
          </w:p>
        </w:tc>
      </w:tr>
      <w:tr>
        <w:trPr>
          <w:trHeight w:val="264"/>
        </w:trPr>
        <w:tc>
          <w:tcPr>
            <w:tcW w:w="4820" w:type="dxa"/>
            <w:vAlign w:val="bottom"/>
          </w:tcPr>
          <w:p>
            <w:pPr>
              <w:ind w:left="460"/>
              <w:spacing w:after="0"/>
              <w:rPr>
                <w:sz w:val="20"/>
                <w:szCs w:val="20"/>
                <w:color w:val="auto"/>
              </w:rPr>
            </w:pPr>
            <w:r>
              <w:rPr>
                <w:rFonts w:ascii="Arial" w:cs="Arial" w:eastAsia="Arial" w:hAnsi="Arial"/>
                <w:sz w:val="14"/>
                <w:szCs w:val="14"/>
                <w:color w:val="auto"/>
              </w:rPr>
              <w:t>Mortgage-Backed Securities:</w:t>
            </w:r>
          </w:p>
        </w:tc>
        <w:tc>
          <w:tcPr>
            <w:tcW w:w="6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Residential - Government Agencies</w:t>
            </w: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1,312,347</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1,312,347</w:t>
            </w:r>
          </w:p>
        </w:tc>
        <w:tc>
          <w:tcPr>
            <w:tcW w:w="0" w:type="dxa"/>
            <w:vAlign w:val="bottom"/>
          </w:tcPr>
          <w:p>
            <w:pPr>
              <w:spacing w:after="0"/>
              <w:rPr>
                <w:sz w:val="1"/>
                <w:szCs w:val="1"/>
                <w:color w:val="auto"/>
              </w:rPr>
            </w:pPr>
          </w:p>
        </w:tc>
      </w:tr>
      <w:tr>
        <w:trPr>
          <w:trHeight w:val="264"/>
        </w:trPr>
        <w:tc>
          <w:tcPr>
            <w:tcW w:w="4820" w:type="dxa"/>
            <w:vAlign w:val="bottom"/>
          </w:tcPr>
          <w:p>
            <w:pPr>
              <w:ind w:left="560"/>
              <w:spacing w:after="0"/>
              <w:rPr>
                <w:sz w:val="20"/>
                <w:szCs w:val="20"/>
                <w:color w:val="auto"/>
              </w:rPr>
            </w:pPr>
            <w:r>
              <w:rPr>
                <w:rFonts w:ascii="Arial" w:cs="Arial" w:eastAsia="Arial" w:hAnsi="Arial"/>
                <w:sz w:val="14"/>
                <w:szCs w:val="14"/>
                <w:color w:val="auto"/>
              </w:rPr>
              <w:t>Residential - U.S. Government-Sponsored Enterprises</w:t>
            </w:r>
          </w:p>
        </w:tc>
        <w:tc>
          <w:tcPr>
            <w:tcW w:w="660" w:type="dxa"/>
            <w:vAlign w:val="bottom"/>
          </w:tcPr>
          <w:p>
            <w:pPr>
              <w:spacing w:after="0"/>
              <w:rPr>
                <w:sz w:val="22"/>
                <w:szCs w:val="22"/>
                <w:color w:val="auto"/>
              </w:rPr>
            </w:pPr>
          </w:p>
        </w:tc>
        <w:tc>
          <w:tcPr>
            <w:tcW w:w="138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ind w:right="107"/>
              <w:spacing w:after="0"/>
              <w:rPr>
                <w:sz w:val="20"/>
                <w:szCs w:val="20"/>
                <w:color w:val="auto"/>
              </w:rPr>
            </w:pPr>
            <w:r>
              <w:rPr>
                <w:rFonts w:ascii="Arial" w:cs="Arial" w:eastAsia="Arial" w:hAnsi="Arial"/>
                <w:sz w:val="14"/>
                <w:szCs w:val="14"/>
                <w:color w:val="auto"/>
              </w:rPr>
              <w:t>663,275</w:t>
            </w:r>
          </w:p>
        </w:tc>
        <w:tc>
          <w:tcPr>
            <w:tcW w:w="340" w:type="dxa"/>
            <w:vAlign w:val="bottom"/>
          </w:tcPr>
          <w:p>
            <w:pPr>
              <w:spacing w:after="0"/>
              <w:rPr>
                <w:sz w:val="22"/>
                <w:szCs w:val="22"/>
                <w:color w:val="auto"/>
              </w:rPr>
            </w:pPr>
          </w:p>
        </w:tc>
        <w:tc>
          <w:tcPr>
            <w:tcW w:w="12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663,275</w:t>
            </w:r>
          </w:p>
        </w:tc>
        <w:tc>
          <w:tcPr>
            <w:tcW w:w="0" w:type="dxa"/>
            <w:vAlign w:val="bottom"/>
          </w:tcPr>
          <w:p>
            <w:pPr>
              <w:spacing w:after="0"/>
              <w:rPr>
                <w:sz w:val="1"/>
                <w:szCs w:val="1"/>
                <w:color w:val="auto"/>
              </w:rPr>
            </w:pPr>
          </w:p>
        </w:tc>
      </w:tr>
      <w:tr>
        <w:trPr>
          <w:trHeight w:val="270"/>
        </w:trPr>
        <w:tc>
          <w:tcPr>
            <w:tcW w:w="4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Commercial - Government Agencies</w:t>
            </w:r>
          </w:p>
        </w:tc>
        <w:tc>
          <w:tcPr>
            <w:tcW w:w="6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280,911</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280,911</w:t>
            </w:r>
          </w:p>
        </w:tc>
        <w:tc>
          <w:tcPr>
            <w:tcW w:w="0" w:type="dxa"/>
            <w:vAlign w:val="bottom"/>
          </w:tcPr>
          <w:p>
            <w:pPr>
              <w:spacing w:after="0"/>
              <w:rPr>
                <w:sz w:val="1"/>
                <w:szCs w:val="1"/>
                <w:color w:val="auto"/>
              </w:rPr>
            </w:pPr>
          </w:p>
        </w:tc>
      </w:tr>
      <w:tr>
        <w:trPr>
          <w:trHeight w:val="263"/>
        </w:trPr>
        <w:tc>
          <w:tcPr>
            <w:tcW w:w="48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 Mortgage-Backed Securities</w:t>
            </w:r>
          </w:p>
        </w:tc>
        <w:tc>
          <w:tcPr>
            <w:tcW w:w="6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2,256,533</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2,256,533</w:t>
            </w:r>
          </w:p>
        </w:tc>
        <w:tc>
          <w:tcPr>
            <w:tcW w:w="0" w:type="dxa"/>
            <w:vAlign w:val="bottom"/>
          </w:tcPr>
          <w:p>
            <w:pPr>
              <w:spacing w:after="0"/>
              <w:rPr>
                <w:sz w:val="1"/>
                <w:szCs w:val="1"/>
                <w:color w:val="auto"/>
              </w:rPr>
            </w:pPr>
          </w:p>
        </w:tc>
      </w:tr>
      <w:tr>
        <w:trPr>
          <w:trHeight w:val="264"/>
        </w:trPr>
        <w:tc>
          <w:tcPr>
            <w:tcW w:w="4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Investment Securities Available-for-Sale</w:t>
            </w:r>
          </w:p>
        </w:tc>
        <w:tc>
          <w:tcPr>
            <w:tcW w:w="6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4"/>
                <w:szCs w:val="14"/>
                <w:color w:val="auto"/>
              </w:rPr>
              <w:t>1,116</w:t>
            </w: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2,725,362</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2,726,478</w:t>
            </w:r>
          </w:p>
        </w:tc>
        <w:tc>
          <w:tcPr>
            <w:tcW w:w="0" w:type="dxa"/>
            <w:vAlign w:val="bottom"/>
          </w:tcPr>
          <w:p>
            <w:pPr>
              <w:spacing w:after="0"/>
              <w:rPr>
                <w:sz w:val="1"/>
                <w:szCs w:val="1"/>
                <w:color w:val="auto"/>
              </w:rPr>
            </w:pPr>
          </w:p>
        </w:tc>
      </w:tr>
      <w:tr>
        <w:trPr>
          <w:trHeight w:val="263"/>
        </w:trPr>
        <w:tc>
          <w:tcPr>
            <w:tcW w:w="4820" w:type="dxa"/>
            <w:vAlign w:val="bottom"/>
          </w:tcPr>
          <w:p>
            <w:pPr>
              <w:ind w:left="40"/>
              <w:spacing w:after="0"/>
              <w:rPr>
                <w:sz w:val="20"/>
                <w:szCs w:val="20"/>
                <w:color w:val="auto"/>
              </w:rPr>
            </w:pPr>
            <w:r>
              <w:rPr>
                <w:rFonts w:ascii="Arial" w:cs="Arial" w:eastAsia="Arial" w:hAnsi="Arial"/>
                <w:sz w:val="14"/>
                <w:szCs w:val="14"/>
                <w:color w:val="auto"/>
              </w:rPr>
              <w:t>Loans Held for Sale</w:t>
            </w:r>
          </w:p>
        </w:tc>
        <w:tc>
          <w:tcPr>
            <w:tcW w:w="660" w:type="dxa"/>
            <w:vAlign w:val="bottom"/>
          </w:tcPr>
          <w:p>
            <w:pPr>
              <w:spacing w:after="0"/>
              <w:rPr>
                <w:sz w:val="22"/>
                <w:szCs w:val="22"/>
                <w:color w:val="auto"/>
              </w:rPr>
            </w:pPr>
          </w:p>
        </w:tc>
        <w:tc>
          <w:tcPr>
            <w:tcW w:w="138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ind w:right="107"/>
              <w:spacing w:after="0"/>
              <w:rPr>
                <w:sz w:val="20"/>
                <w:szCs w:val="20"/>
                <w:color w:val="auto"/>
              </w:rPr>
            </w:pPr>
            <w:r>
              <w:rPr>
                <w:rFonts w:ascii="Arial" w:cs="Arial" w:eastAsia="Arial" w:hAnsi="Arial"/>
                <w:sz w:val="14"/>
                <w:szCs w:val="14"/>
                <w:color w:val="auto"/>
              </w:rPr>
              <w:t>20,711</w:t>
            </w:r>
          </w:p>
        </w:tc>
        <w:tc>
          <w:tcPr>
            <w:tcW w:w="340" w:type="dxa"/>
            <w:vAlign w:val="bottom"/>
          </w:tcPr>
          <w:p>
            <w:pPr>
              <w:spacing w:after="0"/>
              <w:rPr>
                <w:sz w:val="22"/>
                <w:szCs w:val="22"/>
                <w:color w:val="auto"/>
              </w:rPr>
            </w:pPr>
          </w:p>
        </w:tc>
        <w:tc>
          <w:tcPr>
            <w:tcW w:w="12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20,711</w:t>
            </w: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Servicing Rights</w:t>
            </w: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1,068</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1,068</w:t>
            </w:r>
          </w:p>
        </w:tc>
        <w:tc>
          <w:tcPr>
            <w:tcW w:w="0" w:type="dxa"/>
            <w:vAlign w:val="bottom"/>
          </w:tcPr>
          <w:p>
            <w:pPr>
              <w:spacing w:after="0"/>
              <w:rPr>
                <w:sz w:val="1"/>
                <w:szCs w:val="1"/>
                <w:color w:val="auto"/>
              </w:rPr>
            </w:pPr>
          </w:p>
        </w:tc>
      </w:tr>
      <w:tr>
        <w:trPr>
          <w:trHeight w:val="264"/>
        </w:trPr>
        <w:tc>
          <w:tcPr>
            <w:tcW w:w="482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660" w:type="dxa"/>
            <w:vAlign w:val="bottom"/>
          </w:tcPr>
          <w:p>
            <w:pPr>
              <w:spacing w:after="0"/>
              <w:rPr>
                <w:sz w:val="22"/>
                <w:szCs w:val="22"/>
                <w:color w:val="auto"/>
              </w:rPr>
            </w:pPr>
          </w:p>
        </w:tc>
        <w:tc>
          <w:tcPr>
            <w:tcW w:w="1380" w:type="dxa"/>
            <w:vAlign w:val="bottom"/>
          </w:tcPr>
          <w:p>
            <w:pPr>
              <w:jc w:val="right"/>
              <w:ind w:right="127"/>
              <w:spacing w:after="0"/>
              <w:rPr>
                <w:sz w:val="20"/>
                <w:szCs w:val="20"/>
                <w:color w:val="auto"/>
              </w:rPr>
            </w:pPr>
            <w:r>
              <w:rPr>
                <w:rFonts w:ascii="Arial" w:cs="Arial" w:eastAsia="Arial" w:hAnsi="Arial"/>
                <w:sz w:val="14"/>
                <w:szCs w:val="14"/>
                <w:color w:val="auto"/>
              </w:rPr>
              <w:t>43,461</w:t>
            </w:r>
          </w:p>
        </w:tc>
        <w:tc>
          <w:tcPr>
            <w:tcW w:w="380" w:type="dxa"/>
            <w:vAlign w:val="bottom"/>
          </w:tcPr>
          <w:p>
            <w:pPr>
              <w:spacing w:after="0"/>
              <w:rPr>
                <w:sz w:val="22"/>
                <w:szCs w:val="22"/>
                <w:color w:val="auto"/>
              </w:rPr>
            </w:pPr>
          </w:p>
        </w:tc>
        <w:tc>
          <w:tcPr>
            <w:tcW w:w="108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43,461</w:t>
            </w:r>
          </w:p>
        </w:tc>
        <w:tc>
          <w:tcPr>
            <w:tcW w:w="0" w:type="dxa"/>
            <w:vAlign w:val="bottom"/>
          </w:tcPr>
          <w:p>
            <w:pPr>
              <w:spacing w:after="0"/>
              <w:rPr>
                <w:sz w:val="1"/>
                <w:szCs w:val="1"/>
                <w:color w:val="auto"/>
              </w:rPr>
            </w:pPr>
          </w:p>
        </w:tc>
      </w:tr>
      <w:tr>
        <w:trPr>
          <w:trHeight w:val="270"/>
        </w:trPr>
        <w:tc>
          <w:tcPr>
            <w:tcW w:w="4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8"/>
                <w:szCs w:val="8"/>
                <w:color w:val="auto"/>
              </w:rPr>
              <w:t>1</w:t>
            </w:r>
          </w:p>
        </w:tc>
        <w:tc>
          <w:tcPr>
            <w:tcW w:w="6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336</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109,304</w:t>
            </w: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109,640</w:t>
            </w:r>
          </w:p>
        </w:tc>
        <w:tc>
          <w:tcPr>
            <w:tcW w:w="0" w:type="dxa"/>
            <w:vAlign w:val="bottom"/>
          </w:tcPr>
          <w:p>
            <w:pPr>
              <w:spacing w:after="0"/>
              <w:rPr>
                <w:sz w:val="1"/>
                <w:szCs w:val="1"/>
                <w:color w:val="auto"/>
              </w:rPr>
            </w:pPr>
          </w:p>
        </w:tc>
      </w:tr>
      <w:tr>
        <w:trPr>
          <w:trHeight w:val="152"/>
        </w:trPr>
        <w:tc>
          <w:tcPr>
            <w:tcW w:w="482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Total Assets Measured at Fair Value on a</w:t>
            </w:r>
          </w:p>
        </w:tc>
        <w:tc>
          <w:tcPr>
            <w:tcW w:w="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Recurring Basis as of June 30, 2020</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44,577</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2,746,409</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110,372</w:t>
            </w:r>
          </w:p>
        </w:tc>
        <w:tc>
          <w:tcPr>
            <w:tcW w:w="4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2,901,358</w:t>
            </w:r>
          </w:p>
        </w:tc>
        <w:tc>
          <w:tcPr>
            <w:tcW w:w="0" w:type="dxa"/>
            <w:vAlign w:val="bottom"/>
          </w:tcPr>
          <w:p>
            <w:pPr>
              <w:spacing w:after="0"/>
              <w:rPr>
                <w:sz w:val="1"/>
                <w:szCs w:val="1"/>
                <w:color w:val="auto"/>
              </w:rPr>
            </w:pPr>
          </w:p>
        </w:tc>
      </w:tr>
      <w:tr>
        <w:trPr>
          <w:trHeight w:val="122"/>
        </w:trPr>
        <w:tc>
          <w:tcPr>
            <w:tcW w:w="48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482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6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8"/>
                <w:szCs w:val="8"/>
                <w:color w:val="auto"/>
              </w:rPr>
              <w:t>1</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780</w:t>
            </w: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20,309</w:t>
            </w:r>
          </w:p>
        </w:tc>
        <w:tc>
          <w:tcPr>
            <w:tcW w:w="4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21,089</w:t>
            </w:r>
          </w:p>
        </w:tc>
        <w:tc>
          <w:tcPr>
            <w:tcW w:w="0" w:type="dxa"/>
            <w:vAlign w:val="bottom"/>
          </w:tcPr>
          <w:p>
            <w:pPr>
              <w:spacing w:after="0"/>
              <w:rPr>
                <w:sz w:val="1"/>
                <w:szCs w:val="1"/>
                <w:color w:val="auto"/>
              </w:rPr>
            </w:pPr>
          </w:p>
        </w:tc>
      </w:tr>
      <w:tr>
        <w:trPr>
          <w:trHeight w:val="152"/>
        </w:trPr>
        <w:tc>
          <w:tcPr>
            <w:tcW w:w="482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Total Liabilities Measured at Fair Value on a</w:t>
            </w:r>
          </w:p>
        </w:tc>
        <w:tc>
          <w:tcPr>
            <w:tcW w:w="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Recurring Basis as of June 30, 2020</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780</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20,309</w:t>
            </w:r>
          </w:p>
        </w:tc>
        <w:tc>
          <w:tcPr>
            <w:tcW w:w="4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21,089</w:t>
            </w:r>
          </w:p>
        </w:tc>
        <w:tc>
          <w:tcPr>
            <w:tcW w:w="0" w:type="dxa"/>
            <w:vAlign w:val="bottom"/>
          </w:tcPr>
          <w:p>
            <w:pPr>
              <w:spacing w:after="0"/>
              <w:rPr>
                <w:sz w:val="1"/>
                <w:szCs w:val="1"/>
                <w:color w:val="auto"/>
              </w:rPr>
            </w:pPr>
          </w:p>
        </w:tc>
      </w:tr>
      <w:tr>
        <w:trPr>
          <w:trHeight w:val="121"/>
        </w:trPr>
        <w:tc>
          <w:tcPr>
            <w:tcW w:w="48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4820" w:type="dxa"/>
            <w:vAlign w:val="bottom"/>
          </w:tcPr>
          <w:p>
            <w:pPr>
              <w:ind w:left="40"/>
              <w:spacing w:after="0"/>
              <w:rPr>
                <w:sz w:val="20"/>
                <w:szCs w:val="20"/>
                <w:color w:val="auto"/>
              </w:rPr>
            </w:pPr>
            <w:r>
              <w:rPr>
                <w:rFonts w:ascii="Arial" w:cs="Arial" w:eastAsia="Arial" w:hAnsi="Arial"/>
                <w:sz w:val="14"/>
                <w:szCs w:val="14"/>
                <w:b w:val="1"/>
                <w:bCs w:val="1"/>
                <w:color w:val="auto"/>
              </w:rPr>
              <w:t>December 31, 2019</w:t>
            </w:r>
          </w:p>
        </w:tc>
        <w:tc>
          <w:tcPr>
            <w:tcW w:w="6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20" w:type="dxa"/>
            <w:vAlign w:val="bottom"/>
          </w:tcPr>
          <w:p>
            <w:pPr>
              <w:ind w:left="40"/>
              <w:spacing w:after="0"/>
              <w:rPr>
                <w:sz w:val="20"/>
                <w:szCs w:val="20"/>
                <w:color w:val="auto"/>
              </w:rPr>
            </w:pPr>
            <w:r>
              <w:rPr>
                <w:rFonts w:ascii="Arial" w:cs="Arial" w:eastAsia="Arial" w:hAnsi="Arial"/>
                <w:sz w:val="14"/>
                <w:szCs w:val="14"/>
                <w:color w:val="auto"/>
              </w:rPr>
              <w:t>Investment Securities Available-for-Sale</w:t>
            </w:r>
          </w:p>
        </w:tc>
        <w:tc>
          <w:tcPr>
            <w:tcW w:w="6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8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Debt Securities Issued by the U.S. Treasury</w:t>
            </w:r>
          </w:p>
        </w:tc>
        <w:tc>
          <w:tcPr>
            <w:tcW w:w="6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8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and Government Agencies</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1,155</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219,976</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221,131</w:t>
            </w:r>
          </w:p>
        </w:tc>
        <w:tc>
          <w:tcPr>
            <w:tcW w:w="0" w:type="dxa"/>
            <w:vAlign w:val="bottom"/>
          </w:tcPr>
          <w:p>
            <w:pPr>
              <w:spacing w:after="0"/>
              <w:rPr>
                <w:sz w:val="1"/>
                <w:szCs w:val="1"/>
                <w:color w:val="auto"/>
              </w:rPr>
            </w:pPr>
          </w:p>
        </w:tc>
      </w:tr>
      <w:tr>
        <w:trPr>
          <w:trHeight w:val="264"/>
        </w:trPr>
        <w:tc>
          <w:tcPr>
            <w:tcW w:w="4820" w:type="dxa"/>
            <w:vAlign w:val="bottom"/>
          </w:tcPr>
          <w:p>
            <w:pPr>
              <w:ind w:left="460"/>
              <w:spacing w:after="0"/>
              <w:rPr>
                <w:sz w:val="20"/>
                <w:szCs w:val="20"/>
                <w:color w:val="auto"/>
              </w:rPr>
            </w:pPr>
            <w:r>
              <w:rPr>
                <w:rFonts w:ascii="Arial" w:cs="Arial" w:eastAsia="Arial" w:hAnsi="Arial"/>
                <w:sz w:val="14"/>
                <w:szCs w:val="14"/>
                <w:color w:val="auto"/>
              </w:rPr>
              <w:t>Debt Securities Issued by States and Political Subdivisions</w:t>
            </w:r>
          </w:p>
        </w:tc>
        <w:tc>
          <w:tcPr>
            <w:tcW w:w="660" w:type="dxa"/>
            <w:vAlign w:val="bottom"/>
          </w:tcPr>
          <w:p>
            <w:pPr>
              <w:spacing w:after="0"/>
              <w:rPr>
                <w:sz w:val="22"/>
                <w:szCs w:val="22"/>
                <w:color w:val="auto"/>
              </w:rPr>
            </w:pPr>
          </w:p>
        </w:tc>
        <w:tc>
          <w:tcPr>
            <w:tcW w:w="138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ind w:right="107"/>
              <w:spacing w:after="0"/>
              <w:rPr>
                <w:sz w:val="20"/>
                <w:szCs w:val="20"/>
                <w:color w:val="auto"/>
              </w:rPr>
            </w:pPr>
            <w:r>
              <w:rPr>
                <w:rFonts w:ascii="Arial" w:cs="Arial" w:eastAsia="Arial" w:hAnsi="Arial"/>
                <w:sz w:val="14"/>
                <w:szCs w:val="14"/>
                <w:color w:val="auto"/>
              </w:rPr>
              <w:t>55,097</w:t>
            </w:r>
          </w:p>
        </w:tc>
        <w:tc>
          <w:tcPr>
            <w:tcW w:w="340" w:type="dxa"/>
            <w:vAlign w:val="bottom"/>
          </w:tcPr>
          <w:p>
            <w:pPr>
              <w:spacing w:after="0"/>
              <w:rPr>
                <w:sz w:val="22"/>
                <w:szCs w:val="22"/>
                <w:color w:val="auto"/>
              </w:rPr>
            </w:pPr>
          </w:p>
        </w:tc>
        <w:tc>
          <w:tcPr>
            <w:tcW w:w="12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55,097</w:t>
            </w: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Debt Securities Issued by U.S. Government-Sponsored Enterprises</w:t>
            </w: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22,147</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22,147</w:t>
            </w:r>
          </w:p>
        </w:tc>
        <w:tc>
          <w:tcPr>
            <w:tcW w:w="0" w:type="dxa"/>
            <w:vAlign w:val="bottom"/>
          </w:tcPr>
          <w:p>
            <w:pPr>
              <w:spacing w:after="0"/>
              <w:rPr>
                <w:sz w:val="1"/>
                <w:szCs w:val="1"/>
                <w:color w:val="auto"/>
              </w:rPr>
            </w:pPr>
          </w:p>
        </w:tc>
      </w:tr>
      <w:tr>
        <w:trPr>
          <w:trHeight w:val="264"/>
        </w:trPr>
        <w:tc>
          <w:tcPr>
            <w:tcW w:w="4820" w:type="dxa"/>
            <w:vAlign w:val="bottom"/>
          </w:tcPr>
          <w:p>
            <w:pPr>
              <w:ind w:left="460"/>
              <w:spacing w:after="0"/>
              <w:rPr>
                <w:sz w:val="20"/>
                <w:szCs w:val="20"/>
                <w:color w:val="auto"/>
              </w:rPr>
            </w:pPr>
            <w:r>
              <w:rPr>
                <w:rFonts w:ascii="Arial" w:cs="Arial" w:eastAsia="Arial" w:hAnsi="Arial"/>
                <w:sz w:val="14"/>
                <w:szCs w:val="14"/>
                <w:color w:val="auto"/>
              </w:rPr>
              <w:t>Debt Securities Issued by Corporations</w:t>
            </w:r>
          </w:p>
        </w:tc>
        <w:tc>
          <w:tcPr>
            <w:tcW w:w="660" w:type="dxa"/>
            <w:vAlign w:val="bottom"/>
          </w:tcPr>
          <w:p>
            <w:pPr>
              <w:spacing w:after="0"/>
              <w:rPr>
                <w:sz w:val="22"/>
                <w:szCs w:val="22"/>
                <w:color w:val="auto"/>
              </w:rPr>
            </w:pPr>
          </w:p>
        </w:tc>
        <w:tc>
          <w:tcPr>
            <w:tcW w:w="138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ind w:right="107"/>
              <w:spacing w:after="0"/>
              <w:rPr>
                <w:sz w:val="20"/>
                <w:szCs w:val="20"/>
                <w:color w:val="auto"/>
              </w:rPr>
            </w:pPr>
            <w:r>
              <w:rPr>
                <w:rFonts w:ascii="Arial" w:cs="Arial" w:eastAsia="Arial" w:hAnsi="Arial"/>
                <w:sz w:val="14"/>
                <w:szCs w:val="14"/>
                <w:color w:val="auto"/>
              </w:rPr>
              <w:t>336,321</w:t>
            </w:r>
          </w:p>
        </w:tc>
        <w:tc>
          <w:tcPr>
            <w:tcW w:w="340" w:type="dxa"/>
            <w:vAlign w:val="bottom"/>
          </w:tcPr>
          <w:p>
            <w:pPr>
              <w:spacing w:after="0"/>
              <w:rPr>
                <w:sz w:val="22"/>
                <w:szCs w:val="22"/>
                <w:color w:val="auto"/>
              </w:rPr>
            </w:pPr>
          </w:p>
        </w:tc>
        <w:tc>
          <w:tcPr>
            <w:tcW w:w="12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336,321</w:t>
            </w: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Mortgage-Backed Securities:</w:t>
            </w: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20" w:type="dxa"/>
            <w:vAlign w:val="bottom"/>
          </w:tcPr>
          <w:p>
            <w:pPr>
              <w:ind w:left="560"/>
              <w:spacing w:after="0"/>
              <w:rPr>
                <w:sz w:val="20"/>
                <w:szCs w:val="20"/>
                <w:color w:val="auto"/>
              </w:rPr>
            </w:pPr>
            <w:r>
              <w:rPr>
                <w:rFonts w:ascii="Arial" w:cs="Arial" w:eastAsia="Arial" w:hAnsi="Arial"/>
                <w:sz w:val="14"/>
                <w:szCs w:val="14"/>
                <w:color w:val="auto"/>
              </w:rPr>
              <w:t>Residential - Government Agencies</w:t>
            </w:r>
          </w:p>
        </w:tc>
        <w:tc>
          <w:tcPr>
            <w:tcW w:w="660" w:type="dxa"/>
            <w:vAlign w:val="bottom"/>
          </w:tcPr>
          <w:p>
            <w:pPr>
              <w:spacing w:after="0"/>
              <w:rPr>
                <w:sz w:val="22"/>
                <w:szCs w:val="22"/>
                <w:color w:val="auto"/>
              </w:rPr>
            </w:pPr>
          </w:p>
        </w:tc>
        <w:tc>
          <w:tcPr>
            <w:tcW w:w="138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ind w:right="107"/>
              <w:spacing w:after="0"/>
              <w:rPr>
                <w:sz w:val="20"/>
                <w:szCs w:val="20"/>
                <w:color w:val="auto"/>
              </w:rPr>
            </w:pPr>
            <w:r>
              <w:rPr>
                <w:rFonts w:ascii="Arial" w:cs="Arial" w:eastAsia="Arial" w:hAnsi="Arial"/>
                <w:sz w:val="14"/>
                <w:szCs w:val="14"/>
                <w:color w:val="auto"/>
              </w:rPr>
              <w:t>1,172,826</w:t>
            </w:r>
          </w:p>
        </w:tc>
        <w:tc>
          <w:tcPr>
            <w:tcW w:w="340" w:type="dxa"/>
            <w:vAlign w:val="bottom"/>
          </w:tcPr>
          <w:p>
            <w:pPr>
              <w:spacing w:after="0"/>
              <w:rPr>
                <w:sz w:val="22"/>
                <w:szCs w:val="22"/>
                <w:color w:val="auto"/>
              </w:rPr>
            </w:pPr>
          </w:p>
        </w:tc>
        <w:tc>
          <w:tcPr>
            <w:tcW w:w="12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1,172,826</w:t>
            </w: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Residential - U.S. Government-Sponsored Enterprises</w:t>
            </w: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586,761</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586,761</w:t>
            </w:r>
          </w:p>
        </w:tc>
        <w:tc>
          <w:tcPr>
            <w:tcW w:w="0" w:type="dxa"/>
            <w:vAlign w:val="bottom"/>
          </w:tcPr>
          <w:p>
            <w:pPr>
              <w:spacing w:after="0"/>
              <w:rPr>
                <w:sz w:val="1"/>
                <w:szCs w:val="1"/>
                <w:color w:val="auto"/>
              </w:rPr>
            </w:pPr>
          </w:p>
        </w:tc>
      </w:tr>
      <w:tr>
        <w:trPr>
          <w:trHeight w:val="264"/>
        </w:trPr>
        <w:tc>
          <w:tcPr>
            <w:tcW w:w="4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Commercial - Government Agencies</w:t>
            </w:r>
          </w:p>
        </w:tc>
        <w:tc>
          <w:tcPr>
            <w:tcW w:w="6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224,720</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224,720</w:t>
            </w:r>
          </w:p>
        </w:tc>
        <w:tc>
          <w:tcPr>
            <w:tcW w:w="0" w:type="dxa"/>
            <w:vAlign w:val="bottom"/>
          </w:tcPr>
          <w:p>
            <w:pPr>
              <w:spacing w:after="0"/>
              <w:rPr>
                <w:sz w:val="1"/>
                <w:szCs w:val="1"/>
                <w:color w:val="auto"/>
              </w:rPr>
            </w:pPr>
          </w:p>
        </w:tc>
      </w:tr>
      <w:tr>
        <w:trPr>
          <w:trHeight w:val="263"/>
        </w:trPr>
        <w:tc>
          <w:tcPr>
            <w:tcW w:w="48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Total Mortgage-Backed Securities</w:t>
            </w:r>
          </w:p>
        </w:tc>
        <w:tc>
          <w:tcPr>
            <w:tcW w:w="6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1,984,307</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1,984,307</w:t>
            </w:r>
          </w:p>
        </w:tc>
        <w:tc>
          <w:tcPr>
            <w:tcW w:w="0" w:type="dxa"/>
            <w:vAlign w:val="bottom"/>
          </w:tcPr>
          <w:p>
            <w:pPr>
              <w:spacing w:after="0"/>
              <w:rPr>
                <w:sz w:val="1"/>
                <w:szCs w:val="1"/>
                <w:color w:val="auto"/>
              </w:rPr>
            </w:pPr>
          </w:p>
        </w:tc>
      </w:tr>
      <w:tr>
        <w:trPr>
          <w:trHeight w:val="264"/>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Investment Securities Available-for-Sale</w:t>
            </w:r>
          </w:p>
        </w:tc>
        <w:tc>
          <w:tcPr>
            <w:tcW w:w="6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1,155</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2,617,848</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2,619,003</w:t>
            </w:r>
          </w:p>
        </w:tc>
        <w:tc>
          <w:tcPr>
            <w:tcW w:w="0" w:type="dxa"/>
            <w:vAlign w:val="bottom"/>
          </w:tcPr>
          <w:p>
            <w:pPr>
              <w:spacing w:after="0"/>
              <w:rPr>
                <w:sz w:val="1"/>
                <w:szCs w:val="1"/>
                <w:color w:val="auto"/>
              </w:rPr>
            </w:pPr>
          </w:p>
        </w:tc>
      </w:tr>
      <w:tr>
        <w:trPr>
          <w:trHeight w:val="269"/>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 Held for Sale</w:t>
            </w:r>
          </w:p>
        </w:tc>
        <w:tc>
          <w:tcPr>
            <w:tcW w:w="6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39,062</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39,062</w:t>
            </w:r>
          </w:p>
        </w:tc>
        <w:tc>
          <w:tcPr>
            <w:tcW w:w="0" w:type="dxa"/>
            <w:vAlign w:val="bottom"/>
          </w:tcPr>
          <w:p>
            <w:pPr>
              <w:spacing w:after="0"/>
              <w:rPr>
                <w:sz w:val="1"/>
                <w:szCs w:val="1"/>
                <w:color w:val="auto"/>
              </w:rPr>
            </w:pPr>
          </w:p>
        </w:tc>
      </w:tr>
      <w:tr>
        <w:trPr>
          <w:trHeight w:val="264"/>
        </w:trPr>
        <w:tc>
          <w:tcPr>
            <w:tcW w:w="4820" w:type="dxa"/>
            <w:vAlign w:val="bottom"/>
          </w:tcPr>
          <w:p>
            <w:pPr>
              <w:ind w:left="40"/>
              <w:spacing w:after="0"/>
              <w:rPr>
                <w:sz w:val="20"/>
                <w:szCs w:val="20"/>
                <w:color w:val="auto"/>
              </w:rPr>
            </w:pPr>
            <w:r>
              <w:rPr>
                <w:rFonts w:ascii="Arial" w:cs="Arial" w:eastAsia="Arial" w:hAnsi="Arial"/>
                <w:sz w:val="14"/>
                <w:szCs w:val="14"/>
                <w:color w:val="auto"/>
              </w:rPr>
              <w:t>Mortgage Servicing Rights</w:t>
            </w:r>
          </w:p>
        </w:tc>
        <w:tc>
          <w:tcPr>
            <w:tcW w:w="660" w:type="dxa"/>
            <w:vAlign w:val="bottom"/>
          </w:tcPr>
          <w:p>
            <w:pPr>
              <w:spacing w:after="0"/>
              <w:rPr>
                <w:sz w:val="22"/>
                <w:szCs w:val="22"/>
                <w:color w:val="auto"/>
              </w:rPr>
            </w:pPr>
          </w:p>
        </w:tc>
        <w:tc>
          <w:tcPr>
            <w:tcW w:w="138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tcPr>
          <w:p>
            <w:pPr>
              <w:jc w:val="right"/>
              <w:ind w:right="107"/>
              <w:spacing w:after="0"/>
              <w:rPr>
                <w:sz w:val="20"/>
                <w:szCs w:val="20"/>
                <w:color w:val="auto"/>
              </w:rPr>
            </w:pPr>
            <w:r>
              <w:rPr>
                <w:rFonts w:ascii="Arial" w:cs="Arial" w:eastAsia="Arial" w:hAnsi="Arial"/>
                <w:sz w:val="14"/>
                <w:szCs w:val="14"/>
                <w:color w:val="auto"/>
              </w:rPr>
              <w:t>1,126</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41,464</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41,464</w:t>
            </w:r>
          </w:p>
        </w:tc>
        <w:tc>
          <w:tcPr>
            <w:tcW w:w="0" w:type="dxa"/>
            <w:vAlign w:val="bottom"/>
          </w:tcPr>
          <w:p>
            <w:pPr>
              <w:spacing w:after="0"/>
              <w:rPr>
                <w:sz w:val="1"/>
                <w:szCs w:val="1"/>
                <w:color w:val="auto"/>
              </w:rPr>
            </w:pPr>
          </w:p>
        </w:tc>
      </w:tr>
      <w:tr>
        <w:trPr>
          <w:trHeight w:val="264"/>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8"/>
                <w:szCs w:val="8"/>
                <w:color w:val="auto"/>
              </w:rPr>
              <w:t>1</w:t>
            </w:r>
          </w:p>
        </w:tc>
        <w:tc>
          <w:tcPr>
            <w:tcW w:w="6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308</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28,623</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28,931</w:t>
            </w:r>
          </w:p>
        </w:tc>
        <w:tc>
          <w:tcPr>
            <w:tcW w:w="0" w:type="dxa"/>
            <w:vAlign w:val="bottom"/>
          </w:tcPr>
          <w:p>
            <w:pPr>
              <w:spacing w:after="0"/>
              <w:rPr>
                <w:sz w:val="1"/>
                <w:szCs w:val="1"/>
                <w:color w:val="auto"/>
              </w:rPr>
            </w:pPr>
          </w:p>
        </w:tc>
      </w:tr>
      <w:tr>
        <w:trPr>
          <w:trHeight w:val="152"/>
        </w:trPr>
        <w:tc>
          <w:tcPr>
            <w:tcW w:w="482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shd w:val="clear" w:color="auto" w:fill="CCEEFF"/>
              </w:rPr>
              <w:t>Total Assets Measured at Fair Value on a</w:t>
            </w:r>
          </w:p>
        </w:tc>
        <w:tc>
          <w:tcPr>
            <w:tcW w:w="6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b w:val="1"/>
                <w:bCs w:val="1"/>
                <w:color w:val="auto"/>
                <w:shd w:val="clear" w:color="auto" w:fill="CCEEFF"/>
              </w:rPr>
              <w:t>Recurring Basis as of December 31, 2019</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4"/>
                <w:szCs w:val="14"/>
                <w:color w:val="auto"/>
              </w:rPr>
              <w:t>42,619</w:t>
            </w:r>
          </w:p>
        </w:tc>
        <w:tc>
          <w:tcPr>
            <w:tcW w:w="3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4"/>
                <w:szCs w:val="14"/>
                <w:color w:val="auto"/>
              </w:rPr>
              <w:t>2,657,218</w:t>
            </w:r>
          </w:p>
        </w:tc>
        <w:tc>
          <w:tcPr>
            <w:tcW w:w="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4"/>
                <w:szCs w:val="14"/>
                <w:color w:val="auto"/>
              </w:rPr>
              <w:t>29,749</w:t>
            </w:r>
          </w:p>
        </w:tc>
        <w:tc>
          <w:tcPr>
            <w:tcW w:w="46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2,729,586</w:t>
            </w:r>
          </w:p>
        </w:tc>
        <w:tc>
          <w:tcPr>
            <w:tcW w:w="0" w:type="dxa"/>
            <w:vAlign w:val="bottom"/>
          </w:tcPr>
          <w:p>
            <w:pPr>
              <w:spacing w:after="0"/>
              <w:rPr>
                <w:sz w:val="1"/>
                <w:szCs w:val="1"/>
                <w:color w:val="auto"/>
              </w:rPr>
            </w:pPr>
          </w:p>
        </w:tc>
      </w:tr>
      <w:tr>
        <w:trPr>
          <w:trHeight w:val="20"/>
        </w:trPr>
        <w:tc>
          <w:tcPr>
            <w:tcW w:w="4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6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8"/>
                <w:szCs w:val="8"/>
                <w:color w:val="auto"/>
              </w:rPr>
              <w:t>1</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327</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6,050</w:t>
            </w:r>
          </w:p>
        </w:tc>
        <w:tc>
          <w:tcPr>
            <w:tcW w:w="4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6,377</w:t>
            </w:r>
          </w:p>
        </w:tc>
        <w:tc>
          <w:tcPr>
            <w:tcW w:w="0" w:type="dxa"/>
            <w:vAlign w:val="bottom"/>
          </w:tcPr>
          <w:p>
            <w:pPr>
              <w:spacing w:after="0"/>
              <w:rPr>
                <w:sz w:val="1"/>
                <w:szCs w:val="1"/>
                <w:color w:val="auto"/>
              </w:rPr>
            </w:pPr>
          </w:p>
        </w:tc>
      </w:tr>
      <w:tr>
        <w:trPr>
          <w:trHeight w:val="175"/>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Total Liabilities Measured at Fair Value on a</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107"/>
              <w:spacing w:after="0"/>
              <w:rPr>
                <w:sz w:val="20"/>
                <w:szCs w:val="20"/>
                <w:color w:val="auto"/>
              </w:rPr>
            </w:pPr>
            <w:r>
              <w:rPr>
                <w:rFonts w:ascii="Arial" w:cs="Arial" w:eastAsia="Arial" w:hAnsi="Arial"/>
                <w:sz w:val="14"/>
                <w:szCs w:val="14"/>
                <w:color w:val="auto"/>
              </w:rPr>
              <w:t>327</w:t>
            </w:r>
          </w:p>
        </w:tc>
        <w:tc>
          <w:tcPr>
            <w:tcW w:w="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7"/>
              <w:spacing w:after="0"/>
              <w:rPr>
                <w:sz w:val="20"/>
                <w:szCs w:val="20"/>
                <w:color w:val="auto"/>
              </w:rPr>
            </w:pPr>
            <w:r>
              <w:rPr>
                <w:rFonts w:ascii="Arial" w:cs="Arial" w:eastAsia="Arial" w:hAnsi="Arial"/>
                <w:sz w:val="14"/>
                <w:szCs w:val="14"/>
                <w:color w:val="auto"/>
              </w:rPr>
              <w:t>6,050</w:t>
            </w:r>
          </w:p>
        </w:tc>
        <w:tc>
          <w:tcPr>
            <w:tcW w:w="46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6,377</w:t>
            </w:r>
          </w:p>
        </w:tc>
        <w:tc>
          <w:tcPr>
            <w:tcW w:w="0" w:type="dxa"/>
            <w:vAlign w:val="bottom"/>
          </w:tcPr>
          <w:p>
            <w:pPr>
              <w:spacing w:after="0"/>
              <w:rPr>
                <w:sz w:val="1"/>
                <w:szCs w:val="1"/>
                <w:color w:val="auto"/>
              </w:rPr>
            </w:pPr>
          </w:p>
        </w:tc>
      </w:tr>
      <w:tr>
        <w:trPr>
          <w:trHeight w:val="176"/>
        </w:trPr>
        <w:tc>
          <w:tcPr>
            <w:tcW w:w="4820" w:type="dxa"/>
            <w:vAlign w:val="bottom"/>
            <w:tcBorders>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shd w:val="clear" w:color="auto" w:fill="CCEEFF"/>
              </w:rPr>
              <w:t>Recurring Basis as of December 31, 2019</w:t>
            </w: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1380" w:type="dxa"/>
            <w:vAlign w:val="bottom"/>
            <w:tcBorders>
              <w:bottom w:val="single" w:sz="8" w:color="CCEEFF"/>
            </w:tcBorders>
            <w:vMerge w:val="continue"/>
            <w:shd w:val="clear" w:color="auto" w:fill="CCEEFF"/>
          </w:tcPr>
          <w:p>
            <w:pPr>
              <w:spacing w:after="0"/>
              <w:rPr>
                <w:sz w:val="15"/>
                <w:szCs w:val="15"/>
                <w:color w:val="auto"/>
              </w:rPr>
            </w:pPr>
          </w:p>
        </w:tc>
        <w:tc>
          <w:tcPr>
            <w:tcW w:w="380" w:type="dxa"/>
            <w:vAlign w:val="bottom"/>
            <w:tcBorders>
              <w:bottom w:val="single" w:sz="8" w:color="CCEEFF"/>
            </w:tcBorders>
            <w:vMerge w:val="continue"/>
            <w:shd w:val="clear" w:color="auto" w:fill="CCEEFF"/>
          </w:tcPr>
          <w:p>
            <w:pPr>
              <w:spacing w:after="0"/>
              <w:rPr>
                <w:sz w:val="15"/>
                <w:szCs w:val="15"/>
                <w:color w:val="auto"/>
              </w:rPr>
            </w:pPr>
          </w:p>
        </w:tc>
        <w:tc>
          <w:tcPr>
            <w:tcW w:w="1080" w:type="dxa"/>
            <w:vAlign w:val="bottom"/>
            <w:tcBorders>
              <w:bottom w:val="single" w:sz="8" w:color="CCEEFF"/>
            </w:tcBorders>
            <w:vMerge w:val="continue"/>
            <w:shd w:val="clear" w:color="auto" w:fill="CCEEFF"/>
          </w:tcPr>
          <w:p>
            <w:pPr>
              <w:spacing w:after="0"/>
              <w:rPr>
                <w:sz w:val="15"/>
                <w:szCs w:val="15"/>
                <w:color w:val="auto"/>
              </w:rPr>
            </w:pPr>
          </w:p>
        </w:tc>
        <w:tc>
          <w:tcPr>
            <w:tcW w:w="340" w:type="dxa"/>
            <w:vAlign w:val="bottom"/>
            <w:tcBorders>
              <w:bottom w:val="single" w:sz="8" w:color="CCEEFF"/>
            </w:tcBorders>
            <w:vMerge w:val="continue"/>
            <w:shd w:val="clear" w:color="auto" w:fill="CCEEFF"/>
          </w:tcPr>
          <w:p>
            <w:pPr>
              <w:spacing w:after="0"/>
              <w:rPr>
                <w:sz w:val="15"/>
                <w:szCs w:val="15"/>
                <w:color w:val="auto"/>
              </w:rPr>
            </w:pPr>
          </w:p>
        </w:tc>
        <w:tc>
          <w:tcPr>
            <w:tcW w:w="1220" w:type="dxa"/>
            <w:vAlign w:val="bottom"/>
            <w:tcBorders>
              <w:bottom w:val="single" w:sz="8" w:color="CCEEFF"/>
            </w:tcBorders>
            <w:vMerge w:val="continue"/>
            <w:shd w:val="clear" w:color="auto" w:fill="CCEEFF"/>
          </w:tcPr>
          <w:p>
            <w:pPr>
              <w:spacing w:after="0"/>
              <w:rPr>
                <w:sz w:val="15"/>
                <w:szCs w:val="15"/>
                <w:color w:val="auto"/>
              </w:rPr>
            </w:pPr>
          </w:p>
        </w:tc>
        <w:tc>
          <w:tcPr>
            <w:tcW w:w="460" w:type="dxa"/>
            <w:vAlign w:val="bottom"/>
            <w:tcBorders>
              <w:bottom w:val="single" w:sz="8" w:color="CCEEFF"/>
            </w:tcBorders>
            <w:vMerge w:val="continue"/>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22"/>
        </w:numPr>
        <w:rPr>
          <w:rFonts w:ascii="Arial" w:cs="Arial" w:eastAsia="Arial" w:hAnsi="Arial"/>
          <w:sz w:val="9"/>
          <w:szCs w:val="9"/>
          <w:color w:val="auto"/>
        </w:rPr>
      </w:pPr>
      <w:r>
        <w:rPr>
          <w:rFonts w:ascii="Arial" w:cs="Arial" w:eastAsia="Arial" w:hAnsi="Arial"/>
          <w:sz w:val="14"/>
          <w:szCs w:val="14"/>
          <w:color w:val="auto"/>
        </w:rPr>
        <w:t xml:space="preserve">The fair value of each class of derivatives is shown in Note 12 </w:t>
      </w:r>
      <w:r>
        <w:rPr>
          <w:rFonts w:ascii="Arial" w:cs="Arial" w:eastAsia="Arial" w:hAnsi="Arial"/>
          <w:sz w:val="14"/>
          <w:szCs w:val="14"/>
          <w:i w:val="1"/>
          <w:iCs w:val="1"/>
          <w:color w:val="auto"/>
        </w:rPr>
        <w:t>Derivative Financial Instruments</w:t>
      </w:r>
      <w:r>
        <w:rPr>
          <w:rFonts w:ascii="Arial" w:cs="Arial" w:eastAsia="Arial" w:hAnsi="Arial"/>
          <w:sz w:val="14"/>
          <w:szCs w:val="14"/>
          <w:color w:val="auto"/>
        </w:rPr>
        <w:t>.</w:t>
      </w:r>
    </w:p>
    <w:p>
      <w:pPr>
        <w:sectPr>
          <w:pgSz w:w="11900" w:h="16838" w:orient="portrait"/>
          <w:cols w:equalWidth="0" w:num="1">
            <w:col w:w="11240"/>
          </w:cols>
          <w:pgMar w:left="320" w:top="130" w:right="339" w:bottom="547"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130" w:right="339" w:bottom="547" w:gutter="0" w:footer="0" w:header="0"/>
          <w:type w:val="continuous"/>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three and six months ended June 30, 2020, and June 30, 2019, the changes in Level 3 assets and liabilities measured at fair value on a recurring basis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5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4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Net Derivative</w:t>
            </w:r>
          </w:p>
        </w:tc>
        <w:tc>
          <w:tcPr>
            <w:tcW w:w="0" w:type="dxa"/>
            <w:vAlign w:val="bottom"/>
          </w:tcPr>
          <w:p>
            <w:pPr>
              <w:spacing w:after="0"/>
              <w:rPr>
                <w:sz w:val="1"/>
                <w:szCs w:val="1"/>
                <w:color w:val="auto"/>
              </w:rPr>
            </w:pPr>
          </w:p>
        </w:tc>
      </w:tr>
      <w:tr>
        <w:trPr>
          <w:trHeight w:val="194"/>
        </w:trPr>
        <w:tc>
          <w:tcPr>
            <w:tcW w:w="41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Assets and</w:t>
            </w:r>
          </w:p>
        </w:tc>
        <w:tc>
          <w:tcPr>
            <w:tcW w:w="0" w:type="dxa"/>
            <w:vAlign w:val="bottom"/>
          </w:tcPr>
          <w:p>
            <w:pPr>
              <w:spacing w:after="0"/>
              <w:rPr>
                <w:sz w:val="1"/>
                <w:szCs w:val="1"/>
                <w:color w:val="auto"/>
              </w:rPr>
            </w:pPr>
          </w:p>
        </w:tc>
      </w:tr>
      <w:tr>
        <w:trPr>
          <w:trHeight w:val="251"/>
        </w:trPr>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9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7"/>
              </w:rPr>
              <w:t xml:space="preserve">Servicing Rights </w:t>
            </w:r>
            <w:r>
              <w:rPr>
                <w:rFonts w:ascii="Arial" w:cs="Arial" w:eastAsia="Arial" w:hAnsi="Arial"/>
                <w:sz w:val="17"/>
                <w:szCs w:val="17"/>
                <w:b w:val="1"/>
                <w:bCs w:val="1"/>
                <w:color w:val="auto"/>
                <w:w w:val="97"/>
                <w:vertAlign w:val="superscript"/>
              </w:rPr>
              <w:t>1</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xml:space="preserve">Liabilities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45"/>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Three Months Ended June 30, 2020</w:t>
            </w:r>
          </w:p>
        </w:tc>
        <w:tc>
          <w:tcPr>
            <w:tcW w:w="39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0"/>
              <w:spacing w:after="0"/>
              <w:rPr>
                <w:sz w:val="20"/>
                <w:szCs w:val="20"/>
                <w:color w:val="auto"/>
              </w:rPr>
            </w:pPr>
            <w:r>
              <w:rPr>
                <w:rFonts w:ascii="Arial" w:cs="Arial" w:eastAsia="Arial" w:hAnsi="Arial"/>
                <w:sz w:val="16"/>
                <w:szCs w:val="16"/>
                <w:b w:val="1"/>
                <w:bCs w:val="1"/>
                <w:color w:val="auto"/>
              </w:rPr>
              <w:t>Balance as of April 1, 2020</w:t>
            </w:r>
          </w:p>
        </w:tc>
        <w:tc>
          <w:tcPr>
            <w:tcW w:w="3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1,101</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80,680</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39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380"/>
              <w:spacing w:after="0"/>
              <w:rPr>
                <w:sz w:val="20"/>
                <w:szCs w:val="20"/>
                <w:color w:val="auto"/>
              </w:rPr>
            </w:pPr>
            <w:r>
              <w:rPr>
                <w:rFonts w:ascii="Arial" w:cs="Arial" w:eastAsia="Arial" w:hAnsi="Arial"/>
                <w:sz w:val="16"/>
                <w:szCs w:val="16"/>
                <w:color w:val="auto"/>
              </w:rPr>
              <w:t>Included in Net Income</w:t>
            </w:r>
          </w:p>
        </w:tc>
        <w:tc>
          <w:tcPr>
            <w:tcW w:w="394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(33)</w:t>
            </w:r>
          </w:p>
        </w:tc>
        <w:tc>
          <w:tcPr>
            <w:tcW w:w="3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4,290</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to Loans Held for Sale</w:t>
            </w:r>
          </w:p>
        </w:tc>
        <w:tc>
          <w:tcPr>
            <w:tcW w:w="39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(5,625)</w:t>
            </w:r>
          </w:p>
        </w:tc>
        <w:tc>
          <w:tcPr>
            <w:tcW w:w="0" w:type="dxa"/>
            <w:vAlign w:val="bottom"/>
          </w:tcPr>
          <w:p>
            <w:pPr>
              <w:spacing w:after="0"/>
              <w:rPr>
                <w:sz w:val="1"/>
                <w:szCs w:val="1"/>
                <w:color w:val="auto"/>
              </w:rPr>
            </w:pPr>
          </w:p>
        </w:tc>
      </w:tr>
      <w:tr>
        <w:trPr>
          <w:trHeight w:val="237"/>
        </w:trPr>
        <w:tc>
          <w:tcPr>
            <w:tcW w:w="4180" w:type="dxa"/>
            <w:vAlign w:val="bottom"/>
          </w:tcPr>
          <w:p>
            <w:pPr>
              <w:ind w:left="40"/>
              <w:spacing w:after="0"/>
              <w:rPr>
                <w:sz w:val="20"/>
                <w:szCs w:val="20"/>
                <w:color w:val="auto"/>
              </w:rPr>
            </w:pPr>
            <w:r>
              <w:rPr>
                <w:rFonts w:ascii="Arial" w:cs="Arial" w:eastAsia="Arial" w:hAnsi="Arial"/>
                <w:sz w:val="16"/>
                <w:szCs w:val="16"/>
                <w:color w:val="auto"/>
              </w:rPr>
              <w:t>Variation Margin Payments</w:t>
            </w:r>
          </w:p>
        </w:tc>
        <w:tc>
          <w:tcPr>
            <w:tcW w:w="394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9,650</w:t>
            </w:r>
          </w:p>
        </w:tc>
        <w:tc>
          <w:tcPr>
            <w:tcW w:w="0" w:type="dxa"/>
            <w:vAlign w:val="bottom"/>
          </w:tcPr>
          <w:p>
            <w:pPr>
              <w:spacing w:after="0"/>
              <w:rPr>
                <w:sz w:val="1"/>
                <w:szCs w:val="1"/>
                <w:color w:val="auto"/>
              </w:rPr>
            </w:pPr>
          </w:p>
        </w:tc>
      </w:tr>
      <w:tr>
        <w:trPr>
          <w:trHeight w:val="33"/>
        </w:trPr>
        <w:tc>
          <w:tcPr>
            <w:tcW w:w="41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Balance as of June 30, 2020</w:t>
            </w:r>
          </w:p>
        </w:tc>
        <w:tc>
          <w:tcPr>
            <w:tcW w:w="3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1,068</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88,995</w:t>
            </w:r>
          </w:p>
        </w:tc>
        <w:tc>
          <w:tcPr>
            <w:tcW w:w="0" w:type="dxa"/>
            <w:vAlign w:val="bottom"/>
          </w:tcPr>
          <w:p>
            <w:pPr>
              <w:spacing w:after="0"/>
              <w:rPr>
                <w:sz w:val="1"/>
                <w:szCs w:val="1"/>
                <w:color w:val="auto"/>
              </w:rPr>
            </w:pPr>
          </w:p>
        </w:tc>
      </w:tr>
      <w:tr>
        <w:trPr>
          <w:trHeight w:val="20"/>
        </w:trPr>
        <w:tc>
          <w:tcPr>
            <w:tcW w:w="4180" w:type="dxa"/>
            <w:vAlign w:val="bottom"/>
            <w:tcBorders>
              <w:top w:val="single" w:sz="8" w:color="auto"/>
              <w:bottom w:val="single" w:sz="8" w:color="auto"/>
            </w:tcBorders>
          </w:tcPr>
          <w:p>
            <w:pPr>
              <w:spacing w:after="0" w:line="20" w:lineRule="exact"/>
              <w:rPr>
                <w:sz w:val="1"/>
                <w:szCs w:val="1"/>
                <w:color w:val="auto"/>
              </w:rPr>
            </w:pPr>
          </w:p>
        </w:tc>
        <w:tc>
          <w:tcPr>
            <w:tcW w:w="39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Pr>
          <w:p>
            <w:pPr>
              <w:ind w:left="40"/>
              <w:spacing w:after="0"/>
              <w:rPr>
                <w:sz w:val="20"/>
                <w:szCs w:val="20"/>
                <w:color w:val="auto"/>
              </w:rPr>
            </w:pPr>
            <w:r>
              <w:rPr>
                <w:rFonts w:ascii="Arial" w:cs="Arial" w:eastAsia="Arial" w:hAnsi="Arial"/>
                <w:sz w:val="16"/>
                <w:szCs w:val="16"/>
                <w:b w:val="1"/>
                <w:bCs w:val="1"/>
                <w:color w:val="auto"/>
                <w:w w:val="91"/>
              </w:rPr>
              <w:t>Total Unrealized Net Gains (Losses) Included in Net Income</w:t>
            </w:r>
          </w:p>
        </w:tc>
        <w:tc>
          <w:tcPr>
            <w:tcW w:w="3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200"/>
              <w:spacing w:after="0"/>
              <w:rPr>
                <w:sz w:val="20"/>
                <w:szCs w:val="20"/>
                <w:color w:val="auto"/>
              </w:rPr>
            </w:pPr>
            <w:r>
              <w:rPr>
                <w:rFonts w:ascii="Arial" w:cs="Arial" w:eastAsia="Arial" w:hAnsi="Arial"/>
                <w:sz w:val="16"/>
                <w:szCs w:val="16"/>
                <w:b w:val="1"/>
                <w:bCs w:val="1"/>
                <w:color w:val="auto"/>
              </w:rPr>
              <w:t>Related to Assets Still Held as of June 30, 2020</w:t>
            </w:r>
          </w:p>
        </w:tc>
        <w:tc>
          <w:tcPr>
            <w:tcW w:w="3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88,995</w:t>
            </w:r>
          </w:p>
        </w:tc>
        <w:tc>
          <w:tcPr>
            <w:tcW w:w="0" w:type="dxa"/>
            <w:vAlign w:val="bottom"/>
          </w:tcPr>
          <w:p>
            <w:pPr>
              <w:spacing w:after="0"/>
              <w:rPr>
                <w:sz w:val="1"/>
                <w:szCs w:val="1"/>
                <w:color w:val="auto"/>
              </w:rPr>
            </w:pPr>
          </w:p>
        </w:tc>
      </w:tr>
      <w:tr>
        <w:trPr>
          <w:trHeight w:val="73"/>
        </w:trPr>
        <w:tc>
          <w:tcPr>
            <w:tcW w:w="4180" w:type="dxa"/>
            <w:vAlign w:val="bottom"/>
            <w:tcBorders>
              <w:bottom w:val="single" w:sz="8" w:color="auto"/>
            </w:tcBorders>
          </w:tcPr>
          <w:p>
            <w:pPr>
              <w:spacing w:after="0"/>
              <w:rPr>
                <w:sz w:val="6"/>
                <w:szCs w:val="6"/>
                <w:color w:val="auto"/>
              </w:rPr>
            </w:pPr>
          </w:p>
        </w:tc>
        <w:tc>
          <w:tcPr>
            <w:tcW w:w="39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4180" w:type="dxa"/>
            <w:vAlign w:val="bottom"/>
            <w:shd w:val="clear" w:color="auto" w:fill="CCEEFF"/>
          </w:tcPr>
          <w:p>
            <w:pPr>
              <w:spacing w:after="0"/>
              <w:rPr>
                <w:sz w:val="21"/>
                <w:szCs w:val="21"/>
                <w:color w:val="auto"/>
              </w:rPr>
            </w:pPr>
          </w:p>
        </w:tc>
        <w:tc>
          <w:tcPr>
            <w:tcW w:w="39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0"/>
              <w:spacing w:after="0"/>
              <w:rPr>
                <w:sz w:val="20"/>
                <w:szCs w:val="20"/>
                <w:color w:val="auto"/>
              </w:rPr>
            </w:pPr>
            <w:r>
              <w:rPr>
                <w:rFonts w:ascii="Arial" w:cs="Arial" w:eastAsia="Arial" w:hAnsi="Arial"/>
                <w:sz w:val="16"/>
                <w:szCs w:val="16"/>
                <w:b w:val="1"/>
                <w:bCs w:val="1"/>
                <w:color w:val="auto"/>
              </w:rPr>
              <w:t>Three Months Ended June 30, 2019</w:t>
            </w:r>
          </w:p>
        </w:tc>
        <w:tc>
          <w:tcPr>
            <w:tcW w:w="3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Balance as of April 1, 2019</w:t>
            </w:r>
          </w:p>
        </w:tc>
        <w:tc>
          <w:tcPr>
            <w:tcW w:w="3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1,268</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9,175</w:t>
            </w:r>
          </w:p>
        </w:tc>
        <w:tc>
          <w:tcPr>
            <w:tcW w:w="0" w:type="dxa"/>
            <w:vAlign w:val="bottom"/>
          </w:tcPr>
          <w:p>
            <w:pPr>
              <w:spacing w:after="0"/>
              <w:rPr>
                <w:sz w:val="1"/>
                <w:szCs w:val="1"/>
                <w:color w:val="auto"/>
              </w:rPr>
            </w:pPr>
          </w:p>
        </w:tc>
      </w:tr>
      <w:tr>
        <w:trPr>
          <w:trHeight w:val="237"/>
        </w:trPr>
        <w:tc>
          <w:tcPr>
            <w:tcW w:w="4180" w:type="dxa"/>
            <w:vAlign w:val="bottom"/>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3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Included in Net Income</w:t>
            </w:r>
          </w:p>
        </w:tc>
        <w:tc>
          <w:tcPr>
            <w:tcW w:w="39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3,530</w:t>
            </w:r>
          </w:p>
        </w:tc>
        <w:tc>
          <w:tcPr>
            <w:tcW w:w="0" w:type="dxa"/>
            <w:vAlign w:val="bottom"/>
          </w:tcPr>
          <w:p>
            <w:pPr>
              <w:spacing w:after="0"/>
              <w:rPr>
                <w:sz w:val="1"/>
                <w:szCs w:val="1"/>
                <w:color w:val="auto"/>
              </w:rPr>
            </w:pPr>
          </w:p>
        </w:tc>
      </w:tr>
      <w:tr>
        <w:trPr>
          <w:trHeight w:val="237"/>
        </w:trPr>
        <w:tc>
          <w:tcPr>
            <w:tcW w:w="4180" w:type="dxa"/>
            <w:vAlign w:val="bottom"/>
          </w:tcPr>
          <w:p>
            <w:pPr>
              <w:ind w:left="40"/>
              <w:spacing w:after="0"/>
              <w:rPr>
                <w:sz w:val="20"/>
                <w:szCs w:val="20"/>
                <w:color w:val="auto"/>
              </w:rPr>
            </w:pPr>
            <w:r>
              <w:rPr>
                <w:rFonts w:ascii="Arial" w:cs="Arial" w:eastAsia="Arial" w:hAnsi="Arial"/>
                <w:sz w:val="16"/>
                <w:szCs w:val="16"/>
                <w:color w:val="auto"/>
              </w:rPr>
              <w:t>Transfers to Loans Held for Sale</w:t>
            </w:r>
          </w:p>
        </w:tc>
        <w:tc>
          <w:tcPr>
            <w:tcW w:w="394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(2,517)</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Variation Margin Payments</w:t>
            </w:r>
          </w:p>
        </w:tc>
        <w:tc>
          <w:tcPr>
            <w:tcW w:w="39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9,768</w:t>
            </w:r>
          </w:p>
        </w:tc>
        <w:tc>
          <w:tcPr>
            <w:tcW w:w="0" w:type="dxa"/>
            <w:vAlign w:val="bottom"/>
          </w:tcPr>
          <w:p>
            <w:pPr>
              <w:spacing w:after="0"/>
              <w:rPr>
                <w:sz w:val="1"/>
                <w:szCs w:val="1"/>
                <w:color w:val="auto"/>
              </w:rPr>
            </w:pPr>
          </w:p>
        </w:tc>
      </w:tr>
      <w:tr>
        <w:trPr>
          <w:trHeight w:val="231"/>
        </w:trPr>
        <w:tc>
          <w:tcPr>
            <w:tcW w:w="4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June 30, 2019</w:t>
            </w:r>
          </w:p>
        </w:tc>
        <w:tc>
          <w:tcPr>
            <w:tcW w:w="3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1,212</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19,956</w:t>
            </w:r>
          </w:p>
        </w:tc>
        <w:tc>
          <w:tcPr>
            <w:tcW w:w="0" w:type="dxa"/>
            <w:vAlign w:val="bottom"/>
          </w:tcPr>
          <w:p>
            <w:pPr>
              <w:spacing w:after="0"/>
              <w:rPr>
                <w:sz w:val="1"/>
                <w:szCs w:val="1"/>
                <w:color w:val="auto"/>
              </w:rPr>
            </w:pPr>
          </w:p>
        </w:tc>
      </w:tr>
      <w:tr>
        <w:trPr>
          <w:trHeight w:val="73"/>
        </w:trPr>
        <w:tc>
          <w:tcPr>
            <w:tcW w:w="4180" w:type="dxa"/>
            <w:vAlign w:val="bottom"/>
            <w:tcBorders>
              <w:bottom w:val="single" w:sz="8" w:color="auto"/>
            </w:tcBorders>
          </w:tcPr>
          <w:p>
            <w:pPr>
              <w:spacing w:after="0"/>
              <w:rPr>
                <w:sz w:val="6"/>
                <w:szCs w:val="6"/>
                <w:color w:val="auto"/>
              </w:rPr>
            </w:pPr>
          </w:p>
        </w:tc>
        <w:tc>
          <w:tcPr>
            <w:tcW w:w="39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1"/>
                <w:shd w:val="clear" w:color="auto" w:fill="CCEEFF"/>
              </w:rPr>
              <w:t>Total Unrealized Net Gains (Losses) Included in Net Income</w:t>
            </w:r>
          </w:p>
        </w:tc>
        <w:tc>
          <w:tcPr>
            <w:tcW w:w="39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shd w:val="clear" w:color="auto" w:fill="CCEEFF"/>
              </w:rPr>
              <w:t>Related to Assets Still Held as of June 30, 2019</w:t>
            </w:r>
          </w:p>
        </w:tc>
        <w:tc>
          <w:tcPr>
            <w:tcW w:w="3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19,956</w:t>
            </w:r>
          </w:p>
        </w:tc>
        <w:tc>
          <w:tcPr>
            <w:tcW w:w="0" w:type="dxa"/>
            <w:vAlign w:val="bottom"/>
          </w:tcPr>
          <w:p>
            <w:pPr>
              <w:spacing w:after="0"/>
              <w:rPr>
                <w:sz w:val="1"/>
                <w:szCs w:val="1"/>
                <w:color w:val="auto"/>
              </w:rPr>
            </w:pPr>
          </w:p>
        </w:tc>
      </w:tr>
      <w:tr>
        <w:trPr>
          <w:trHeight w:val="20"/>
        </w:trPr>
        <w:tc>
          <w:tcPr>
            <w:tcW w:w="4180" w:type="dxa"/>
            <w:vAlign w:val="bottom"/>
            <w:tcBorders>
              <w:top w:val="single" w:sz="8" w:color="auto"/>
              <w:bottom w:val="single" w:sz="8" w:color="auto"/>
            </w:tcBorders>
          </w:tcPr>
          <w:p>
            <w:pPr>
              <w:spacing w:after="0" w:line="20" w:lineRule="exact"/>
              <w:rPr>
                <w:sz w:val="1"/>
                <w:szCs w:val="1"/>
                <w:color w:val="auto"/>
              </w:rPr>
            </w:pPr>
          </w:p>
        </w:tc>
        <w:tc>
          <w:tcPr>
            <w:tcW w:w="39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Six Months Ended June 30, 2020</w:t>
            </w:r>
          </w:p>
        </w:tc>
        <w:tc>
          <w:tcPr>
            <w:tcW w:w="39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0"/>
              <w:spacing w:after="0"/>
              <w:rPr>
                <w:sz w:val="20"/>
                <w:szCs w:val="20"/>
                <w:color w:val="auto"/>
              </w:rPr>
            </w:pPr>
            <w:r>
              <w:rPr>
                <w:rFonts w:ascii="Arial" w:cs="Arial" w:eastAsia="Arial" w:hAnsi="Arial"/>
                <w:sz w:val="16"/>
                <w:szCs w:val="16"/>
                <w:b w:val="1"/>
                <w:bCs w:val="1"/>
                <w:color w:val="auto"/>
              </w:rPr>
              <w:t>Balance as of January 1, 2020</w:t>
            </w:r>
          </w:p>
        </w:tc>
        <w:tc>
          <w:tcPr>
            <w:tcW w:w="3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1,126</w:t>
            </w:r>
          </w:p>
        </w:tc>
        <w:tc>
          <w:tcPr>
            <w:tcW w:w="3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22,573</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39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380"/>
              <w:spacing w:after="0"/>
              <w:rPr>
                <w:sz w:val="20"/>
                <w:szCs w:val="20"/>
                <w:color w:val="auto"/>
              </w:rPr>
            </w:pPr>
            <w:r>
              <w:rPr>
                <w:rFonts w:ascii="Arial" w:cs="Arial" w:eastAsia="Arial" w:hAnsi="Arial"/>
                <w:sz w:val="16"/>
                <w:szCs w:val="16"/>
                <w:color w:val="auto"/>
              </w:rPr>
              <w:t>Included in Net Income</w:t>
            </w:r>
          </w:p>
        </w:tc>
        <w:tc>
          <w:tcPr>
            <w:tcW w:w="394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(58)</w:t>
            </w:r>
          </w:p>
        </w:tc>
        <w:tc>
          <w:tcPr>
            <w:tcW w:w="3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10,462</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to Loans Held for Sale</w:t>
            </w:r>
          </w:p>
        </w:tc>
        <w:tc>
          <w:tcPr>
            <w:tcW w:w="39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(9,278)</w:t>
            </w:r>
          </w:p>
        </w:tc>
        <w:tc>
          <w:tcPr>
            <w:tcW w:w="0" w:type="dxa"/>
            <w:vAlign w:val="bottom"/>
          </w:tcPr>
          <w:p>
            <w:pPr>
              <w:spacing w:after="0"/>
              <w:rPr>
                <w:sz w:val="1"/>
                <w:szCs w:val="1"/>
                <w:color w:val="auto"/>
              </w:rPr>
            </w:pPr>
          </w:p>
        </w:tc>
      </w:tr>
      <w:tr>
        <w:trPr>
          <w:trHeight w:val="237"/>
        </w:trPr>
        <w:tc>
          <w:tcPr>
            <w:tcW w:w="4180" w:type="dxa"/>
            <w:vAlign w:val="bottom"/>
          </w:tcPr>
          <w:p>
            <w:pPr>
              <w:ind w:left="40"/>
              <w:spacing w:after="0"/>
              <w:rPr>
                <w:sz w:val="20"/>
                <w:szCs w:val="20"/>
                <w:color w:val="auto"/>
              </w:rPr>
            </w:pPr>
            <w:r>
              <w:rPr>
                <w:rFonts w:ascii="Arial" w:cs="Arial" w:eastAsia="Arial" w:hAnsi="Arial"/>
                <w:sz w:val="16"/>
                <w:szCs w:val="16"/>
                <w:color w:val="auto"/>
              </w:rPr>
              <w:t>Variation Margin Payments</w:t>
            </w:r>
          </w:p>
        </w:tc>
        <w:tc>
          <w:tcPr>
            <w:tcW w:w="394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65,238</w:t>
            </w:r>
          </w:p>
        </w:tc>
        <w:tc>
          <w:tcPr>
            <w:tcW w:w="0" w:type="dxa"/>
            <w:vAlign w:val="bottom"/>
          </w:tcPr>
          <w:p>
            <w:pPr>
              <w:spacing w:after="0"/>
              <w:rPr>
                <w:sz w:val="1"/>
                <w:szCs w:val="1"/>
                <w:color w:val="auto"/>
              </w:rPr>
            </w:pPr>
          </w:p>
        </w:tc>
      </w:tr>
      <w:tr>
        <w:trPr>
          <w:trHeight w:val="33"/>
        </w:trPr>
        <w:tc>
          <w:tcPr>
            <w:tcW w:w="41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Balance as of June 30, 2020</w:t>
            </w:r>
          </w:p>
        </w:tc>
        <w:tc>
          <w:tcPr>
            <w:tcW w:w="3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1,068</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88,995</w:t>
            </w:r>
          </w:p>
        </w:tc>
        <w:tc>
          <w:tcPr>
            <w:tcW w:w="0" w:type="dxa"/>
            <w:vAlign w:val="bottom"/>
          </w:tcPr>
          <w:p>
            <w:pPr>
              <w:spacing w:after="0"/>
              <w:rPr>
                <w:sz w:val="1"/>
                <w:szCs w:val="1"/>
                <w:color w:val="auto"/>
              </w:rPr>
            </w:pPr>
          </w:p>
        </w:tc>
      </w:tr>
      <w:tr>
        <w:trPr>
          <w:trHeight w:val="20"/>
        </w:trPr>
        <w:tc>
          <w:tcPr>
            <w:tcW w:w="4180" w:type="dxa"/>
            <w:vAlign w:val="bottom"/>
            <w:tcBorders>
              <w:top w:val="single" w:sz="8" w:color="auto"/>
              <w:bottom w:val="single" w:sz="8" w:color="auto"/>
            </w:tcBorders>
          </w:tcPr>
          <w:p>
            <w:pPr>
              <w:spacing w:after="0" w:line="20" w:lineRule="exact"/>
              <w:rPr>
                <w:sz w:val="1"/>
                <w:szCs w:val="1"/>
                <w:color w:val="auto"/>
              </w:rPr>
            </w:pPr>
          </w:p>
        </w:tc>
        <w:tc>
          <w:tcPr>
            <w:tcW w:w="39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Pr>
          <w:p>
            <w:pPr>
              <w:ind w:left="40"/>
              <w:spacing w:after="0"/>
              <w:rPr>
                <w:sz w:val="20"/>
                <w:szCs w:val="20"/>
                <w:color w:val="auto"/>
              </w:rPr>
            </w:pPr>
            <w:r>
              <w:rPr>
                <w:rFonts w:ascii="Arial" w:cs="Arial" w:eastAsia="Arial" w:hAnsi="Arial"/>
                <w:sz w:val="16"/>
                <w:szCs w:val="16"/>
                <w:b w:val="1"/>
                <w:bCs w:val="1"/>
                <w:color w:val="auto"/>
                <w:w w:val="91"/>
              </w:rPr>
              <w:t>Total Unrealized Net Gains (Losses) Included in Net Income</w:t>
            </w:r>
          </w:p>
        </w:tc>
        <w:tc>
          <w:tcPr>
            <w:tcW w:w="3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200"/>
              <w:spacing w:after="0"/>
              <w:rPr>
                <w:sz w:val="20"/>
                <w:szCs w:val="20"/>
                <w:color w:val="auto"/>
              </w:rPr>
            </w:pPr>
            <w:r>
              <w:rPr>
                <w:rFonts w:ascii="Arial" w:cs="Arial" w:eastAsia="Arial" w:hAnsi="Arial"/>
                <w:sz w:val="16"/>
                <w:szCs w:val="16"/>
                <w:b w:val="1"/>
                <w:bCs w:val="1"/>
                <w:color w:val="auto"/>
              </w:rPr>
              <w:t>Related to Assets Still Held as of June 30, 2020</w:t>
            </w:r>
          </w:p>
        </w:tc>
        <w:tc>
          <w:tcPr>
            <w:tcW w:w="3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88,995</w:t>
            </w:r>
          </w:p>
        </w:tc>
        <w:tc>
          <w:tcPr>
            <w:tcW w:w="0" w:type="dxa"/>
            <w:vAlign w:val="bottom"/>
          </w:tcPr>
          <w:p>
            <w:pPr>
              <w:spacing w:after="0"/>
              <w:rPr>
                <w:sz w:val="1"/>
                <w:szCs w:val="1"/>
                <w:color w:val="auto"/>
              </w:rPr>
            </w:pPr>
          </w:p>
        </w:tc>
      </w:tr>
      <w:tr>
        <w:trPr>
          <w:trHeight w:val="73"/>
        </w:trPr>
        <w:tc>
          <w:tcPr>
            <w:tcW w:w="4180" w:type="dxa"/>
            <w:vAlign w:val="bottom"/>
            <w:tcBorders>
              <w:bottom w:val="single" w:sz="8" w:color="auto"/>
            </w:tcBorders>
          </w:tcPr>
          <w:p>
            <w:pPr>
              <w:spacing w:after="0"/>
              <w:rPr>
                <w:sz w:val="6"/>
                <w:szCs w:val="6"/>
                <w:color w:val="auto"/>
              </w:rPr>
            </w:pPr>
          </w:p>
        </w:tc>
        <w:tc>
          <w:tcPr>
            <w:tcW w:w="39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180" w:type="dxa"/>
            <w:vAlign w:val="bottom"/>
            <w:shd w:val="clear" w:color="auto" w:fill="CCEEFF"/>
          </w:tcPr>
          <w:p>
            <w:pPr>
              <w:spacing w:after="0"/>
              <w:rPr>
                <w:sz w:val="21"/>
                <w:szCs w:val="21"/>
                <w:color w:val="auto"/>
              </w:rPr>
            </w:pPr>
          </w:p>
        </w:tc>
        <w:tc>
          <w:tcPr>
            <w:tcW w:w="39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 2019</w:t>
            </w:r>
          </w:p>
        </w:tc>
        <w:tc>
          <w:tcPr>
            <w:tcW w:w="3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January 1, 2019</w:t>
            </w:r>
          </w:p>
        </w:tc>
        <w:tc>
          <w:tcPr>
            <w:tcW w:w="3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1,290</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4,416</w:t>
            </w:r>
          </w:p>
        </w:tc>
        <w:tc>
          <w:tcPr>
            <w:tcW w:w="0" w:type="dxa"/>
            <w:vAlign w:val="bottom"/>
          </w:tcPr>
          <w:p>
            <w:pPr>
              <w:spacing w:after="0"/>
              <w:rPr>
                <w:sz w:val="1"/>
                <w:szCs w:val="1"/>
                <w:color w:val="auto"/>
              </w:rPr>
            </w:pPr>
          </w:p>
        </w:tc>
      </w:tr>
      <w:tr>
        <w:trPr>
          <w:trHeight w:val="237"/>
        </w:trPr>
        <w:tc>
          <w:tcPr>
            <w:tcW w:w="4180" w:type="dxa"/>
            <w:vAlign w:val="bottom"/>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3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Included in Net Income</w:t>
            </w:r>
          </w:p>
        </w:tc>
        <w:tc>
          <w:tcPr>
            <w:tcW w:w="39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5,243</w:t>
            </w:r>
          </w:p>
        </w:tc>
        <w:tc>
          <w:tcPr>
            <w:tcW w:w="0" w:type="dxa"/>
            <w:vAlign w:val="bottom"/>
          </w:tcPr>
          <w:p>
            <w:pPr>
              <w:spacing w:after="0"/>
              <w:rPr>
                <w:sz w:val="1"/>
                <w:szCs w:val="1"/>
                <w:color w:val="auto"/>
              </w:rPr>
            </w:pPr>
          </w:p>
        </w:tc>
      </w:tr>
      <w:tr>
        <w:trPr>
          <w:trHeight w:val="237"/>
        </w:trPr>
        <w:tc>
          <w:tcPr>
            <w:tcW w:w="4180" w:type="dxa"/>
            <w:vAlign w:val="bottom"/>
          </w:tcPr>
          <w:p>
            <w:pPr>
              <w:ind w:left="40"/>
              <w:spacing w:after="0"/>
              <w:rPr>
                <w:sz w:val="20"/>
                <w:szCs w:val="20"/>
                <w:color w:val="auto"/>
              </w:rPr>
            </w:pPr>
            <w:r>
              <w:rPr>
                <w:rFonts w:ascii="Arial" w:cs="Arial" w:eastAsia="Arial" w:hAnsi="Arial"/>
                <w:sz w:val="16"/>
                <w:szCs w:val="16"/>
                <w:color w:val="auto"/>
              </w:rPr>
              <w:t>Transfers to Loans Held for Sale</w:t>
            </w:r>
          </w:p>
        </w:tc>
        <w:tc>
          <w:tcPr>
            <w:tcW w:w="394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(4,014)</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Variation Margin Payments</w:t>
            </w:r>
          </w:p>
        </w:tc>
        <w:tc>
          <w:tcPr>
            <w:tcW w:w="39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14,311</w:t>
            </w:r>
          </w:p>
        </w:tc>
        <w:tc>
          <w:tcPr>
            <w:tcW w:w="0" w:type="dxa"/>
            <w:vAlign w:val="bottom"/>
          </w:tcPr>
          <w:p>
            <w:pPr>
              <w:spacing w:after="0"/>
              <w:rPr>
                <w:sz w:val="1"/>
                <w:szCs w:val="1"/>
                <w:color w:val="auto"/>
              </w:rPr>
            </w:pPr>
          </w:p>
        </w:tc>
      </w:tr>
      <w:tr>
        <w:trPr>
          <w:trHeight w:val="230"/>
        </w:trPr>
        <w:tc>
          <w:tcPr>
            <w:tcW w:w="4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June 30, 2019</w:t>
            </w:r>
          </w:p>
        </w:tc>
        <w:tc>
          <w:tcPr>
            <w:tcW w:w="3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1,212</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19,956</w:t>
            </w:r>
          </w:p>
        </w:tc>
        <w:tc>
          <w:tcPr>
            <w:tcW w:w="0" w:type="dxa"/>
            <w:vAlign w:val="bottom"/>
          </w:tcPr>
          <w:p>
            <w:pPr>
              <w:spacing w:after="0"/>
              <w:rPr>
                <w:sz w:val="1"/>
                <w:szCs w:val="1"/>
                <w:color w:val="auto"/>
              </w:rPr>
            </w:pPr>
          </w:p>
        </w:tc>
      </w:tr>
      <w:tr>
        <w:trPr>
          <w:trHeight w:val="73"/>
        </w:trPr>
        <w:tc>
          <w:tcPr>
            <w:tcW w:w="4180" w:type="dxa"/>
            <w:vAlign w:val="bottom"/>
            <w:tcBorders>
              <w:bottom w:val="single" w:sz="8" w:color="auto"/>
            </w:tcBorders>
          </w:tcPr>
          <w:p>
            <w:pPr>
              <w:spacing w:after="0"/>
              <w:rPr>
                <w:sz w:val="6"/>
                <w:szCs w:val="6"/>
                <w:color w:val="auto"/>
              </w:rPr>
            </w:pPr>
          </w:p>
        </w:tc>
        <w:tc>
          <w:tcPr>
            <w:tcW w:w="39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1"/>
              </w:rPr>
              <w:t>Total Unrealized Net Gains (Losses) Included in Net Income</w:t>
            </w:r>
          </w:p>
        </w:tc>
        <w:tc>
          <w:tcPr>
            <w:tcW w:w="39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Related to Assets Still Held as of June 30, 2019</w:t>
            </w:r>
          </w:p>
        </w:tc>
        <w:tc>
          <w:tcPr>
            <w:tcW w:w="3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19,956</w:t>
            </w:r>
          </w:p>
        </w:tc>
        <w:tc>
          <w:tcPr>
            <w:tcW w:w="0" w:type="dxa"/>
            <w:vAlign w:val="bottom"/>
          </w:tcPr>
          <w:p>
            <w:pPr>
              <w:spacing w:after="0"/>
              <w:rPr>
                <w:sz w:val="1"/>
                <w:szCs w:val="1"/>
                <w:color w:val="auto"/>
              </w:rPr>
            </w:pPr>
          </w:p>
        </w:tc>
      </w:tr>
      <w:tr>
        <w:trPr>
          <w:trHeight w:val="20"/>
        </w:trPr>
        <w:tc>
          <w:tcPr>
            <w:tcW w:w="4180" w:type="dxa"/>
            <w:vAlign w:val="bottom"/>
            <w:tcBorders>
              <w:top w:val="single" w:sz="8" w:color="auto"/>
              <w:bottom w:val="single" w:sz="8" w:color="auto"/>
            </w:tcBorders>
          </w:tcPr>
          <w:p>
            <w:pPr>
              <w:spacing w:after="0" w:line="20" w:lineRule="exact"/>
              <w:rPr>
                <w:sz w:val="1"/>
                <w:szCs w:val="1"/>
                <w:color w:val="auto"/>
              </w:rPr>
            </w:pPr>
          </w:p>
        </w:tc>
        <w:tc>
          <w:tcPr>
            <w:tcW w:w="39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23"/>
        </w:numPr>
        <w:rPr>
          <w:rFonts w:ascii="Arial" w:cs="Arial" w:eastAsia="Arial" w:hAnsi="Arial"/>
          <w:sz w:val="8"/>
          <w:szCs w:val="8"/>
          <w:color w:val="auto"/>
        </w:rPr>
      </w:pPr>
      <w:r>
        <w:rPr>
          <w:rFonts w:ascii="Arial" w:cs="Arial" w:eastAsia="Arial" w:hAnsi="Arial"/>
          <w:sz w:val="13"/>
          <w:szCs w:val="13"/>
          <w:color w:val="auto"/>
        </w:rPr>
        <w:t>Realized and unrealized gains and losses related to mortgage servicing rights are reported as a component of mortgage banking income in the Company’s consolidated statements of income.</w:t>
      </w:r>
    </w:p>
    <w:p>
      <w:pPr>
        <w:spacing w:after="0" w:line="24" w:lineRule="exact"/>
        <w:rPr>
          <w:rFonts w:ascii="Arial" w:cs="Arial" w:eastAsia="Arial" w:hAnsi="Arial"/>
          <w:sz w:val="8"/>
          <w:szCs w:val="8"/>
          <w:color w:val="auto"/>
        </w:rPr>
      </w:pPr>
    </w:p>
    <w:p>
      <w:pPr>
        <w:ind w:left="80" w:right="80" w:hanging="81"/>
        <w:spacing w:after="0" w:line="248" w:lineRule="auto"/>
        <w:rPr>
          <w:rFonts w:ascii="Arial" w:cs="Arial" w:eastAsia="Arial" w:hAnsi="Arial"/>
          <w:sz w:val="8"/>
          <w:szCs w:val="8"/>
          <w:color w:val="auto"/>
        </w:rPr>
      </w:pPr>
      <w:r>
        <w:rPr>
          <w:rFonts w:ascii="Arial" w:cs="Arial" w:eastAsia="Arial" w:hAnsi="Arial"/>
          <w:sz w:val="9"/>
          <w:szCs w:val="9"/>
          <w:color w:val="auto"/>
        </w:rPr>
        <w:t xml:space="preserve">2 </w:t>
      </w:r>
      <w:r>
        <w:rPr>
          <w:rFonts w:ascii="Arial" w:cs="Arial" w:eastAsia="Arial" w:hAnsi="Arial"/>
          <w:sz w:val="14"/>
          <w:szCs w:val="14"/>
          <w:color w:val="auto"/>
        </w:rPr>
        <w:t>Realized and unrealized gains and losses related to interest rate lock commitments are reported as a component of mortgage banking income in the Company’s consolidated statements of</w:t>
      </w:r>
      <w:r>
        <w:rPr>
          <w:rFonts w:ascii="Arial" w:cs="Arial" w:eastAsia="Arial" w:hAnsi="Arial"/>
          <w:sz w:val="9"/>
          <w:szCs w:val="9"/>
          <w:color w:val="auto"/>
        </w:rPr>
        <w:t xml:space="preserve"> </w:t>
      </w:r>
      <w:r>
        <w:rPr>
          <w:rFonts w:ascii="Arial" w:cs="Arial" w:eastAsia="Arial" w:hAnsi="Arial"/>
          <w:sz w:val="14"/>
          <w:szCs w:val="14"/>
          <w:color w:val="auto"/>
        </w:rPr>
        <w:t>income. Realized and unrealized gains and losses related to interest rate swap agreements are reported as a component of other noninterest income in the Company’s consolidated statements of income.</w:t>
      </w:r>
    </w:p>
    <w:p>
      <w:pPr>
        <w:sectPr>
          <w:pgSz w:w="11900" w:h="16838" w:orient="portrait"/>
          <w:cols w:equalWidth="0" w:num="1">
            <w:col w:w="11240"/>
          </w:cols>
          <w:pgMar w:left="320" w:top="130" w:right="339" w:bottom="1440"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130" w:right="339" w:bottom="1440" w:gutter="0" w:footer="0" w:header="0"/>
          <w:type w:val="continuous"/>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or nonrecurring basis as of June 30, 2020, and December 31, 2019, the significant unobservable inputs used in the fair value measurements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 2020</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right"/>
              <w:ind w:right="268"/>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2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9"/>
        </w:trPr>
        <w:tc>
          <w:tcPr>
            <w:tcW w:w="2560" w:type="dxa"/>
            <w:vAlign w:val="bottom"/>
          </w:tcPr>
          <w:p>
            <w:pPr>
              <w:spacing w:after="0"/>
              <w:rPr>
                <w:sz w:val="18"/>
                <w:szCs w:val="18"/>
                <w:color w:val="auto"/>
              </w:rPr>
            </w:pPr>
          </w:p>
        </w:tc>
        <w:tc>
          <w:tcPr>
            <w:tcW w:w="1460" w:type="dxa"/>
            <w:vAlign w:val="bottom"/>
          </w:tcPr>
          <w:p>
            <w:pPr>
              <w:jc w:val="right"/>
              <w:ind w:right="65"/>
              <w:spacing w:after="0"/>
              <w:rPr>
                <w:sz w:val="20"/>
                <w:szCs w:val="20"/>
                <w:color w:val="auto"/>
              </w:rPr>
            </w:pPr>
            <w:r>
              <w:rPr>
                <w:rFonts w:ascii="Arial" w:cs="Arial" w:eastAsia="Arial" w:hAnsi="Arial"/>
                <w:sz w:val="16"/>
                <w:szCs w:val="16"/>
                <w:b w:val="1"/>
                <w:bCs w:val="1"/>
                <w:color w:val="auto"/>
              </w:rPr>
              <w:t>Valuation</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ind w:right="125"/>
              <w:spacing w:after="0"/>
              <w:rPr>
                <w:sz w:val="20"/>
                <w:szCs w:val="20"/>
                <w:color w:val="auto"/>
              </w:rPr>
            </w:pPr>
            <w:r>
              <w:rPr>
                <w:rFonts w:ascii="Arial" w:cs="Arial" w:eastAsia="Arial" w:hAnsi="Arial"/>
                <w:sz w:val="16"/>
                <w:szCs w:val="16"/>
                <w:b w:val="1"/>
                <w:bCs w:val="1"/>
                <w:color w:val="auto"/>
              </w:rPr>
              <w:t>Weighted</w:t>
            </w:r>
          </w:p>
        </w:tc>
        <w:tc>
          <w:tcPr>
            <w:tcW w:w="2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Fair</w:t>
            </w:r>
          </w:p>
        </w:tc>
        <w:tc>
          <w:tcPr>
            <w:tcW w:w="1080" w:type="dxa"/>
            <w:vAlign w:val="bottom"/>
          </w:tcPr>
          <w:p>
            <w:pPr>
              <w:jc w:val="right"/>
              <w:ind w:right="124"/>
              <w:spacing w:after="0"/>
              <w:rPr>
                <w:sz w:val="20"/>
                <w:szCs w:val="20"/>
                <w:color w:val="auto"/>
              </w:rPr>
            </w:pPr>
            <w:r>
              <w:rPr>
                <w:rFonts w:ascii="Arial" w:cs="Arial" w:eastAsia="Arial" w:hAnsi="Arial"/>
                <w:sz w:val="16"/>
                <w:szCs w:val="16"/>
                <w:b w:val="1"/>
                <w:bCs w:val="1"/>
                <w:color w:val="auto"/>
              </w:rPr>
              <w:t>Weighted</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43"/>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46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Technique</w:t>
            </w:r>
          </w:p>
        </w:tc>
        <w:tc>
          <w:tcPr>
            <w:tcW w:w="142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rPr>
              <w:t>Description</w:t>
            </w:r>
          </w:p>
        </w:tc>
        <w:tc>
          <w:tcPr>
            <w:tcW w:w="11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6"/>
                <w:szCs w:val="16"/>
                <w:b w:val="1"/>
                <w:bCs w:val="1"/>
                <w:color w:val="auto"/>
              </w:rPr>
              <w:t>Range</w:t>
            </w:r>
          </w:p>
        </w:tc>
        <w:tc>
          <w:tcPr>
            <w:tcW w:w="6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b w:val="1"/>
                <w:bCs w:val="1"/>
                <w:color w:val="auto"/>
              </w:rPr>
              <w:t>Average</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Value</w:t>
            </w:r>
          </w:p>
        </w:tc>
        <w:tc>
          <w:tcPr>
            <w:tcW w:w="108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rPr>
              <w:t>Average</w:t>
            </w:r>
            <w:r>
              <w:rPr>
                <w:rFonts w:ascii="Arial" w:cs="Arial" w:eastAsia="Arial" w:hAnsi="Arial"/>
                <w:sz w:val="21"/>
                <w:szCs w:val="21"/>
                <w:b w:val="1"/>
                <w:bCs w:val="1"/>
                <w:color w:val="auto"/>
                <w:vertAlign w:val="superscript"/>
              </w:rPr>
              <w:t>1</w:t>
            </w: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Fair Value</w:t>
            </w:r>
          </w:p>
        </w:tc>
      </w:tr>
      <w:tr>
        <w:trPr>
          <w:trHeight w:val="150"/>
        </w:trPr>
        <w:tc>
          <w:tcPr>
            <w:tcW w:w="256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65"/>
              <w:spacing w:after="0" w:line="151" w:lineRule="exact"/>
              <w:rPr>
                <w:sz w:val="20"/>
                <w:szCs w:val="20"/>
                <w:color w:val="auto"/>
              </w:rPr>
            </w:pPr>
            <w:r>
              <w:rPr>
                <w:rFonts w:ascii="Arial" w:cs="Arial" w:eastAsia="Arial" w:hAnsi="Arial"/>
                <w:sz w:val="14"/>
                <w:szCs w:val="14"/>
                <w:color w:val="auto"/>
              </w:rPr>
              <w:t>Discounted Cash</w:t>
            </w:r>
          </w:p>
        </w:tc>
        <w:tc>
          <w:tcPr>
            <w:tcW w:w="1420" w:type="dxa"/>
            <w:vAlign w:val="bottom"/>
            <w:shd w:val="clear" w:color="auto" w:fill="CCEEFF"/>
          </w:tcPr>
          <w:p>
            <w:pPr>
              <w:jc w:val="right"/>
              <w:ind w:right="147"/>
              <w:spacing w:after="0" w:line="151" w:lineRule="exact"/>
              <w:rPr>
                <w:sz w:val="20"/>
                <w:szCs w:val="20"/>
                <w:color w:val="auto"/>
              </w:rPr>
            </w:pPr>
            <w:r>
              <w:rPr>
                <w:rFonts w:ascii="Arial" w:cs="Arial" w:eastAsia="Arial" w:hAnsi="Arial"/>
                <w:sz w:val="14"/>
                <w:szCs w:val="14"/>
                <w:color w:val="auto"/>
              </w:rPr>
              <w:t>Constant</w:t>
            </w: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94"/>
        </w:trPr>
        <w:tc>
          <w:tcPr>
            <w:tcW w:w="2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Servicing Rights</w:t>
            </w:r>
          </w:p>
        </w:tc>
        <w:tc>
          <w:tcPr>
            <w:tcW w:w="146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rPr>
              <w:t>Flow</w:t>
            </w:r>
          </w:p>
        </w:tc>
        <w:tc>
          <w:tcPr>
            <w:tcW w:w="1420" w:type="dxa"/>
            <w:vAlign w:val="bottom"/>
            <w:shd w:val="clear" w:color="auto" w:fill="CCEEFF"/>
          </w:tcPr>
          <w:p>
            <w:pPr>
              <w:jc w:val="right"/>
              <w:ind w:right="187"/>
              <w:spacing w:after="0"/>
              <w:rPr>
                <w:sz w:val="20"/>
                <w:szCs w:val="20"/>
                <w:color w:val="auto"/>
              </w:rPr>
            </w:pPr>
            <w:r>
              <w:rPr>
                <w:rFonts w:ascii="Arial" w:cs="Arial" w:eastAsia="Arial" w:hAnsi="Arial"/>
                <w:sz w:val="14"/>
                <w:szCs w:val="14"/>
                <w:color w:val="auto"/>
              </w:rPr>
              <w:t>Prepayment Rate</w:t>
            </w: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9.47%</w:t>
            </w:r>
          </w:p>
        </w:tc>
        <w:tc>
          <w:tcPr>
            <w:tcW w:w="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2"/>
              </w:rPr>
              <w:t>15.99%</w:t>
            </w: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14.20%</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22,904</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rPr>
              <w:t>10.76%</w:t>
            </w:r>
          </w:p>
        </w:tc>
        <w:tc>
          <w:tcPr>
            <w:tcW w:w="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26,840</w:t>
            </w:r>
          </w:p>
        </w:tc>
      </w:tr>
      <w:tr>
        <w:trPr>
          <w:trHeight w:val="264"/>
        </w:trPr>
        <w:tc>
          <w:tcPr>
            <w:tcW w:w="25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20" w:type="dxa"/>
            <w:vAlign w:val="bottom"/>
          </w:tcPr>
          <w:p>
            <w:pPr>
              <w:jc w:val="right"/>
              <w:ind w:right="147"/>
              <w:spacing w:after="0"/>
              <w:rPr>
                <w:sz w:val="20"/>
                <w:szCs w:val="20"/>
                <w:color w:val="auto"/>
              </w:rPr>
            </w:pPr>
            <w:r>
              <w:rPr>
                <w:rFonts w:ascii="Arial" w:cs="Arial" w:eastAsia="Arial" w:hAnsi="Arial"/>
                <w:sz w:val="14"/>
                <w:szCs w:val="14"/>
                <w:color w:val="auto"/>
              </w:rPr>
              <w:t>Discount Rate</w:t>
            </w:r>
          </w:p>
        </w:tc>
        <w:tc>
          <w:tcPr>
            <w:tcW w:w="780" w:type="dxa"/>
            <w:vAlign w:val="bottom"/>
          </w:tcPr>
          <w:p>
            <w:pPr>
              <w:jc w:val="right"/>
              <w:ind w:right="5"/>
              <w:spacing w:after="0"/>
              <w:rPr>
                <w:sz w:val="20"/>
                <w:szCs w:val="20"/>
                <w:color w:val="auto"/>
              </w:rPr>
            </w:pPr>
            <w:r>
              <w:rPr>
                <w:rFonts w:ascii="Arial" w:cs="Arial" w:eastAsia="Arial" w:hAnsi="Arial"/>
                <w:sz w:val="14"/>
                <w:szCs w:val="14"/>
                <w:color w:val="auto"/>
              </w:rPr>
              <w:t>5.50%</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6.22%</w:t>
            </w:r>
          </w:p>
        </w:tc>
        <w:tc>
          <w:tcPr>
            <w:tcW w:w="1040" w:type="dxa"/>
            <w:vAlign w:val="bottom"/>
          </w:tcPr>
          <w:p>
            <w:pPr>
              <w:jc w:val="right"/>
              <w:ind w:right="5"/>
              <w:spacing w:after="0"/>
              <w:rPr>
                <w:sz w:val="20"/>
                <w:szCs w:val="20"/>
                <w:color w:val="auto"/>
              </w:rPr>
            </w:pPr>
            <w:r>
              <w:rPr>
                <w:rFonts w:ascii="Arial" w:cs="Arial" w:eastAsia="Arial" w:hAnsi="Arial"/>
                <w:sz w:val="14"/>
                <w:szCs w:val="14"/>
                <w:color w:val="auto"/>
              </w:rPr>
              <w:t>5.94%</w:t>
            </w: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4"/>
              <w:spacing w:after="0"/>
              <w:rPr>
                <w:sz w:val="20"/>
                <w:szCs w:val="20"/>
                <w:color w:val="auto"/>
              </w:rPr>
            </w:pPr>
            <w:r>
              <w:rPr>
                <w:rFonts w:ascii="Arial" w:cs="Arial" w:eastAsia="Arial" w:hAnsi="Arial"/>
                <w:sz w:val="14"/>
                <w:szCs w:val="14"/>
                <w:color w:val="auto"/>
              </w:rPr>
              <w:t>7.33%</w:t>
            </w: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6"/>
        </w:trPr>
        <w:tc>
          <w:tcPr>
            <w:tcW w:w="25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64"/>
        </w:trPr>
        <w:tc>
          <w:tcPr>
            <w:tcW w:w="2560" w:type="dxa"/>
            <w:vAlign w:val="bottom"/>
          </w:tcPr>
          <w:p>
            <w:pPr>
              <w:ind w:left="40"/>
              <w:spacing w:after="0"/>
              <w:rPr>
                <w:sz w:val="20"/>
                <w:szCs w:val="20"/>
                <w:color w:val="auto"/>
              </w:rPr>
            </w:pPr>
            <w:r>
              <w:rPr>
                <w:rFonts w:ascii="Arial" w:cs="Arial" w:eastAsia="Arial" w:hAnsi="Arial"/>
                <w:sz w:val="14"/>
                <w:szCs w:val="14"/>
                <w:color w:val="auto"/>
              </w:rPr>
              <w:t>Net Derivative Assets and Liabilities:</w:t>
            </w:r>
          </w:p>
        </w:tc>
        <w:tc>
          <w:tcPr>
            <w:tcW w:w="14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6"/>
        </w:trPr>
        <w:tc>
          <w:tcPr>
            <w:tcW w:w="2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Lock Commitments</w:t>
            </w:r>
          </w:p>
        </w:tc>
        <w:tc>
          <w:tcPr>
            <w:tcW w:w="146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rPr>
              <w:t>Pricing Model</w:t>
            </w:r>
          </w:p>
        </w:tc>
        <w:tc>
          <w:tcPr>
            <w:tcW w:w="1420" w:type="dxa"/>
            <w:vAlign w:val="bottom"/>
            <w:shd w:val="clear" w:color="auto" w:fill="CCEEFF"/>
          </w:tcPr>
          <w:p>
            <w:pPr>
              <w:jc w:val="right"/>
              <w:ind w:right="147"/>
              <w:spacing w:after="0"/>
              <w:rPr>
                <w:sz w:val="20"/>
                <w:szCs w:val="20"/>
                <w:color w:val="auto"/>
              </w:rPr>
            </w:pPr>
            <w:r>
              <w:rPr>
                <w:rFonts w:ascii="Arial" w:cs="Arial" w:eastAsia="Arial" w:hAnsi="Arial"/>
                <w:sz w:val="14"/>
                <w:szCs w:val="14"/>
                <w:color w:val="auto"/>
              </w:rPr>
              <w:t>Closing Ratio</w:t>
            </w: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82.10%</w:t>
            </w:r>
          </w:p>
        </w:tc>
        <w:tc>
          <w:tcPr>
            <w:tcW w:w="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2"/>
              </w:rPr>
              <w:t>99.00%</w:t>
            </w: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89.96%</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2,656</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rPr>
              <w:t>92.24%</w:t>
            </w:r>
          </w:p>
        </w:tc>
        <w:tc>
          <w:tcPr>
            <w:tcW w:w="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1,280</w:t>
            </w:r>
          </w:p>
        </w:tc>
      </w:tr>
      <w:tr>
        <w:trPr>
          <w:trHeight w:val="157"/>
        </w:trPr>
        <w:tc>
          <w:tcPr>
            <w:tcW w:w="2560" w:type="dxa"/>
            <w:vAlign w:val="bottom"/>
          </w:tcPr>
          <w:p>
            <w:pPr>
              <w:spacing w:after="0"/>
              <w:rPr>
                <w:sz w:val="13"/>
                <w:szCs w:val="13"/>
                <w:color w:val="auto"/>
              </w:rPr>
            </w:pPr>
          </w:p>
        </w:tc>
        <w:tc>
          <w:tcPr>
            <w:tcW w:w="1460" w:type="dxa"/>
            <w:vAlign w:val="bottom"/>
          </w:tcPr>
          <w:p>
            <w:pPr>
              <w:jc w:val="right"/>
              <w:ind w:right="65"/>
              <w:spacing w:after="0" w:line="157" w:lineRule="exact"/>
              <w:rPr>
                <w:sz w:val="20"/>
                <w:szCs w:val="20"/>
                <w:color w:val="auto"/>
              </w:rPr>
            </w:pPr>
            <w:r>
              <w:rPr>
                <w:rFonts w:ascii="Arial" w:cs="Arial" w:eastAsia="Arial" w:hAnsi="Arial"/>
                <w:sz w:val="14"/>
                <w:szCs w:val="14"/>
                <w:color w:val="auto"/>
              </w:rPr>
              <w:t>Discounted Cash</w:t>
            </w:r>
          </w:p>
        </w:tc>
        <w:tc>
          <w:tcPr>
            <w:tcW w:w="1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82"/>
        </w:trPr>
        <w:tc>
          <w:tcPr>
            <w:tcW w:w="2560" w:type="dxa"/>
            <w:vAlign w:val="bottom"/>
          </w:tcPr>
          <w:p>
            <w:pPr>
              <w:ind w:left="180"/>
              <w:spacing w:after="0"/>
              <w:rPr>
                <w:sz w:val="20"/>
                <w:szCs w:val="20"/>
                <w:color w:val="auto"/>
              </w:rPr>
            </w:pPr>
            <w:r>
              <w:rPr>
                <w:rFonts w:ascii="Arial" w:cs="Arial" w:eastAsia="Arial" w:hAnsi="Arial"/>
                <w:sz w:val="14"/>
                <w:szCs w:val="14"/>
                <w:color w:val="auto"/>
              </w:rPr>
              <w:t>Interest Rate Swap Agreements</w:t>
            </w:r>
          </w:p>
        </w:tc>
        <w:tc>
          <w:tcPr>
            <w:tcW w:w="1460" w:type="dxa"/>
            <w:vAlign w:val="bottom"/>
          </w:tcPr>
          <w:p>
            <w:pPr>
              <w:jc w:val="right"/>
              <w:ind w:right="65"/>
              <w:spacing w:after="0"/>
              <w:rPr>
                <w:sz w:val="20"/>
                <w:szCs w:val="20"/>
                <w:color w:val="auto"/>
              </w:rPr>
            </w:pPr>
            <w:r>
              <w:rPr>
                <w:rFonts w:ascii="Arial" w:cs="Arial" w:eastAsia="Arial" w:hAnsi="Arial"/>
                <w:sz w:val="14"/>
                <w:szCs w:val="14"/>
                <w:color w:val="auto"/>
              </w:rPr>
              <w:t>Flow</w:t>
            </w:r>
          </w:p>
        </w:tc>
        <w:tc>
          <w:tcPr>
            <w:tcW w:w="1420" w:type="dxa"/>
            <w:vAlign w:val="bottom"/>
          </w:tcPr>
          <w:p>
            <w:pPr>
              <w:jc w:val="right"/>
              <w:ind w:right="147"/>
              <w:spacing w:after="0"/>
              <w:rPr>
                <w:sz w:val="20"/>
                <w:szCs w:val="20"/>
                <w:color w:val="auto"/>
              </w:rPr>
            </w:pPr>
            <w:r>
              <w:rPr>
                <w:rFonts w:ascii="Arial" w:cs="Arial" w:eastAsia="Arial" w:hAnsi="Arial"/>
                <w:sz w:val="14"/>
                <w:szCs w:val="14"/>
                <w:color w:val="auto"/>
              </w:rPr>
              <w:t>Credit Factor</w:t>
            </w:r>
          </w:p>
        </w:tc>
        <w:tc>
          <w:tcPr>
            <w:tcW w:w="780" w:type="dxa"/>
            <w:vAlign w:val="bottom"/>
          </w:tcPr>
          <w:p>
            <w:pPr>
              <w:jc w:val="right"/>
              <w:ind w:right="5"/>
              <w:spacing w:after="0"/>
              <w:rPr>
                <w:sz w:val="20"/>
                <w:szCs w:val="20"/>
                <w:color w:val="auto"/>
              </w:rPr>
            </w:pPr>
            <w:r>
              <w:rPr>
                <w:rFonts w:ascii="Arial" w:cs="Arial" w:eastAsia="Arial" w:hAnsi="Arial"/>
                <w:sz w:val="14"/>
                <w:szCs w:val="14"/>
                <w:color w:val="auto"/>
              </w:rPr>
              <w:t>0.02%</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0.58%</w:t>
            </w:r>
          </w:p>
        </w:tc>
        <w:tc>
          <w:tcPr>
            <w:tcW w:w="1040" w:type="dxa"/>
            <w:vAlign w:val="bottom"/>
          </w:tcPr>
          <w:p>
            <w:pPr>
              <w:jc w:val="right"/>
              <w:ind w:right="5"/>
              <w:spacing w:after="0"/>
              <w:rPr>
                <w:sz w:val="20"/>
                <w:szCs w:val="20"/>
                <w:color w:val="auto"/>
              </w:rPr>
            </w:pPr>
            <w:r>
              <w:rPr>
                <w:rFonts w:ascii="Arial" w:cs="Arial" w:eastAsia="Arial" w:hAnsi="Arial"/>
                <w:sz w:val="14"/>
                <w:szCs w:val="14"/>
                <w:color w:val="auto"/>
              </w:rPr>
              <w:t>0.23%</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4"/>
              <w:spacing w:after="0"/>
              <w:rPr>
                <w:sz w:val="20"/>
                <w:szCs w:val="20"/>
                <w:color w:val="auto"/>
              </w:rPr>
            </w:pPr>
            <w:r>
              <w:rPr>
                <w:rFonts w:ascii="Arial" w:cs="Arial" w:eastAsia="Arial" w:hAnsi="Arial"/>
                <w:sz w:val="14"/>
                <w:szCs w:val="14"/>
                <w:color w:val="auto"/>
              </w:rPr>
              <w:t>86,339</w:t>
            </w:r>
          </w:p>
        </w:tc>
        <w:tc>
          <w:tcPr>
            <w:tcW w:w="12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Arial" w:cs="Arial" w:eastAsia="Arial" w:hAnsi="Arial"/>
                <w:sz w:val="14"/>
                <w:szCs w:val="14"/>
                <w:color w:val="auto"/>
              </w:rPr>
              <w:t>0.20%</w:t>
            </w:r>
          </w:p>
        </w:tc>
        <w:tc>
          <w:tcPr>
            <w:tcW w:w="300" w:type="dxa"/>
            <w:vAlign w:val="bottom"/>
          </w:tcPr>
          <w:p>
            <w:pPr>
              <w:ind w:left="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21,293</w:t>
            </w:r>
          </w:p>
        </w:tc>
      </w:tr>
    </w:tbl>
    <w:p>
      <w:pPr>
        <w:spacing w:after="0" w:line="317" w:lineRule="exact"/>
        <w:rPr>
          <w:sz w:val="20"/>
          <w:szCs w:val="20"/>
          <w:color w:val="auto"/>
        </w:rPr>
      </w:pPr>
    </w:p>
    <w:p>
      <w:pPr>
        <w:ind w:left="80" w:right="140" w:hanging="72"/>
        <w:spacing w:after="0" w:line="273" w:lineRule="auto"/>
        <w:tabs>
          <w:tab w:leader="none" w:pos="80" w:val="left"/>
        </w:tabs>
        <w:numPr>
          <w:ilvl w:val="0"/>
          <w:numId w:val="24"/>
        </w:numPr>
        <w:rPr>
          <w:rFonts w:ascii="Arial" w:cs="Arial" w:eastAsia="Arial" w:hAnsi="Arial"/>
          <w:sz w:val="9"/>
          <w:szCs w:val="9"/>
          <w:color w:val="auto"/>
        </w:rPr>
      </w:pPr>
      <w:r>
        <w:rPr>
          <w:rFonts w:ascii="Arial" w:cs="Arial" w:eastAsia="Arial" w:hAnsi="Arial"/>
          <w:sz w:val="14"/>
          <w:szCs w:val="14"/>
          <w:color w:val="auto"/>
        </w:rPr>
        <w:t>Unobservable inputs for mortgage servicing rights and interest rate lock commitments were weighted by loan amount. Unobservable inputs for interest rate swap agreements were weighted by fair value.</w:t>
      </w:r>
    </w:p>
    <w:p>
      <w:pPr>
        <w:spacing w:after="0" w:line="17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mortgage servicing rights are the weighted-average constant prepayment rate and weighted-average discount rate. Significant increases (decreases) in any of those inputs in isolation could result in a significantly lower (higher) fair value measurement. Although the constant prepayment rate and the discount rate are not directly interrelated, they generally move in opposite directions of each other.</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estimates the fair value of mortgage servicing rights by using a discounted cash flow model to calculate the present value of estimated future net servicing income. The Company’s Treasury Division enters observable and unobservable inputs into the model to arrive at an estimated fair value. To assess the reasonableness of the fair value measurement, the Treasury Division performs a back-test by comparing the model’s results to historical prepayment data. The Treasury Division also compares the fair value of the Company’s mortgage servicing rights to a value calculated by an independent third-party. Discussions are held with members from the Treasury, Mortgage Banking, and Controllers Divisions, along with the independent third-party to discuss and reconcile the fair value estimates and key assumptions used by the respective parties in arriving at those estimates. A subcommittee of the Company’s Asset/Liability Management Committee is responsible for providing oversight over the valuation methodology and key assumptions.</w:t>
      </w:r>
    </w:p>
    <w:p>
      <w:pPr>
        <w:spacing w:after="0" w:line="16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significant unobservable input used in the fair value measurement of the Company’s IRLCs is the closing ratio, which represents the percentage of loans currently in a lock position which management estimates will ultimately close. Generally, the fair value of an IRLC is positive (negative) if the prevailing interest rate is lower (higher) than the IRLC rate. Therefore, an increase in the closing ratio (i.e., higher percentage of loans are estimated to close) will increase the gain or loss. The closing ratio is largely dependent on the loan processing stage that a loan is currently in and the change in prevailing interest rates from the time of the rate lock. The closing ratio is computed by the Company’s secondary marketing system using historical data and the ratio is periodically reviewed by the Company for reasonableness.</w:t>
      </w:r>
    </w:p>
    <w:p>
      <w:pPr>
        <w:spacing w:after="0" w:line="17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unobservable input used in the fair value measurement of the Company’s interest rate swap agreements is the credit spread. This factor represents the risk that a counterparty is either unable or unwilling to settle a transaction in accordance with the underlying contractual terms. A significant increase (decrease) in the credit spread could result in a significantly lower (higher) fair value measurement. The credit spread is based upon the creditworthiness of the borrower and is input into a proprietary model that calculates fair value using probability of default, loss given default, and exposure at default.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30" w:right="3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may be required periodically to measure certain assets and liabilities at fair value on a nonrecurring basis in accordance with GAAP. These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fair value usually result from the application of lower-of-cost-or-fair value accounting or impairment write-downs of individual assets.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following table represents the assets measured at fair value on a nonrecurring basis as of June 30, 2020. There were no assets measured at fair value on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nonrecurring basis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Net Carrying</w:t>
            </w:r>
          </w:p>
        </w:tc>
        <w:tc>
          <w:tcPr>
            <w:tcW w:w="5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Valuation</w:t>
            </w:r>
          </w:p>
        </w:tc>
      </w:tr>
      <w:tr>
        <w:trPr>
          <w:trHeight w:val="237"/>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Fair Value Hierarchy</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Allowance</w:t>
            </w: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2020</w:t>
            </w:r>
          </w:p>
        </w:tc>
        <w:tc>
          <w:tcPr>
            <w:tcW w:w="3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180"/>
              <w:spacing w:after="0"/>
              <w:rPr>
                <w:sz w:val="20"/>
                <w:szCs w:val="20"/>
                <w:color w:val="auto"/>
              </w:rPr>
            </w:pPr>
            <w:r>
              <w:rPr>
                <w:rFonts w:ascii="Arial" w:cs="Arial" w:eastAsia="Arial" w:hAnsi="Arial"/>
                <w:sz w:val="16"/>
                <w:szCs w:val="16"/>
                <w:color w:val="auto"/>
              </w:rPr>
              <w:t>Mortgage Servicing Rights - amortization method</w:t>
            </w:r>
          </w:p>
        </w:tc>
        <w:tc>
          <w:tcPr>
            <w:tcW w:w="3040" w:type="dxa"/>
            <w:vAlign w:val="bottom"/>
          </w:tcPr>
          <w:p>
            <w:pPr>
              <w:jc w:val="right"/>
              <w:ind w:right="59"/>
              <w:spacing w:after="0"/>
              <w:rPr>
                <w:sz w:val="20"/>
                <w:szCs w:val="20"/>
                <w:color w:val="auto"/>
              </w:rPr>
            </w:pPr>
            <w:r>
              <w:rPr>
                <w:rFonts w:ascii="Arial" w:cs="Arial" w:eastAsia="Arial" w:hAnsi="Arial"/>
                <w:sz w:val="16"/>
                <w:szCs w:val="16"/>
                <w:color w:val="auto"/>
              </w:rPr>
              <w:t>Level 3</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21,836</w:t>
            </w:r>
          </w:p>
        </w:tc>
        <w:tc>
          <w:tcPr>
            <w:tcW w:w="5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(1,817)</w:t>
            </w:r>
          </w:p>
        </w:tc>
      </w:tr>
    </w:tbl>
    <w:p>
      <w:pPr>
        <w:spacing w:after="0" w:line="200" w:lineRule="exact"/>
        <w:rPr>
          <w:sz w:val="20"/>
          <w:szCs w:val="20"/>
          <w:color w:val="auto"/>
        </w:rPr>
      </w:pPr>
    </w:p>
    <w:p>
      <w:pPr>
        <w:spacing w:after="0" w:line="25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write-down of mortgage servicing rights accounted for under the amortization method was primarily due to changes in certain key assumptions used to estimate fair value. As previously mentioned, all of the Company's mortgage servicing rights are classified as Level 3 measurements due to the use of significant unobservable inputs, as well as significant management judgment and estimation.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elects the fair value option for all residential mortgage loans held for sale. This election allows for a more effective offset of the changes in fair values of the loans held for sale and the derivative financial instruments used to financially hedge them without having to apply complex hedge accounting requirements. As noted above, the fair value of the Company’s residential mortgage loans held for sale was determined based on quoted prices for similar loans in active markets.</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unpaid principal balance of the Company’s residential mortgage loans held for sale as of June 30, 2020, and December 31,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Aggregate Fair Value</w:t>
            </w:r>
          </w:p>
        </w:tc>
      </w:tr>
      <w:tr>
        <w:trPr>
          <w:trHeight w:val="203"/>
        </w:trPr>
        <w:tc>
          <w:tcPr>
            <w:tcW w:w="3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60" w:type="dxa"/>
            <w:vAlign w:val="bottom"/>
          </w:tcPr>
          <w:p>
            <w:pPr>
              <w:jc w:val="right"/>
              <w:ind w:right="339"/>
              <w:spacing w:after="0"/>
              <w:rPr>
                <w:sz w:val="20"/>
                <w:szCs w:val="20"/>
                <w:color w:val="auto"/>
              </w:rPr>
            </w:pPr>
            <w:r>
              <w:rPr>
                <w:rFonts w:ascii="Arial" w:cs="Arial" w:eastAsia="Arial" w:hAnsi="Arial"/>
                <w:sz w:val="16"/>
                <w:szCs w:val="16"/>
                <w:b w:val="1"/>
                <w:bCs w:val="1"/>
                <w:color w:val="auto"/>
              </w:rPr>
              <w:t>Aggregate</w:t>
            </w:r>
          </w:p>
        </w:tc>
        <w:tc>
          <w:tcPr>
            <w:tcW w:w="700" w:type="dxa"/>
            <w:vAlign w:val="bottom"/>
          </w:tcPr>
          <w:p>
            <w:pPr>
              <w:spacing w:after="0"/>
              <w:rPr>
                <w:sz w:val="17"/>
                <w:szCs w:val="17"/>
                <w:color w:val="auto"/>
              </w:rPr>
            </w:pPr>
          </w:p>
        </w:tc>
        <w:tc>
          <w:tcPr>
            <w:tcW w:w="1340" w:type="dxa"/>
            <w:vAlign w:val="bottom"/>
          </w:tcPr>
          <w:p>
            <w:pPr>
              <w:jc w:val="right"/>
              <w:ind w:right="339"/>
              <w:spacing w:after="0"/>
              <w:rPr>
                <w:sz w:val="20"/>
                <w:szCs w:val="20"/>
                <w:color w:val="auto"/>
              </w:rPr>
            </w:pPr>
            <w:r>
              <w:rPr>
                <w:rFonts w:ascii="Arial" w:cs="Arial" w:eastAsia="Arial" w:hAnsi="Arial"/>
                <w:sz w:val="16"/>
                <w:szCs w:val="16"/>
                <w:b w:val="1"/>
                <w:bCs w:val="1"/>
                <w:color w:val="auto"/>
              </w:rPr>
              <w:t>Aggregate</w:t>
            </w:r>
          </w:p>
        </w:tc>
        <w:tc>
          <w:tcPr>
            <w:tcW w:w="68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w w:val="99"/>
              </w:rPr>
              <w:t>Less Aggregate</w:t>
            </w:r>
          </w:p>
        </w:tc>
      </w:tr>
      <w:tr>
        <w:trPr>
          <w:trHeight w:val="237"/>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c>
          <w:tcPr>
            <w:tcW w:w="204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Unpaid Principal</w:t>
            </w:r>
          </w:p>
        </w:tc>
        <w:tc>
          <w:tcPr>
            <w:tcW w:w="6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5"/>
              </w:rPr>
              <w:t>Unpaid Principal</w:t>
            </w: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June 30, 2020</w:t>
            </w:r>
          </w:p>
        </w:tc>
        <w:tc>
          <w:tcPr>
            <w:tcW w:w="2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380"/>
              <w:spacing w:after="0"/>
              <w:rPr>
                <w:sz w:val="20"/>
                <w:szCs w:val="20"/>
                <w:color w:val="auto"/>
              </w:rPr>
            </w:pPr>
            <w:r>
              <w:rPr>
                <w:rFonts w:ascii="Arial" w:cs="Arial" w:eastAsia="Arial" w:hAnsi="Arial"/>
                <w:sz w:val="16"/>
                <w:szCs w:val="16"/>
                <w:color w:val="auto"/>
              </w:rPr>
              <w:t>Loans Held for Sale</w:t>
            </w:r>
          </w:p>
        </w:tc>
        <w:tc>
          <w:tcPr>
            <w:tcW w:w="2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39"/>
              <w:spacing w:after="0"/>
              <w:rPr>
                <w:sz w:val="20"/>
                <w:szCs w:val="20"/>
                <w:color w:val="auto"/>
              </w:rPr>
            </w:pPr>
            <w:r>
              <w:rPr>
                <w:rFonts w:ascii="Arial" w:cs="Arial" w:eastAsia="Arial" w:hAnsi="Arial"/>
                <w:sz w:val="16"/>
                <w:szCs w:val="16"/>
                <w:color w:val="auto"/>
              </w:rPr>
              <w:t>20,711</w:t>
            </w: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19,605</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1,106</w:t>
            </w:r>
          </w:p>
        </w:tc>
      </w:tr>
      <w:tr>
        <w:trPr>
          <w:trHeight w:val="33"/>
        </w:trPr>
        <w:tc>
          <w:tcPr>
            <w:tcW w:w="36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62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b w:val="1"/>
                <w:bCs w:val="1"/>
                <w:color w:val="auto"/>
              </w:rPr>
              <w:t>December 31, 2019</w:t>
            </w:r>
          </w:p>
        </w:tc>
        <w:tc>
          <w:tcPr>
            <w:tcW w:w="2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3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Loans Held for Sale</w:t>
            </w:r>
          </w:p>
        </w:tc>
        <w:tc>
          <w:tcPr>
            <w:tcW w:w="2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39,062</w:t>
            </w:r>
          </w:p>
        </w:tc>
        <w:tc>
          <w:tcPr>
            <w:tcW w:w="7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38,293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769</w:t>
            </w:r>
          </w:p>
        </w:tc>
      </w:tr>
      <w:tr>
        <w:trPr>
          <w:trHeight w:val="33"/>
        </w:trPr>
        <w:tc>
          <w:tcPr>
            <w:tcW w:w="36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Changes in the estimated fair value of residential mortgage loans held for sale are reported as a component of mortgage banking income in the Company’s consolidated statements of income. For the three and six months ended June 30, 2020, and June 30, 2019, the net gains or losses from the change in fair value of the Company’s residential mortgage loans held for sale were not material.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30" w:right="3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following presents the carrying amount, fair value, and placement in the fair value hierarchy of the Company’s financial instruments not recorded at fair value on a recurring basis as of June 30, 2020, and December 31, 2019.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and Federal Reserve Bank stock, the carrying amount is a reasonable estimate of fair value as these securities can only be redeemed or sold at their par value and only to the respective issuing government supported institution or to another member institution. For financial liabilities such as noninterest-bearing demand, interest-bearing demand, and savings deposits, the carrying amount is a reasonable estimate of fair value due to these products having no stated maturity.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3"/>
          </w:tcPr>
          <w:p>
            <w:pPr>
              <w:jc w:val="right"/>
              <w:spacing w:after="0"/>
              <w:rPr>
                <w:sz w:val="20"/>
                <w:szCs w:val="20"/>
                <w:color w:val="auto"/>
              </w:rPr>
            </w:pPr>
            <w:r>
              <w:rPr>
                <w:rFonts w:ascii="Arial" w:cs="Arial" w:eastAsia="Arial" w:hAnsi="Arial"/>
                <w:sz w:val="16"/>
                <w:szCs w:val="16"/>
                <w:b w:val="1"/>
                <w:bCs w:val="1"/>
                <w:color w:val="auto"/>
              </w:rPr>
              <w:t>Fair Value Measurements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5"/>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81"/>
              <w:spacing w:after="0" w:line="165" w:lineRule="exact"/>
              <w:rPr>
                <w:sz w:val="20"/>
                <w:szCs w:val="20"/>
                <w:color w:val="auto"/>
              </w:rPr>
            </w:pPr>
            <w:r>
              <w:rPr>
                <w:rFonts w:ascii="Arial" w:cs="Arial" w:eastAsia="Arial" w:hAnsi="Arial"/>
                <w:sz w:val="15"/>
                <w:szCs w:val="15"/>
                <w:b w:val="1"/>
                <w:bCs w:val="1"/>
                <w:color w:val="auto"/>
              </w:rPr>
              <w:t>Quoted Prices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81"/>
              <w:spacing w:after="0" w:line="162" w:lineRule="exact"/>
              <w:rPr>
                <w:sz w:val="20"/>
                <w:szCs w:val="20"/>
                <w:color w:val="auto"/>
              </w:rPr>
            </w:pPr>
            <w:r>
              <w:rPr>
                <w:rFonts w:ascii="Arial" w:cs="Arial" w:eastAsia="Arial" w:hAnsi="Arial"/>
                <w:sz w:val="15"/>
                <w:szCs w:val="15"/>
                <w:b w:val="1"/>
                <w:bCs w:val="1"/>
                <w:color w:val="auto"/>
              </w:rPr>
              <w:t>in Active</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81"/>
              <w:spacing w:after="0" w:line="162" w:lineRule="exact"/>
              <w:rPr>
                <w:sz w:val="20"/>
                <w:szCs w:val="20"/>
                <w:color w:val="auto"/>
              </w:rPr>
            </w:pPr>
            <w:r>
              <w:rPr>
                <w:rFonts w:ascii="Arial" w:cs="Arial" w:eastAsia="Arial" w:hAnsi="Arial"/>
                <w:sz w:val="15"/>
                <w:szCs w:val="15"/>
                <w:b w:val="1"/>
                <w:bCs w:val="1"/>
                <w:color w:val="auto"/>
              </w:rPr>
              <w:t>Markets for</w:t>
            </w:r>
          </w:p>
        </w:tc>
        <w:tc>
          <w:tcPr>
            <w:tcW w:w="380" w:type="dxa"/>
            <w:vAlign w:val="bottom"/>
          </w:tcPr>
          <w:p>
            <w:pPr>
              <w:spacing w:after="0"/>
              <w:rPr>
                <w:sz w:val="14"/>
                <w:szCs w:val="14"/>
                <w:color w:val="auto"/>
              </w:rPr>
            </w:pPr>
          </w:p>
        </w:tc>
        <w:tc>
          <w:tcPr>
            <w:tcW w:w="1200" w:type="dxa"/>
            <w:vAlign w:val="bottom"/>
          </w:tcPr>
          <w:p>
            <w:pPr>
              <w:jc w:val="right"/>
              <w:ind w:right="241"/>
              <w:spacing w:after="0" w:line="162" w:lineRule="exact"/>
              <w:rPr>
                <w:sz w:val="20"/>
                <w:szCs w:val="20"/>
                <w:color w:val="auto"/>
              </w:rPr>
            </w:pPr>
            <w:r>
              <w:rPr>
                <w:rFonts w:ascii="Arial" w:cs="Arial" w:eastAsia="Arial" w:hAnsi="Arial"/>
                <w:sz w:val="15"/>
                <w:szCs w:val="15"/>
                <w:b w:val="1"/>
                <w:bCs w:val="1"/>
                <w:color w:val="auto"/>
              </w:rPr>
              <w:t>Significant</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81"/>
              <w:spacing w:after="0" w:line="162" w:lineRule="exact"/>
              <w:rPr>
                <w:sz w:val="20"/>
                <w:szCs w:val="20"/>
                <w:color w:val="auto"/>
              </w:rPr>
            </w:pPr>
            <w:r>
              <w:rPr>
                <w:rFonts w:ascii="Arial" w:cs="Arial" w:eastAsia="Arial" w:hAnsi="Arial"/>
                <w:sz w:val="15"/>
                <w:szCs w:val="15"/>
                <w:b w:val="1"/>
                <w:bCs w:val="1"/>
                <w:color w:val="auto"/>
              </w:rPr>
              <w:t>Identical</w:t>
            </w:r>
          </w:p>
        </w:tc>
        <w:tc>
          <w:tcPr>
            <w:tcW w:w="380" w:type="dxa"/>
            <w:vAlign w:val="bottom"/>
          </w:tcPr>
          <w:p>
            <w:pPr>
              <w:spacing w:after="0"/>
              <w:rPr>
                <w:sz w:val="14"/>
                <w:szCs w:val="14"/>
                <w:color w:val="auto"/>
              </w:rPr>
            </w:pPr>
          </w:p>
        </w:tc>
        <w:tc>
          <w:tcPr>
            <w:tcW w:w="1200" w:type="dxa"/>
            <w:vAlign w:val="bottom"/>
          </w:tcPr>
          <w:p>
            <w:pPr>
              <w:jc w:val="right"/>
              <w:ind w:right="241"/>
              <w:spacing w:after="0" w:line="162" w:lineRule="exact"/>
              <w:rPr>
                <w:sz w:val="20"/>
                <w:szCs w:val="20"/>
                <w:color w:val="auto"/>
              </w:rPr>
            </w:pPr>
            <w:r>
              <w:rPr>
                <w:rFonts w:ascii="Arial" w:cs="Arial" w:eastAsia="Arial" w:hAnsi="Arial"/>
                <w:sz w:val="15"/>
                <w:szCs w:val="15"/>
                <w:b w:val="1"/>
                <w:bCs w:val="1"/>
                <w:color w:val="auto"/>
              </w:rPr>
              <w:t>Other</w:t>
            </w:r>
          </w:p>
        </w:tc>
        <w:tc>
          <w:tcPr>
            <w:tcW w:w="160" w:type="dxa"/>
            <w:vAlign w:val="bottom"/>
          </w:tcPr>
          <w:p>
            <w:pPr>
              <w:spacing w:after="0"/>
              <w:rPr>
                <w:sz w:val="14"/>
                <w:szCs w:val="14"/>
                <w:color w:val="auto"/>
              </w:rPr>
            </w:pPr>
          </w:p>
        </w:tc>
        <w:tc>
          <w:tcPr>
            <w:tcW w:w="1060" w:type="dxa"/>
            <w:vAlign w:val="bottom"/>
          </w:tcPr>
          <w:p>
            <w:pPr>
              <w:jc w:val="right"/>
              <w:ind w:right="20"/>
              <w:spacing w:after="0" w:line="162" w:lineRule="exact"/>
              <w:rPr>
                <w:sz w:val="20"/>
                <w:szCs w:val="20"/>
                <w:color w:val="auto"/>
              </w:rPr>
            </w:pPr>
            <w:r>
              <w:rPr>
                <w:rFonts w:ascii="Arial" w:cs="Arial" w:eastAsia="Arial" w:hAnsi="Arial"/>
                <w:sz w:val="15"/>
                <w:szCs w:val="15"/>
                <w:b w:val="1"/>
                <w:bCs w:val="1"/>
                <w:color w:val="auto"/>
              </w:rPr>
              <w:t>Significant</w:t>
            </w:r>
          </w:p>
        </w:tc>
      </w:tr>
      <w:tr>
        <w:trPr>
          <w:trHeight w:val="162"/>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81"/>
              <w:spacing w:after="0" w:line="162" w:lineRule="exact"/>
              <w:rPr>
                <w:sz w:val="20"/>
                <w:szCs w:val="20"/>
                <w:color w:val="auto"/>
              </w:rPr>
            </w:pPr>
            <w:r>
              <w:rPr>
                <w:rFonts w:ascii="Arial" w:cs="Arial" w:eastAsia="Arial" w:hAnsi="Arial"/>
                <w:sz w:val="15"/>
                <w:szCs w:val="15"/>
                <w:b w:val="1"/>
                <w:bCs w:val="1"/>
                <w:color w:val="auto"/>
              </w:rPr>
              <w:t>Assets or</w:t>
            </w:r>
          </w:p>
        </w:tc>
        <w:tc>
          <w:tcPr>
            <w:tcW w:w="380" w:type="dxa"/>
            <w:vAlign w:val="bottom"/>
          </w:tcPr>
          <w:p>
            <w:pPr>
              <w:spacing w:after="0"/>
              <w:rPr>
                <w:sz w:val="14"/>
                <w:szCs w:val="14"/>
                <w:color w:val="auto"/>
              </w:rPr>
            </w:pPr>
          </w:p>
        </w:tc>
        <w:tc>
          <w:tcPr>
            <w:tcW w:w="1200" w:type="dxa"/>
            <w:vAlign w:val="bottom"/>
          </w:tcPr>
          <w:p>
            <w:pPr>
              <w:jc w:val="right"/>
              <w:ind w:right="241"/>
              <w:spacing w:after="0" w:line="162" w:lineRule="exact"/>
              <w:rPr>
                <w:sz w:val="20"/>
                <w:szCs w:val="20"/>
                <w:color w:val="auto"/>
              </w:rPr>
            </w:pPr>
            <w:r>
              <w:rPr>
                <w:rFonts w:ascii="Arial" w:cs="Arial" w:eastAsia="Arial" w:hAnsi="Arial"/>
                <w:sz w:val="15"/>
                <w:szCs w:val="15"/>
                <w:b w:val="1"/>
                <w:bCs w:val="1"/>
                <w:color w:val="auto"/>
              </w:rPr>
              <w:t>Observable</w:t>
            </w:r>
          </w:p>
        </w:tc>
        <w:tc>
          <w:tcPr>
            <w:tcW w:w="160" w:type="dxa"/>
            <w:vAlign w:val="bottom"/>
          </w:tcPr>
          <w:p>
            <w:pPr>
              <w:spacing w:after="0"/>
              <w:rPr>
                <w:sz w:val="14"/>
                <w:szCs w:val="14"/>
                <w:color w:val="auto"/>
              </w:rPr>
            </w:pPr>
          </w:p>
        </w:tc>
        <w:tc>
          <w:tcPr>
            <w:tcW w:w="1060" w:type="dxa"/>
            <w:vAlign w:val="bottom"/>
          </w:tcPr>
          <w:p>
            <w:pPr>
              <w:jc w:val="right"/>
              <w:ind w:right="20"/>
              <w:spacing w:after="0" w:line="162" w:lineRule="exact"/>
              <w:rPr>
                <w:sz w:val="20"/>
                <w:szCs w:val="20"/>
                <w:color w:val="auto"/>
              </w:rPr>
            </w:pPr>
            <w:r>
              <w:rPr>
                <w:rFonts w:ascii="Arial" w:cs="Arial" w:eastAsia="Arial" w:hAnsi="Arial"/>
                <w:sz w:val="15"/>
                <w:szCs w:val="15"/>
                <w:b w:val="1"/>
                <w:bCs w:val="1"/>
                <w:color w:val="auto"/>
                <w:w w:val="94"/>
              </w:rPr>
              <w:t>Unobservable</w:t>
            </w:r>
          </w:p>
        </w:tc>
      </w:tr>
      <w:tr>
        <w:trPr>
          <w:trHeight w:val="198"/>
        </w:trPr>
        <w:tc>
          <w:tcPr>
            <w:tcW w:w="3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ind w:right="120"/>
              <w:spacing w:after="0"/>
              <w:rPr>
                <w:sz w:val="20"/>
                <w:szCs w:val="20"/>
                <w:color w:val="auto"/>
              </w:rPr>
            </w:pPr>
            <w:r>
              <w:rPr>
                <w:rFonts w:ascii="Arial" w:cs="Arial" w:eastAsia="Arial" w:hAnsi="Arial"/>
                <w:sz w:val="15"/>
                <w:szCs w:val="15"/>
                <w:b w:val="1"/>
                <w:bCs w:val="1"/>
                <w:color w:val="auto"/>
              </w:rPr>
              <w:t>Carrying</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81"/>
              <w:spacing w:after="0"/>
              <w:rPr>
                <w:sz w:val="20"/>
                <w:szCs w:val="20"/>
                <w:color w:val="auto"/>
              </w:rPr>
            </w:pPr>
            <w:r>
              <w:rPr>
                <w:rFonts w:ascii="Arial" w:cs="Arial" w:eastAsia="Arial" w:hAnsi="Arial"/>
                <w:sz w:val="15"/>
                <w:szCs w:val="15"/>
                <w:b w:val="1"/>
                <w:bCs w:val="1"/>
                <w:color w:val="auto"/>
              </w:rPr>
              <w:t>Liabilities</w:t>
            </w:r>
          </w:p>
        </w:tc>
        <w:tc>
          <w:tcPr>
            <w:tcW w:w="380" w:type="dxa"/>
            <w:vAlign w:val="bottom"/>
          </w:tcPr>
          <w:p>
            <w:pPr>
              <w:spacing w:after="0"/>
              <w:rPr>
                <w:sz w:val="17"/>
                <w:szCs w:val="17"/>
                <w:color w:val="auto"/>
              </w:rPr>
            </w:pPr>
          </w:p>
        </w:tc>
        <w:tc>
          <w:tcPr>
            <w:tcW w:w="1200" w:type="dxa"/>
            <w:vAlign w:val="bottom"/>
          </w:tcPr>
          <w:p>
            <w:pPr>
              <w:jc w:val="right"/>
              <w:ind w:right="241"/>
              <w:spacing w:after="0"/>
              <w:rPr>
                <w:sz w:val="20"/>
                <w:szCs w:val="20"/>
                <w:color w:val="auto"/>
              </w:rPr>
            </w:pPr>
            <w:r>
              <w:rPr>
                <w:rFonts w:ascii="Arial" w:cs="Arial" w:eastAsia="Arial" w:hAnsi="Arial"/>
                <w:sz w:val="15"/>
                <w:szCs w:val="15"/>
                <w:b w:val="1"/>
                <w:bCs w:val="1"/>
                <w:color w:val="auto"/>
              </w:rPr>
              <w:t>Inputs</w:t>
            </w:r>
          </w:p>
        </w:tc>
        <w:tc>
          <w:tcPr>
            <w:tcW w:w="16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5"/>
                <w:szCs w:val="15"/>
                <w:b w:val="1"/>
                <w:bCs w:val="1"/>
                <w:color w:val="auto"/>
              </w:rPr>
              <w:t>Inputs</w:t>
            </w:r>
          </w:p>
        </w:tc>
      </w:tr>
      <w:tr>
        <w:trPr>
          <w:trHeight w:val="216"/>
        </w:trPr>
        <w:tc>
          <w:tcPr>
            <w:tcW w:w="378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48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5"/>
                <w:szCs w:val="15"/>
                <w:b w:val="1"/>
                <w:bCs w:val="1"/>
                <w:color w:val="auto"/>
              </w:rPr>
              <w:t>Amount</w:t>
            </w:r>
          </w:p>
        </w:tc>
        <w:tc>
          <w:tcPr>
            <w:tcW w:w="420" w:type="dxa"/>
            <w:vAlign w:val="bottom"/>
          </w:tcPr>
          <w:p>
            <w:pPr>
              <w:spacing w:after="0"/>
              <w:rPr>
                <w:sz w:val="18"/>
                <w:szCs w:val="18"/>
                <w:color w:val="auto"/>
              </w:rPr>
            </w:pPr>
          </w:p>
        </w:tc>
        <w:tc>
          <w:tcPr>
            <w:tcW w:w="1220" w:type="dxa"/>
            <w:vAlign w:val="bottom"/>
          </w:tcPr>
          <w:p>
            <w:pPr>
              <w:jc w:val="right"/>
              <w:ind w:right="279"/>
              <w:spacing w:after="0"/>
              <w:rPr>
                <w:sz w:val="20"/>
                <w:szCs w:val="20"/>
                <w:color w:val="auto"/>
              </w:rPr>
            </w:pPr>
            <w:r>
              <w:rPr>
                <w:rFonts w:ascii="Arial" w:cs="Arial" w:eastAsia="Arial" w:hAnsi="Arial"/>
                <w:sz w:val="15"/>
                <w:szCs w:val="15"/>
                <w:b w:val="1"/>
                <w:bCs w:val="1"/>
                <w:color w:val="auto"/>
              </w:rPr>
              <w:t>Fair Value</w:t>
            </w:r>
          </w:p>
        </w:tc>
        <w:tc>
          <w:tcPr>
            <w:tcW w:w="26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5"/>
                <w:szCs w:val="15"/>
                <w:b w:val="1"/>
                <w:bCs w:val="1"/>
                <w:color w:val="auto"/>
              </w:rPr>
              <w:t>(Level 1)</w:t>
            </w:r>
          </w:p>
        </w:tc>
        <w:tc>
          <w:tcPr>
            <w:tcW w:w="380" w:type="dxa"/>
            <w:vAlign w:val="bottom"/>
          </w:tcPr>
          <w:p>
            <w:pPr>
              <w:spacing w:after="0"/>
              <w:rPr>
                <w:sz w:val="18"/>
                <w:szCs w:val="18"/>
                <w:color w:val="auto"/>
              </w:rPr>
            </w:pPr>
          </w:p>
        </w:tc>
        <w:tc>
          <w:tcPr>
            <w:tcW w:w="1200" w:type="dxa"/>
            <w:vAlign w:val="bottom"/>
          </w:tcPr>
          <w:p>
            <w:pPr>
              <w:jc w:val="right"/>
              <w:ind w:right="241"/>
              <w:spacing w:after="0"/>
              <w:rPr>
                <w:sz w:val="20"/>
                <w:szCs w:val="20"/>
                <w:color w:val="auto"/>
              </w:rPr>
            </w:pPr>
            <w:r>
              <w:rPr>
                <w:rFonts w:ascii="Arial" w:cs="Arial" w:eastAsia="Arial" w:hAnsi="Arial"/>
                <w:sz w:val="15"/>
                <w:szCs w:val="15"/>
                <w:b w:val="1"/>
                <w:bCs w:val="1"/>
                <w:color w:val="auto"/>
              </w:rPr>
              <w:t>(Level 2)</w:t>
            </w:r>
          </w:p>
        </w:tc>
        <w:tc>
          <w:tcPr>
            <w:tcW w:w="16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Arial" w:cs="Arial" w:eastAsia="Arial" w:hAnsi="Arial"/>
                <w:sz w:val="15"/>
                <w:szCs w:val="15"/>
                <w:b w:val="1"/>
                <w:bCs w:val="1"/>
                <w:color w:val="auto"/>
              </w:rPr>
              <w:t>(Level 3)</w:t>
            </w:r>
          </w:p>
        </w:tc>
      </w:tr>
      <w:tr>
        <w:trPr>
          <w:trHeight w:val="62"/>
        </w:trPr>
        <w:tc>
          <w:tcPr>
            <w:tcW w:w="37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43"/>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2020</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3,276,829</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3,374,294</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145,733</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3,228,561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21"/>
                <w:szCs w:val="21"/>
                <w:color w:val="auto"/>
                <w:vertAlign w:val="superscript"/>
              </w:rPr>
              <w:t>1</w:t>
            </w:r>
          </w:p>
        </w:tc>
        <w:tc>
          <w:tcPr>
            <w:tcW w:w="480" w:type="dxa"/>
            <w:vAlign w:val="bottom"/>
          </w:tcPr>
          <w:p>
            <w:pPr>
              <w:spacing w:after="0"/>
              <w:rPr>
                <w:sz w:val="23"/>
                <w:szCs w:val="23"/>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w w:val="99"/>
              </w:rPr>
              <w:t>11,435,573</w:t>
            </w:r>
          </w:p>
        </w:tc>
        <w:tc>
          <w:tcPr>
            <w:tcW w:w="420" w:type="dxa"/>
            <w:vAlign w:val="bottom"/>
          </w:tcPr>
          <w:p>
            <w:pPr>
              <w:spacing w:after="0"/>
              <w:rPr>
                <w:sz w:val="23"/>
                <w:szCs w:val="23"/>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12,041,071</w:t>
            </w:r>
          </w:p>
        </w:tc>
        <w:tc>
          <w:tcPr>
            <w:tcW w:w="260" w:type="dxa"/>
            <w:vAlign w:val="bottom"/>
          </w:tcPr>
          <w:p>
            <w:pPr>
              <w:spacing w:after="0"/>
              <w:rPr>
                <w:sz w:val="23"/>
                <w:szCs w:val="23"/>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12,041,071</w:t>
            </w:r>
          </w:p>
        </w:tc>
      </w:tr>
      <w:tr>
        <w:trPr>
          <w:trHeight w:val="270"/>
        </w:trPr>
        <w:tc>
          <w:tcPr>
            <w:tcW w:w="3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1,678,776</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1,689,258</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1,689,258</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w w:val="98"/>
              </w:rPr>
              <w:t>Securities Sold Under Agreements to Repurchase</w:t>
            </w:r>
          </w:p>
        </w:tc>
        <w:tc>
          <w:tcPr>
            <w:tcW w:w="480" w:type="dxa"/>
            <w:vAlign w:val="bottom"/>
          </w:tcPr>
          <w:p>
            <w:pPr>
              <w:spacing w:after="0"/>
              <w:rPr>
                <w:sz w:val="20"/>
                <w:szCs w:val="20"/>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603,206</w:t>
            </w:r>
          </w:p>
        </w:tc>
        <w:tc>
          <w:tcPr>
            <w:tcW w:w="420" w:type="dxa"/>
            <w:vAlign w:val="bottom"/>
          </w:tcPr>
          <w:p>
            <w:pPr>
              <w:spacing w:after="0"/>
              <w:rPr>
                <w:sz w:val="20"/>
                <w:szCs w:val="20"/>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652,859</w:t>
            </w:r>
          </w:p>
        </w:tc>
        <w:tc>
          <w:tcPr>
            <w:tcW w:w="260" w:type="dxa"/>
            <w:vAlign w:val="bottom"/>
          </w:tcPr>
          <w:p>
            <w:pPr>
              <w:spacing w:after="0"/>
              <w:rPr>
                <w:sz w:val="20"/>
                <w:szCs w:val="20"/>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41"/>
              <w:spacing w:after="0"/>
              <w:rPr>
                <w:sz w:val="20"/>
                <w:szCs w:val="20"/>
                <w:color w:val="auto"/>
              </w:rPr>
            </w:pPr>
            <w:r>
              <w:rPr>
                <w:rFonts w:ascii="Arial" w:cs="Arial" w:eastAsia="Arial" w:hAnsi="Arial"/>
                <w:sz w:val="16"/>
                <w:szCs w:val="16"/>
                <w:color w:val="auto"/>
              </w:rPr>
              <w:t>652,859</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50,000</w:t>
            </w: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51,785</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51,785</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2019</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3,042,294</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3,062,882</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275,663</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2,787,219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9"/>
        </w:trPr>
        <w:tc>
          <w:tcPr>
            <w:tcW w:w="378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17"/>
                <w:szCs w:val="17"/>
                <w:color w:val="auto"/>
                <w:vertAlign w:val="superscript"/>
              </w:rPr>
              <w:t>1</w:t>
            </w:r>
          </w:p>
        </w:tc>
        <w:tc>
          <w:tcPr>
            <w:tcW w:w="480" w:type="dxa"/>
            <w:vAlign w:val="bottom"/>
          </w:tcPr>
          <w:p>
            <w:pPr>
              <w:spacing w:after="0"/>
              <w:rPr>
                <w:sz w:val="23"/>
                <w:szCs w:val="23"/>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w w:val="99"/>
              </w:rPr>
              <w:t>10,664,885</w:t>
            </w:r>
          </w:p>
        </w:tc>
        <w:tc>
          <w:tcPr>
            <w:tcW w:w="420" w:type="dxa"/>
            <w:vAlign w:val="bottom"/>
          </w:tcPr>
          <w:p>
            <w:pPr>
              <w:spacing w:after="0"/>
              <w:rPr>
                <w:sz w:val="23"/>
                <w:szCs w:val="23"/>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10,873,208</w:t>
            </w:r>
          </w:p>
        </w:tc>
        <w:tc>
          <w:tcPr>
            <w:tcW w:w="260" w:type="dxa"/>
            <w:vAlign w:val="bottom"/>
          </w:tcPr>
          <w:p>
            <w:pPr>
              <w:spacing w:after="0"/>
              <w:rPr>
                <w:sz w:val="23"/>
                <w:szCs w:val="23"/>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10,873,208</w:t>
            </w:r>
          </w:p>
        </w:tc>
      </w:tr>
      <w:tr>
        <w:trPr>
          <w:trHeight w:val="271"/>
        </w:trPr>
        <w:tc>
          <w:tcPr>
            <w:tcW w:w="3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1,802,431</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1,800,773</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1,800,773</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w w:val="98"/>
              </w:rPr>
              <w:t>Securities Sold Under Agreements to Repurchase</w:t>
            </w:r>
          </w:p>
        </w:tc>
        <w:tc>
          <w:tcPr>
            <w:tcW w:w="480" w:type="dxa"/>
            <w:vAlign w:val="bottom"/>
          </w:tcPr>
          <w:p>
            <w:pPr>
              <w:spacing w:after="0"/>
              <w:rPr>
                <w:sz w:val="20"/>
                <w:szCs w:val="20"/>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604,306</w:t>
            </w:r>
          </w:p>
        </w:tc>
        <w:tc>
          <w:tcPr>
            <w:tcW w:w="420" w:type="dxa"/>
            <w:vAlign w:val="bottom"/>
          </w:tcPr>
          <w:p>
            <w:pPr>
              <w:spacing w:after="0"/>
              <w:rPr>
                <w:sz w:val="20"/>
                <w:szCs w:val="20"/>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627,780</w:t>
            </w:r>
          </w:p>
        </w:tc>
        <w:tc>
          <w:tcPr>
            <w:tcW w:w="260" w:type="dxa"/>
            <w:vAlign w:val="bottom"/>
          </w:tcPr>
          <w:p>
            <w:pPr>
              <w:spacing w:after="0"/>
              <w:rPr>
                <w:sz w:val="20"/>
                <w:szCs w:val="20"/>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41"/>
              <w:spacing w:after="0"/>
              <w:rPr>
                <w:sz w:val="20"/>
                <w:szCs w:val="20"/>
                <w:color w:val="auto"/>
              </w:rPr>
            </w:pPr>
            <w:r>
              <w:rPr>
                <w:rFonts w:ascii="Arial" w:cs="Arial" w:eastAsia="Arial" w:hAnsi="Arial"/>
                <w:sz w:val="16"/>
                <w:szCs w:val="16"/>
                <w:color w:val="auto"/>
              </w:rPr>
              <w:t>627,780</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75,000</w:t>
            </w: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75,581</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75,581</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9"/>
          <w:szCs w:val="9"/>
          <w:color w:val="auto"/>
        </w:rPr>
      </w:pPr>
      <w:r>
        <w:rPr>
          <w:rFonts w:ascii="Arial" w:cs="Arial" w:eastAsia="Arial" w:hAnsi="Arial"/>
          <w:sz w:val="14"/>
          <w:szCs w:val="14"/>
          <w:color w:val="auto"/>
        </w:rPr>
        <w:t>Carrying amount is net of unearned income and the Allowance.</w:t>
      </w:r>
    </w:p>
    <w:p>
      <w:pPr>
        <w:spacing w:after="0" w:line="13"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9"/>
          <w:szCs w:val="9"/>
          <w:color w:val="auto"/>
        </w:rPr>
      </w:pPr>
      <w:r>
        <w:rPr>
          <w:rFonts w:ascii="Arial" w:cs="Arial" w:eastAsia="Arial" w:hAnsi="Arial"/>
          <w:sz w:val="14"/>
          <w:szCs w:val="14"/>
          <w:color w:val="auto"/>
        </w:rPr>
        <w:t>Excludes finance lease obligations.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30" w:right="3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Revenue Recognition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On January 1, 2018, the Company adopted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and all subsequent ASUs that modified Topic 606. The standard’s core principle is that a company will recognize revenue when it transfers promised goods or services to customers in an amount that reflects the consideration to which the company expects to be entitled in exchange for those goods or services. Topic 606 does not apply to revenue associated with financial instruments, including revenue from loans and securities, which comprise the majority of the Company’s revenue. In addition, certain noninterest income streams such as fees associated with mortgage servicing rights, financial guarantees, derivatives, and certain credit card fees are also not within the scope of the new guidance. Topic 606 is applicable to noninterest revenue streams such as trust and asset management income, deposit related fees, interchange fees, merchant income, and annuity and insurance commissions. However, the recognition of these covered revenue streams did not change significantly upon adoption of Topic 606. Substantially all of the Company’s revenue is generated from contracts with customers. Noninterest revenue streams in-scope of Topic 606 are discussed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and Asset Management</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Trust and asset management income is primarily comprised of fees earned from the management and administration of trusts and other customer assets. The Company’s performance obligation is generally satisfied over time and the resulting fees are recognized monthly, based upon the month-end market value of the assets under management and the applicable fee rate. Payment is generally received a few days after month end through a direct charge to customers’ accounts. The Company does not earn performance-based incentives. Optional services such as real estate sales and tax return preparation services are also available to existing trust and asset management customers. The Company’s performance obligation for these transactional-based services is generally satisfied, and related revenue recognized, at a point in time (i.e., as incurred). Payment is received shortly after services are rendered.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Charges on Deposit Accounts</w:t>
      </w:r>
    </w:p>
    <w:p>
      <w:pPr>
        <w:spacing w:after="0" w:line="22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Service charges on deposit accounts consist of account analysis fees (i.e., net fees earned on analyzed business and public checking accounts), monthly service fees, check orders, and other deposit account related fees. The Company’s performance obligation for account analysis fees and monthly service fees is generally satisfied, and the related revenue recognized, over the period in which the service is provided. Check orders and other deposit account related fees are largely transaction based, and therefore, the Company’s performance obligation is satisfied and related revenue recognized, at a point in time. Payment for service charges on deposit accounts is primarily received immediately or in the following month through a direct charge to customers’ accounts.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Exchange, and Other Service Charges</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Fees, exchange, and other service charges are primarily comprised of debit card income, ATM fees, merchant services income, and other service charges. Debit card income is primarily comprised of interchange fees earned whenever the Company’s debit cards are processed through card payment networks such as Visa. ATM fees are primarily generated when a Company cardholder uses a non-Company ATM or a non-Company cardholder uses a Company ATM. Merchant services income mainly represents fees charged to merchants to process their debit and credit card transactions, in addition to account management fees. Other service charges include revenue from processing wire transfers, bill pay service, cashier’s checks, and other services. The Company’s performance obligation for fees, exchange, and other service charges are largely satisfied, and related revenue recognized, when the services are rendered or upon completion. Payment is typically received immediately or in the following month.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Annuity and Insurance</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Annuity and insurance income primarily consists of commissions received on annuity product sales. The Company acts as an intermediary between the Company’s customer and the insurance carrier. The Company’s performance obligation is generally satisfied upon the issuance of the annuity policy. Shortly after the policy is issued, the carrier remits the commission payment to the Company, and the Company recognizes the revenue. The Company does not earn a significant amount of trailer fees on annuity sales. The majority of the trailer fees relates to variable annuity products and are calculated based on a percentage of market value at period end. Revenue is not recognized until the annuity’s market value can be determined.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30" w:right="3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Other noninterest income consists of other recurring revenue streams such as commissions from sales of mutual funds and other investments, investment advisor fees from the Company’s Managed Account Platform Services (MAPS) wealth management product, safety deposit box rental fees, and other miscellaneous revenue streams. Commissions from the sale of mutual funds and other investments are recognized on trade date, which is when the Company has satisfied its performance obligation. The Company also receives periodic service fees (i.e., trailers) from mutual fund companies typically based on a percentage of net asset value. Trailer revenue is recorded over time, usually monthly or quarterly, as net asset value is determined. Investment advisor fees from the MAPS wealth management product is earned over time and based on an annual percentage rate of the net asset value. The investment advisor fees are charged to the customer’s account in advance on the first month of the quarter, and the revenue is recognized over the following three-month period. Safety deposit box rental fees are charged to the customer on an annual basis and recognized upon receipt of payment. The Company determined that since rentals and renewals occur fairly consistently over time, revenue is recognized on a basis consistent with the duration of the performance obligation.</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presents noninterest income, segregated by revenue streams in-scope and out-of-scope of Topic 606, for the three and six months ended June 30, 2020, and June 30, 2019.</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Pr>
          <w:p>
            <w:pPr>
              <w:spacing w:after="0"/>
              <w:rPr>
                <w:sz w:val="17"/>
                <w:szCs w:val="17"/>
                <w:color w:val="auto"/>
              </w:rPr>
            </w:pPr>
          </w:p>
        </w:tc>
      </w:tr>
      <w:tr>
        <w:trPr>
          <w:trHeight w:val="210"/>
        </w:trPr>
        <w:tc>
          <w:tcPr>
            <w:tcW w:w="5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8"/>
                <w:szCs w:val="18"/>
                <w:color w:val="auto"/>
              </w:rPr>
            </w:pPr>
          </w:p>
        </w:tc>
      </w:tr>
      <w:tr>
        <w:trPr>
          <w:trHeight w:val="33"/>
        </w:trPr>
        <w:tc>
          <w:tcPr>
            <w:tcW w:w="5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Noninterest Income</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5200" w:type="dxa"/>
            <w:vAlign w:val="bottom"/>
          </w:tcPr>
          <w:p>
            <w:pPr>
              <w:ind w:left="260"/>
              <w:spacing w:after="0"/>
              <w:rPr>
                <w:sz w:val="20"/>
                <w:szCs w:val="20"/>
                <w:color w:val="auto"/>
              </w:rPr>
            </w:pPr>
            <w:r>
              <w:rPr>
                <w:rFonts w:ascii="Arial" w:cs="Arial" w:eastAsia="Arial" w:hAnsi="Arial"/>
                <w:sz w:val="16"/>
                <w:szCs w:val="16"/>
                <w:i w:val="1"/>
                <w:iCs w:val="1"/>
                <w:color w:val="auto"/>
              </w:rPr>
              <w:t>In-scope of Topic 606:</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5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Trust and Asset Management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10,550</w:t>
            </w:r>
          </w:p>
        </w:tc>
        <w:tc>
          <w:tcPr>
            <w:tcW w:w="86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11,385</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21,465</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22,146</w:t>
            </w:r>
          </w:p>
        </w:tc>
      </w:tr>
      <w:tr>
        <w:trPr>
          <w:trHeight w:val="237"/>
        </w:trPr>
        <w:tc>
          <w:tcPr>
            <w:tcW w:w="5200" w:type="dxa"/>
            <w:vAlign w:val="bottom"/>
          </w:tcPr>
          <w:p>
            <w:pPr>
              <w:ind w:left="380"/>
              <w:spacing w:after="0"/>
              <w:rPr>
                <w:sz w:val="20"/>
                <w:szCs w:val="20"/>
                <w:color w:val="auto"/>
              </w:rPr>
            </w:pPr>
            <w:r>
              <w:rPr>
                <w:rFonts w:ascii="Arial" w:cs="Arial" w:eastAsia="Arial" w:hAnsi="Arial"/>
                <w:sz w:val="16"/>
                <w:szCs w:val="16"/>
                <w:color w:val="auto"/>
              </w:rPr>
              <w:t>Service Charges on Deposit Accounts</w:t>
            </w:r>
          </w:p>
        </w:tc>
        <w:tc>
          <w:tcPr>
            <w:tcW w:w="42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2,718</w:t>
            </w:r>
          </w:p>
        </w:tc>
        <w:tc>
          <w:tcPr>
            <w:tcW w:w="8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3,295</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5,771</w:t>
            </w:r>
          </w:p>
        </w:tc>
        <w:tc>
          <w:tcPr>
            <w:tcW w:w="8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6,644</w:t>
            </w:r>
          </w:p>
        </w:tc>
      </w:tr>
      <w:tr>
        <w:trPr>
          <w:trHeight w:val="33"/>
        </w:trPr>
        <w:tc>
          <w:tcPr>
            <w:tcW w:w="5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Fees, Exchange, and Other Service Charges</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6,841</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11,602</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17,359</w:t>
            </w: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23,154</w:t>
            </w:r>
          </w:p>
        </w:tc>
      </w:tr>
      <w:tr>
        <w:trPr>
          <w:trHeight w:val="237"/>
        </w:trPr>
        <w:tc>
          <w:tcPr>
            <w:tcW w:w="5200" w:type="dxa"/>
            <w:vAlign w:val="bottom"/>
          </w:tcPr>
          <w:p>
            <w:pPr>
              <w:ind w:left="380"/>
              <w:spacing w:after="0"/>
              <w:rPr>
                <w:sz w:val="20"/>
                <w:szCs w:val="20"/>
                <w:color w:val="auto"/>
              </w:rPr>
            </w:pPr>
            <w:r>
              <w:rPr>
                <w:rFonts w:ascii="Arial" w:cs="Arial" w:eastAsia="Arial" w:hAnsi="Arial"/>
                <w:sz w:val="16"/>
                <w:szCs w:val="16"/>
                <w:color w:val="auto"/>
              </w:rPr>
              <w:t>Annuity and Insurance</w:t>
            </w:r>
          </w:p>
        </w:tc>
        <w:tc>
          <w:tcPr>
            <w:tcW w:w="42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855</w:t>
            </w:r>
          </w:p>
        </w:tc>
        <w:tc>
          <w:tcPr>
            <w:tcW w:w="8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1,772</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1,750</w:t>
            </w:r>
          </w:p>
        </w:tc>
        <w:tc>
          <w:tcPr>
            <w:tcW w:w="8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4,316</w:t>
            </w:r>
          </w:p>
        </w:tc>
      </w:tr>
      <w:tr>
        <w:trPr>
          <w:trHeight w:val="33"/>
        </w:trPr>
        <w:tc>
          <w:tcPr>
            <w:tcW w:w="5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2,261</w:t>
            </w:r>
          </w:p>
        </w:tc>
        <w:tc>
          <w:tcPr>
            <w:tcW w:w="8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2,504</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4,566</w:t>
            </w:r>
          </w:p>
        </w:tc>
        <w:tc>
          <w:tcPr>
            <w:tcW w:w="8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4,975</w:t>
            </w:r>
          </w:p>
        </w:tc>
      </w:tr>
      <w:tr>
        <w:trPr>
          <w:trHeight w:val="230"/>
        </w:trPr>
        <w:tc>
          <w:tcPr>
            <w:tcW w:w="520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Noninterest Income (in-scope of Topic 606)</w:t>
            </w: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23,225</w:t>
            </w:r>
          </w:p>
        </w:tc>
        <w:tc>
          <w:tcPr>
            <w:tcW w:w="8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30,558</w:t>
            </w:r>
          </w:p>
        </w:tc>
        <w:tc>
          <w:tcPr>
            <w:tcW w:w="2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50,911</w:t>
            </w:r>
          </w:p>
        </w:tc>
        <w:tc>
          <w:tcPr>
            <w:tcW w:w="8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61,235</w:t>
            </w:r>
          </w:p>
        </w:tc>
      </w:tr>
      <w:tr>
        <w:trPr>
          <w:trHeight w:val="33"/>
        </w:trPr>
        <w:tc>
          <w:tcPr>
            <w:tcW w:w="5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5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Noninterest Income (out-of-scope of Topic 606)</w:t>
            </w: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28,043</w:t>
            </w:r>
          </w:p>
        </w:tc>
        <w:tc>
          <w:tcPr>
            <w:tcW w:w="8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14,892</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46,506</w:t>
            </w:r>
          </w:p>
        </w:tc>
        <w:tc>
          <w:tcPr>
            <w:tcW w:w="8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27,894</w:t>
            </w:r>
          </w:p>
        </w:tc>
      </w:tr>
      <w:tr>
        <w:trPr>
          <w:trHeight w:val="230"/>
        </w:trPr>
        <w:tc>
          <w:tcPr>
            <w:tcW w:w="52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51,268</w:t>
            </w:r>
          </w:p>
        </w:tc>
        <w:tc>
          <w:tcPr>
            <w:tcW w:w="86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45,450</w:t>
            </w:r>
          </w:p>
        </w:tc>
        <w:tc>
          <w:tcPr>
            <w:tcW w:w="2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97,417</w:t>
            </w:r>
          </w:p>
        </w:tc>
        <w:tc>
          <w:tcPr>
            <w:tcW w:w="8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89,129</w:t>
            </w:r>
          </w:p>
        </w:tc>
      </w:tr>
      <w:tr>
        <w:trPr>
          <w:trHeight w:val="33"/>
        </w:trPr>
        <w:tc>
          <w:tcPr>
            <w:tcW w:w="5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 contract asset balance occurs when an entity performs a service for a customer before the customer pays consideration (resulting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revenue streams are largely based on transactional activity, or standard month-end revenue accruals such as asset management fees based on month-end market values.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As of June 30, 2020, and December 31, 2019, the Company did not have any significant contract balances.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Costs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 Upon adoption of Topic 606, the Company did not capitalize any contract acquisition cost.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30" w:right="3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We also may make forward-looking statements in our other documents filed with or furnished to the U.S. Securities and Exchange Commission (the “SEC”). In addition, our senior management may make forward-looking statements orally to analysts, investors, representatives of the media and others. Our forward-looking statements are based on numerous assumptions, any of which could prove to be inaccurate, and actual results may differ materially from those projected because of a variety of risks and uncertainties, including, but not limited to: 1) general economic conditions either nationally, internationally, or locally may be different than expected, and particularly, any event that negatively impacts the tourism industry in Hawaii; 2) the effects of the COVID-19 pandemic, including reduced tourism in Hawaii, volatility in the international and national economy and credit markets, worker absenteeism, quarantines or other travel or health-related restrictions, the length and severity of the COVID-19 pandemic and the pace of recovery following the COVID-19 pandemic; 3) unanticipated changes in the securities markets, public debt markets, and other capital markets in the U.S. and internationally, including, without limitation, the anticipated elimination of the London Interbank Offered Rate (“LIBOR”) as a benchmark interest rate; 4) competitive pressures in the markets for financial services and products; 5) the impact of legislative and regulatory initiatives, particularly the Dodd-Frank Wall Street Reform and Consumer Protection Act of 2010 (the “Dodd-Frank Act”) and Economic Growth, Regulatory Relief, Consumer Protection Act of 2018, CARES Act, and regulatory pronouncements around CARES Act; 6) changes in fiscal and monetary policies of the markets in which we operate; 7) the increased cost of maintaining or the Company’s ability to maintain adequate liquidity and capital, based on the requirements adopted by the Basel Committee on Banking Supervision and U.S. regulators; 8) actual or alleged conduct which could harm our reputation; 9) changes in accounting standards; 10) changes in tax laws or regulations, including Public Law 115-97, commonly known as the Tax Cuts and Jobs Act, or the interpretation of such laws and regulations; 11) changes in our credit quality or risk profile that may increase or decrease the required level of our reserve for credit losses; 12) changes in market interest rates that may affect credit markets and our ability to maintain our net interest margin; 13) the impact of litigation and regulatory investigations of the Company, including costs, expenses, settlements, and judgments; 14) any failure in or breach of our operational systems, information systems or infrastructure, or those of our merchants, third party vendors and other service providers; 15) any interruption or breach of security of our information systems resulting in failures or disruptions in customer account management, general ledger processing, and loan or deposit systems; 16) changes to the amount and timing of proposed common stock repurchases; and 17) natural disasters, public unrest, adverse weather, public health, disease outbreaks, and other conditions impacting us and our customers’ operations or negatively impacting the tourism industry in Hawaii. Given these risks and uncertainties, investors should not place undue reliance on any forward-looking statement as a prediction of our actual results. A detailed discussion of these and other risks and uncertainties that could cause actual results and events to differ materially from such forward-looking statements is included under the section entitled “Risk Factors” in Part II of this report and Part I of our Annual Report on Form 10-K for the year ended December 31, 2019, and subsequent periodic and current reports filed with the SEC. Words such as “believes,” “anticipates,” “expects,” “intends,” “targeted,” and similar expressions are intended to identify forward-looking statements but are not the exclusive means of identifying such statements. We undertake no obligation to update forward-looking statements to reflect later events or circumstances,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30" w:right="3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Consolidated Financial Statements were prepared in accordance with U.S. generally accepted accounting principles (“GAAP”) and follow general practices within the industries in which we operate. The most significant accounting policies we follow are presented in Note 1 to the Company’s Annual Report on Form 10-K for the year ended December 31, 2019. Application of these principles requires us to make estimates, assumptions, and judgments that affect the amounts reported in the Consolidated Financial Statements and accompanying notes. Most accounting policies are not considered by management to be critical accounting policies. Several factors are considered in determining whether or not a policy is critical in the preparation of the Consolidated Financial Statements. These factors include among other things, whether the policy requires management to make difficult, subjective, and complex judgments about matters that are inherently uncertain and because it is likely that materially different amounts would be reported under different conditions or using different assumptions. The accounting policies which we believe to be most critical in preparing our Consolidated Financial Statements are presented in the section titled “Critical Accounting Policies” in Management’s Discussion and Analysis of Financial Condition and Results of Operations included in the Company’s Annual Report on Form 10-K for the year ended December 31, 2019. Other than our methodology of estimating reserve for credit losses (mentioned below), there have been no changes in the Company’s application of critical accounting policies since December 31,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Credit Losses</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 consequence of lending activities is that we may incur credit losses. The amount of such losses will vary depending upon the risk characteristics of the loan and lease portfolio as affected by economic conditions such as rising interest rates and the financial performance of borrowers.</w:t>
      </w:r>
    </w:p>
    <w:p>
      <w:pPr>
        <w:spacing w:after="0" w:line="14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The reserve for credit losses consists of the allowance for credit losses (the “Allowance”) and the reserve for unfunded commitments (the “Unfunded Reserve”). As a result of our January 1, 2020, adoption of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and its related amendments, our methodology for estimating the reserve for credit losses changed significantly from December 31, 2019. The standard replaced the “incurred loss” approach with an “expected loss” approach known as current expected credit loss (“CECL”). The CECL approach requires an estimate of the credit losses expected over the life of an exposure (or pool of exposures). It removes the incurred loss approach’s threshold that delayed the recognition of a credit loss until it was “probable” a loss event was “incurred.”</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estimate of expected credit losses under the CECL approach is based on relevant information about past events, current conditions, and reasonable and supportable forecasts that affect the collectability of the reported amounts. Historical loss experience is generally the starting point for estimating expected credit losses. We then consider whether the historical loss experience should be adjusted for asset-specific risk characteristics or current conditions at the reporting date that did not exist over the period from which historical experience was used. Finally, we consider forecasts about future economic conditions that are reasonable and supportable. The Unfunded Reserve represents the expected credit losses on off-balance sheet commitments such as unfunded commitments to extend credit and standby letters of credit. However, a liability is not recognized for commitments unconditionally cancellable by the Company. The Unfunded Reserve is determined by estimating future draws and applying the expected loss rates on those draws.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Management’s evaluation of the appropriateness of the reserve for credit losses is often the most critical of accounting estimates for a financial institution. Our determination of the amount of the reserve for credit losses is a critical accounting estimate as it requires significant reliance on the credit risk rating we assign to individual borrowers, the use of estimates and significant judgment as to the amount and timing of expected future cash flows on criticized loans, significant reliance on historical loss rates on homogenous portfolios, consideration of our quantitative and qualitative evaluation of economic factors, and the reliance on our reasonable and supportable forecasts. While our methodology in establishing the reserve for credit losses attributes portions of the Allowance and Unfunded Reserve to the commercial and consumer portfolio segments, the entire Allowance and Unfunded Reserve is available to absorb credit losses inherent in the total loan and lease portfolio and total amount of unfunded credit commitments, respectively.</w:t>
      </w:r>
    </w:p>
    <w:p>
      <w:pPr>
        <w:spacing w:after="0" w:line="16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reserve for credit losses related to our commercial portfolio segment is generally most sensitive to the credit risk rating assigned to each borrower. Commercial loan risk ratings are evaluated based on each situation by experienced senior credit officers and are subject to periodic review by an independent internal team of credit specialists. The reserve for credit losses related to our consumer portfolio segment is generally most sensitive to economic assumptions and delinquency trends. The reserve for credit losses attributable to each portfolio segment also includes an amount for inherent risks not reflected in the historical analyses. Relevant factors include, but are not limited to, concentrations of credit risk (geographic, large borrower, and industry), economic trends and conditions, changes in underwriting standards, experience and depth of lending staff, trends in delinquencies, and the level of criticized loans.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320" w:top="130" w:right="37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Going forward, the impact of utilizing the CECL approach to calculate the reserve for credit losses will be significantly influenced by the composition, characteristics and quality of our loan portfolio, as well as the prevailing economic conditions and forecasts utilized. Material changes to these and other relevant factors may result in greater volatility to the reserve for credit losses, and therefore, greater volatility to our reported earnings. See Notes 1 and 4 to the Consolidated Financial Statements and the “Corporate Risk Profile - Credit Risk” section in Management’s Discussion and Analysis of Financial Condition and Results of Operations (“MD&amp;A”) for more information on the Allowance and the Unfunded Reserve.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The Parent’s principal operating subsidiary is Bank of Hawaii (the “Bank”).</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 directly and through its subsidiaries, provides a broad range of financial services and products to businesses, consumers, and governments in Hawaii, Guam, and other Pacific Islands. References to “we,” “our,” “us,” or the “Company” refer to the Parent and its subsidiaries that are consolidated for financial reporting purposes.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business strategy is to use our unique market knowledge, prudent management discipline and brand strength to deliver exceptional value to our stakeholders.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Economy</w:t>
      </w:r>
    </w:p>
    <w:p>
      <w:pPr>
        <w:spacing w:after="0" w:line="225"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The year 2020 began with overall healthy economic conditions in Hawaii that were sharply impacted by a shut-down of tourism at the end of March in an attempt to isolate the State from additional travel-related transmission of COVID-19. The actions taken by the State of Hawaii beginning in March were imposed to mitigate the spread and lessen the public health impact of the COVID-19 virus in Hawaii. Although at risk industries of leisure and hospitality represents 19% of jobs and 10% of Hawaii’s GDP, Hawaii benefits from a wide range of industries that help to provide stability in the case of economic shocks. Federal government jobs, primarily military, have historically been a stabilizing part of Hawaii’s economy and represent about 20% of</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GDP. Construction activity, including the Honolulu Rail Project, and other non-visitor-related activities are proceeding despite COVID-19. Hawaii’s large retiree population also contributes to a stable economic base. Notwithstanding, the Hawaii economy will likely continue to face significant challenges in the near future.</w:t>
      </w:r>
    </w:p>
    <w:p>
      <w:pPr>
        <w:spacing w:after="0" w:line="1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taking significant steps to help our customers who have been impacted by COVID-19. For our consumer customers, we are providing payment relief for residential mortgage, home equity, auto loan, auto lease and direct personal loans for up to six months. We are waiving associated late fees, while not reporting these payment deferrals as late payments to the credit bureaus for all customers who were current prior to the event. For our commercial customers that continue to make interest payments, we are providing six months of principal deferral, or alternatively, three months of interest or interest and principal deferral.</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Bank continues to responsibly lend to qualified consumer and commercial customers. We have been a participant in the SBA’s Small Business Paycheck Protection Program. Through July 29, 2020, the Bank originated over 4,500 PPP loans totaling approximately $560 million. The Bank also plans to participate in the Federal Reserve Bank’s Main Street Lending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Bank has taken additional steps to help minimize the financial impact of COVID-19 for its customers:</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Suspended ATM surcharge fees for other banks ATM users through June 30,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Waived ATM fees for Bank debit cardholders who used their cards at non-Bank ATMs in the U.S. and U.S. Territories through July 21, 2020.</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Suspended early withdrawal penalties for time deposit accounts through June 30,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40 Bank branches across the state of Hawaii and the West Pacific region remain open to serve the community.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Temporarily increased our mobile deposits limit from $5,000 to $10,000 per rolling five business days.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Reserved the first branch hour of the day to serve our elderly (65 years and older) and those at-risk, as well as their caregivers or family members.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30" w:right="3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right="1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our call center capabilities by training and deputizing more than 100 branch, private banking and commercial staff members to provide additional support over the phone.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Offered Small Dollar Emergency Relief Loan Program to assist customers who were financially impacted by COVID-19 with loans up to $3,000.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Summary</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income for the second quarter of 2020 was $38.9 million, a decrease of $18.0 million or 32% compared to the same period in 2019. Diluted earnings per share was $0.98 for the second quarter of 2020, a decrease of $0.42 or 30% compared to the same period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lower earnings for the second quarter of 2020 were primarily due to the following:</w:t>
      </w:r>
    </w:p>
    <w:p>
      <w:pPr>
        <w:spacing w:after="0" w:line="225" w:lineRule="exact"/>
        <w:rPr>
          <w:sz w:val="20"/>
          <w:szCs w:val="20"/>
          <w:color w:val="auto"/>
        </w:rPr>
      </w:pPr>
    </w:p>
    <w:p>
      <w:pPr>
        <w:ind w:left="340" w:right="20" w:hanging="332"/>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 for credit losses for the second quarter of 2020 was $40.4 million, an increase of $36.4 million compared to the same period in 2019. This increase was primarily due to management’s best estimate of losses over the life of loans in our portfolio in accordance with the CECL approach, given the economic outlook and forecasts for COVID-19 pandemic driven market changes, as well as the impact of unprecedented intervention of fiscal, monetary and regulatory programs.</w:t>
      </w:r>
    </w:p>
    <w:p>
      <w:pPr>
        <w:spacing w:after="0" w:line="186" w:lineRule="exact"/>
        <w:rPr>
          <w:rFonts w:ascii="Arial" w:cs="Arial" w:eastAsia="Arial" w:hAnsi="Arial"/>
          <w:sz w:val="18"/>
          <w:szCs w:val="18"/>
          <w:color w:val="auto"/>
        </w:rPr>
      </w:pPr>
    </w:p>
    <w:p>
      <w:pPr>
        <w:ind w:left="340" w:right="6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Fees, exchange, and other service charges for the second quarter of 2020 was $9.4 million, a decrease of $4.8 million or 34% compared to the same period in 2019. This decrease was primarily due to lower debit and credit card transaction volume. ATM surcharge fees were suspended for the second quarter of 2020. In addition, merchant income decreased due to lower sales volume.</w:t>
      </w:r>
    </w:p>
    <w:p>
      <w:pPr>
        <w:spacing w:after="0" w:line="183"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Service charges on deposit accounts for the second quarter of 2020 was $5.1 million, a decrease of $2.2 million or 30% compared to the same period in 2019. This decrease was primarily due to suspending overdraft fees from April 1, 2020, through June 30, 2020, coupled with a decrease in account analysis fees.</w:t>
      </w:r>
    </w:p>
    <w:p>
      <w:pPr>
        <w:spacing w:after="0" w:line="183"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equipment expense for the second quarter of 2020 was $8.2 million, an increase of $1.3 million or 19% compared to the same period in 2019. These increases were due to higher depreciation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partially offset by the following:</w:t>
      </w:r>
    </w:p>
    <w:p>
      <w:pPr>
        <w:spacing w:after="0" w:line="225" w:lineRule="exact"/>
        <w:rPr>
          <w:sz w:val="20"/>
          <w:szCs w:val="20"/>
          <w:color w:val="auto"/>
        </w:rPr>
      </w:pPr>
    </w:p>
    <w:p>
      <w:pPr>
        <w:ind w:left="340" w:right="18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Investment securities gains (losses), net for the second quarter of 2020 was $13.2 million compared to $(0.8) million during the same period in 2019. The net gain in the second quarter of 2020 was primarily due to the sale of 80,214 Visa Class B Shares.</w:t>
      </w:r>
    </w:p>
    <w:p>
      <w:pPr>
        <w:spacing w:after="0" w:line="170" w:lineRule="exact"/>
        <w:rPr>
          <w:rFonts w:ascii="Arial" w:cs="Arial" w:eastAsia="Arial" w:hAnsi="Arial"/>
          <w:sz w:val="18"/>
          <w:szCs w:val="18"/>
          <w:color w:val="auto"/>
        </w:rPr>
      </w:pPr>
    </w:p>
    <w:p>
      <w:pPr>
        <w:ind w:left="340" w:right="4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 for income taxes for the second quarter of 2020 was $9.8 million, a decrease of $6.1 million or 39% compared to the same period in 2019 primarily due to lower pretax income. The effective tax rate for the second quarter of 2020 was 20.05%, compared to 21.84% for the same period in 2019.</w:t>
      </w:r>
    </w:p>
    <w:p>
      <w:pPr>
        <w:spacing w:after="0" w:line="183" w:lineRule="exact"/>
        <w:rPr>
          <w:rFonts w:ascii="Arial" w:cs="Arial" w:eastAsia="Arial" w:hAnsi="Arial"/>
          <w:sz w:val="18"/>
          <w:szCs w:val="18"/>
          <w:color w:val="auto"/>
        </w:rPr>
      </w:pPr>
    </w:p>
    <w:p>
      <w:pPr>
        <w:ind w:left="340" w:right="12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Total salaries and benefits expense for the second quarter of 2020 was $50.7 million, a decrease of $2.8 million or 5% compared to the same period in 2019 primarily due to a $2.3 million decrease in incentive compensation coupled with a $0.3 million decrease in separation expense.</w:t>
      </w:r>
    </w:p>
    <w:p>
      <w:pPr>
        <w:spacing w:after="0" w:line="146" w:lineRule="exact"/>
        <w:rPr>
          <w:rFonts w:ascii="Arial" w:cs="Arial" w:eastAsia="Arial" w:hAnsi="Arial"/>
          <w:sz w:val="17"/>
          <w:szCs w:val="17"/>
          <w:color w:val="auto"/>
        </w:rPr>
      </w:pPr>
    </w:p>
    <w:p>
      <w:pPr>
        <w:jc w:val="both"/>
        <w:ind w:left="340" w:right="4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other expense for the second quarter of 2020 was $12.2 million, a decrease of $3.4 million or 22% compared to the same period in 2019. Reserve for unfunded commitments decreased by $0.8 million. Operating losses decreased by $0.7 million. Business development and travel decreased by $0.6 million. Merchant transactions and processing fees decreased by $0.5 million.</w:t>
      </w:r>
    </w:p>
    <w:p>
      <w:pPr>
        <w:spacing w:after="0" w:line="183" w:lineRule="exact"/>
        <w:rPr>
          <w:rFonts w:ascii="Arial" w:cs="Arial" w:eastAsia="Arial" w:hAnsi="Arial"/>
          <w:sz w:val="18"/>
          <w:szCs w:val="18"/>
          <w:color w:val="auto"/>
        </w:rPr>
      </w:pPr>
    </w:p>
    <w:p>
      <w:pPr>
        <w:ind w:left="340" w:hanging="332"/>
        <w:spacing w:after="0" w:line="25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interest income was $126.7 million for the second quarter of 2020, an increase of $2.6 million or 2% compared to the same period in 2019. This increase was primarily due to a higher level of earning assets, including growth in our commercial lending portfolio. The higher level of earning assets was primarily funded by higher deposit balances. Net interest margin was 2.83% in the second quarter of 2020, a 21 basis point decrease from the same period in 2019. We experienced lower yields in both our investment securities portfolio and loan portfolios, which were offset by lower rates paid on our interest-bearing deposits, a reflection of the lower rate environment.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30" w:right="3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income for the first six months of 2020 was $73.7 million, a decrease of $18.0 million or 32% compared to the same period in 2019. Diluted earnings per share was $1.85 for the first six months of 2020, a decrease of $0.42 or 30% compared to the same period in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lower earnings for the first six months of 2020 were primarily due to the following:</w:t>
      </w:r>
    </w:p>
    <w:p>
      <w:pPr>
        <w:spacing w:after="0" w:line="144" w:lineRule="exact"/>
        <w:rPr>
          <w:sz w:val="20"/>
          <w:szCs w:val="20"/>
          <w:color w:val="auto"/>
        </w:rPr>
      </w:pPr>
    </w:p>
    <w:p>
      <w:pPr>
        <w:ind w:left="340" w:right="20" w:hanging="332"/>
        <w:spacing w:after="0" w:line="25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Provision for credit losses for the first six months of 2020 was $74.0 million, an increase of $67.0 million compared to the same period in 2019. This increase was primarily due to management’s best estimate of losses over the life of loans in our portfolio in accordance with the CECL approach, given the economic outlook and forecasts for COVID-19 pandemic driven market changes, as well as the impact of unprecedented intervention of fiscal, monetary and regulatory programs.</w:t>
      </w:r>
    </w:p>
    <w:p>
      <w:pPr>
        <w:spacing w:after="0" w:line="105" w:lineRule="exact"/>
        <w:rPr>
          <w:rFonts w:ascii="Arial" w:cs="Arial" w:eastAsia="Arial" w:hAnsi="Arial"/>
          <w:sz w:val="18"/>
          <w:szCs w:val="18"/>
          <w:color w:val="auto"/>
        </w:rPr>
      </w:pPr>
    </w:p>
    <w:p>
      <w:pPr>
        <w:ind w:left="340" w:right="120" w:hanging="332"/>
        <w:spacing w:after="0" w:line="301"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Total salaries and benefits expense for the first six months of 2020 was $105.2 million, a decrease of $4.9 million or 4% compared to the same period in 2019 primarily due to an $8.0 million decrease in incentive compensation coupled with a $1.8 million decrease in share-based compensation due to forfeiture of unvested restricted stock grants and a lower number of restricted stock units being amortized. These decreases were partially offset by a $4.0 million increase in separation expense coupled with a $0.9 million increase in salaries due to merit increases.</w:t>
      </w:r>
    </w:p>
    <w:p>
      <w:pPr>
        <w:spacing w:after="0" w:line="76" w:lineRule="exact"/>
        <w:rPr>
          <w:rFonts w:ascii="Arial" w:cs="Arial" w:eastAsia="Arial" w:hAnsi="Arial"/>
          <w:sz w:val="16"/>
          <w:szCs w:val="16"/>
          <w:color w:val="auto"/>
        </w:rPr>
      </w:pPr>
    </w:p>
    <w:p>
      <w:pPr>
        <w:ind w:left="340" w:right="6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Fees, exchange, and other service charges for the first six months of 2020 was $22.6 million, a decrease of $4.8 million or 34% compared to the same period in 2019. This decrease was primarily due to lower debit and credit card transaction volume. ATM surcharge fees were suspended for the second quarter of 2020. In addition, merchant income decreased due to lower sales volume.</w:t>
      </w:r>
    </w:p>
    <w:p>
      <w:pPr>
        <w:spacing w:after="0" w:line="102" w:lineRule="exact"/>
        <w:rPr>
          <w:rFonts w:ascii="Arial" w:cs="Arial" w:eastAsia="Arial" w:hAnsi="Arial"/>
          <w:sz w:val="18"/>
          <w:szCs w:val="18"/>
          <w:color w:val="auto"/>
        </w:rPr>
      </w:pPr>
    </w:p>
    <w:p>
      <w:pPr>
        <w:ind w:left="340" w:right="30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equipment expense for the first six months of 2020 was $16.7 million, an increase of $2.9 million or 21% compared to the same period in 2019 primarily due to higher depreciation expense.</w:t>
      </w:r>
    </w:p>
    <w:p>
      <w:pPr>
        <w:spacing w:after="0" w:line="89" w:lineRule="exact"/>
        <w:rPr>
          <w:rFonts w:ascii="Arial" w:cs="Arial" w:eastAsia="Arial" w:hAnsi="Arial"/>
          <w:sz w:val="18"/>
          <w:szCs w:val="18"/>
          <w:color w:val="auto"/>
        </w:rPr>
      </w:pPr>
    </w:p>
    <w:p>
      <w:pPr>
        <w:ind w:left="340" w:right="20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Annuity and insurance income for the first six months of 2020 was $1.8 million, a decrease of $2.6 million or 59% compared to the same period in 2019 primarily due to a one-time commission received related to insurance products offered through a third-party administrator in the first quarter of 2019 and a decrease in annuity and life insurance products.</w:t>
      </w:r>
    </w:p>
    <w:p>
      <w:pPr>
        <w:spacing w:after="0" w:line="102" w:lineRule="exact"/>
        <w:rPr>
          <w:rFonts w:ascii="Arial" w:cs="Arial" w:eastAsia="Arial" w:hAnsi="Arial"/>
          <w:sz w:val="18"/>
          <w:szCs w:val="18"/>
          <w:color w:val="auto"/>
        </w:rPr>
      </w:pPr>
    </w:p>
    <w:p>
      <w:pPr>
        <w:ind w:left="340" w:right="4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Service charges on deposit accounts for the first six months of 2020 was $12.5 million, a decrease of $2.1 million or 14% compared to the same period in 2019. This decrease was primarily due to a decrease in overdraft fees coupled with a decrease in account analysis fees.</w:t>
      </w:r>
    </w:p>
    <w:p>
      <w:pPr>
        <w:spacing w:after="0" w:line="65" w:lineRule="exact"/>
        <w:rPr>
          <w:rFonts w:ascii="Arial" w:cs="Arial" w:eastAsia="Arial" w:hAnsi="Arial"/>
          <w:sz w:val="17"/>
          <w:szCs w:val="17"/>
          <w:color w:val="auto"/>
        </w:rPr>
      </w:pPr>
    </w:p>
    <w:p>
      <w:pPr>
        <w:ind w:left="340" w:right="1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Professional fees for the first six months of 2020 was $6.3 million, an increase of $1.6 million or 35% compared to the same period in 2019 primarily due to an increase in corporate risk and legal fees.</w:t>
      </w:r>
    </w:p>
    <w:p>
      <w:pPr>
        <w:spacing w:after="0" w:line="89" w:lineRule="exact"/>
        <w:rPr>
          <w:rFonts w:ascii="Arial" w:cs="Arial" w:eastAsia="Arial" w:hAnsi="Arial"/>
          <w:sz w:val="18"/>
          <w:szCs w:val="18"/>
          <w:color w:val="auto"/>
        </w:rPr>
      </w:pPr>
    </w:p>
    <w:p>
      <w:pPr>
        <w:ind w:left="340" w:right="26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occupancy for the first six months of 2020 was $17.7 million, an increase of $1.5 million of 10% compared to the same period in 2019. This increase was primarily due to a $0.6 million gain on sale of real estate property on the island of Oahu during the first quarter of 2019 coupled with a $0.5 million increase in net rental expense.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partially offset by the following:</w:t>
      </w:r>
    </w:p>
    <w:p>
      <w:pPr>
        <w:spacing w:after="0" w:line="225" w:lineRule="exact"/>
        <w:rPr>
          <w:sz w:val="20"/>
          <w:szCs w:val="20"/>
          <w:color w:val="auto"/>
        </w:rPr>
      </w:pPr>
    </w:p>
    <w:p>
      <w:pPr>
        <w:ind w:left="340" w:right="12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 securities gains (losses), net for the first six months of 2020 was $12.2 million compared to $(1.6) million during the same period in 2019. The net gain was primarily due to the sale of 80,214 Visa Class B Shares during the second quarter of 2020.</w:t>
      </w:r>
    </w:p>
    <w:p>
      <w:pPr>
        <w:spacing w:after="0" w:line="170"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provision for income taxes for the first six months of 2020 was $17.2 million, a decrease of $12.3 million or 42% compared to the same period in 2019 primarily due to lower pretax income. The effective tax rate for the first six months of 2020 was 18.95% compared to 20.35% for the same period in 2019.</w:t>
      </w:r>
    </w:p>
    <w:p>
      <w:pPr>
        <w:spacing w:after="0" w:line="183" w:lineRule="exact"/>
        <w:rPr>
          <w:rFonts w:ascii="Arial" w:cs="Arial" w:eastAsia="Arial" w:hAnsi="Arial"/>
          <w:sz w:val="18"/>
          <w:szCs w:val="18"/>
          <w:color w:val="auto"/>
        </w:rPr>
      </w:pPr>
    </w:p>
    <w:p>
      <w:pPr>
        <w:ind w:left="340" w:right="12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noninterest income for the first six months of 2020 was $16.5 million, an increase of $4.5 million or 38% primarily due to a $6.7 million increase in fees related to our customer interest rate swap derivatives. This increase was partially offset by a $1.1 million decrease in foreign currency transactions.</w:t>
      </w:r>
    </w:p>
    <w:p>
      <w:pPr>
        <w:spacing w:after="0" w:line="102" w:lineRule="exact"/>
        <w:rPr>
          <w:rFonts w:ascii="Arial" w:cs="Arial" w:eastAsia="Arial" w:hAnsi="Arial"/>
          <w:sz w:val="18"/>
          <w:szCs w:val="18"/>
          <w:color w:val="auto"/>
        </w:rPr>
      </w:pPr>
    </w:p>
    <w:p>
      <w:pPr>
        <w:ind w:left="340" w:hanging="332"/>
        <w:spacing w:after="0" w:line="25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interest income for the first six months of 2020 was $252.7 million, an increase of $3.7 million or 1% compared to the same period in 2019. This increase was primarily due to a higher level of earning assets, including growth in our commercial lending portfolio. The higher level of earning assets was primarily funded by higher deposit balances. Net interest margin was 2.90% for the first six months of 2020, an 18 basis point decrease from the same period in 2019. We experienced lower yields in both our investment securities portfolio and loan portfolios, which were offset by lower rates paid on our interest-bearing deposits, a reflection of the lower rate environment.</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30" w:right="3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340" w:right="12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 banking income for the first six months of 2020 was $7.0 million, an increase of $1.4 million or 24% compared to the same period in 2019. This increase was primarily due to increased sales of conforming saleable loans from current production.</w:t>
      </w:r>
    </w:p>
    <w:p>
      <w:pPr>
        <w:spacing w:after="0" w:line="89" w:lineRule="exact"/>
        <w:rPr>
          <w:rFonts w:ascii="Arial" w:cs="Arial" w:eastAsia="Arial" w:hAnsi="Arial"/>
          <w:sz w:val="18"/>
          <w:szCs w:val="18"/>
          <w:color w:val="auto"/>
        </w:rPr>
      </w:pPr>
    </w:p>
    <w:p>
      <w:pPr>
        <w:ind w:left="340" w:right="10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other expense for the first six months of 2020 was $27.2 million, a decrease of $2.2 million or 7% compared to the same period in 2019 due to a $1.0 million decrease in reserve for unfunded commitments, $0.7 million decrease in operating losses, and $0.7 million in business development and travel.</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maintained a strong balance sheet during the second quarter of 2020, with what we believe are appropriate reserves for credit losses and high levels of liquidity and capital.</w:t>
      </w:r>
    </w:p>
    <w:p>
      <w:pPr>
        <w:spacing w:after="0" w:line="89" w:lineRule="exact"/>
        <w:rPr>
          <w:sz w:val="20"/>
          <w:szCs w:val="20"/>
          <w:color w:val="auto"/>
        </w:rPr>
      </w:pPr>
    </w:p>
    <w:p>
      <w:pPr>
        <w:ind w:left="34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loans and leases were $11.8 billion as of June 30, 2020, an increase of $814.5 million or 7% from December 31, 2019, primarily due to growth in our commercial lending portfolio.</w:t>
      </w:r>
    </w:p>
    <w:p>
      <w:pPr>
        <w:spacing w:after="0" w:line="8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Allowance was $173.4 million as of June 30, 2020, an increase of $63.4 million or 58% from December 31, 2019. The Allowance represents</w:t>
      </w:r>
    </w:p>
    <w:p>
      <w:pPr>
        <w:spacing w:after="0" w:line="34" w:lineRule="exact"/>
        <w:rPr>
          <w:rFonts w:ascii="Arial" w:cs="Arial" w:eastAsia="Arial" w:hAnsi="Arial"/>
          <w:sz w:val="17"/>
          <w:szCs w:val="17"/>
          <w:color w:val="auto"/>
        </w:rPr>
      </w:pPr>
    </w:p>
    <w:p>
      <w:pPr>
        <w:ind w:left="340" w:right="20"/>
        <w:spacing w:after="0" w:line="290" w:lineRule="auto"/>
        <w:rPr>
          <w:rFonts w:ascii="Arial" w:cs="Arial" w:eastAsia="Arial" w:hAnsi="Arial"/>
          <w:sz w:val="17"/>
          <w:szCs w:val="17"/>
          <w:color w:val="auto"/>
        </w:rPr>
      </w:pPr>
      <w:r>
        <w:rPr>
          <w:rFonts w:ascii="Arial" w:cs="Arial" w:eastAsia="Arial" w:hAnsi="Arial"/>
          <w:sz w:val="17"/>
          <w:szCs w:val="17"/>
          <w:color w:val="auto"/>
        </w:rPr>
        <w:t>1.47% of total loans and leases outstanding as of June 30, 2020, and 1.00% of total loans and leases outstanding as of December 31, 2019. The level of our Allowance was commensurate with the Company’s credit risk profile, future economic outlook, and forecasts utilized.</w:t>
      </w:r>
    </w:p>
    <w:p>
      <w:pPr>
        <w:spacing w:after="0" w:line="80" w:lineRule="exact"/>
        <w:rPr>
          <w:rFonts w:ascii="Arial" w:cs="Arial" w:eastAsia="Arial" w:hAnsi="Arial"/>
          <w:sz w:val="17"/>
          <w:szCs w:val="17"/>
          <w:color w:val="auto"/>
        </w:rPr>
      </w:pPr>
    </w:p>
    <w:p>
      <w:pPr>
        <w:ind w:left="340" w:right="180" w:hanging="332"/>
        <w:spacing w:after="0" w:line="34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 of June 30, 2020, the total carrying value of the investment securities portfolio was $6.0 billion, an increase of $342.0 million or 6% compared to December 31, 2019. Mortgage-backed securities issued by Ginnie Mae, Fannie Mae, and Freddie Mac are the largest concentration in our portfolio.</w:t>
      </w:r>
    </w:p>
    <w:p>
      <w:pPr>
        <w:spacing w:after="0" w:line="42" w:lineRule="exact"/>
        <w:rPr>
          <w:rFonts w:ascii="Arial" w:cs="Arial" w:eastAsia="Arial" w:hAnsi="Arial"/>
          <w:sz w:val="16"/>
          <w:szCs w:val="16"/>
          <w:color w:val="auto"/>
        </w:rPr>
      </w:pPr>
    </w:p>
    <w:p>
      <w:pPr>
        <w:ind w:left="340" w:right="42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deposits were $17.4 billion as of June 30, 2020, an increase of $1.6 billion or 10% from December 31, 2019, primarily due to an increase in commercial and consumer deposits.</w:t>
      </w:r>
    </w:p>
    <w:p>
      <w:pPr>
        <w:spacing w:after="0" w:line="89" w:lineRule="exact"/>
        <w:rPr>
          <w:rFonts w:ascii="Arial" w:cs="Arial" w:eastAsia="Arial" w:hAnsi="Arial"/>
          <w:sz w:val="18"/>
          <w:szCs w:val="18"/>
          <w:color w:val="auto"/>
        </w:rPr>
      </w:pPr>
    </w:p>
    <w:p>
      <w:pPr>
        <w:ind w:left="340" w:right="20" w:hanging="332"/>
        <w:spacing w:after="0" w:line="273"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Total shareholders’ equity was $1.4 billion as of June 30, 2020, an increase of $65.3 million or 5% from December 31, 2019. While we continued to return capital to our shareholders in the form of dividends, in March 2020, we suspended share repurchases in light of the COVID-19 pandemic. We believe the suspension is prudent given uncertainty regarding the length and severity of the COVID-19 pandemic. During the first six months of 2020, we acquired 199,764 shares of our common stock at a total cost of $17.8 million under our share repurchase program and from shares obtained from employees and/or directors in connection with income tax withholdings related to the vesting of restricted stock and shares purchased for a deferred compensation plan, less shares distributed from the deferred compensation plan.</w:t>
      </w:r>
    </w:p>
    <w:p>
      <w:pPr>
        <w:spacing w:after="0" w:line="96" w:lineRule="exact"/>
        <w:rPr>
          <w:rFonts w:ascii="Arial" w:cs="Arial" w:eastAsia="Arial" w:hAnsi="Arial"/>
          <w:sz w:val="17"/>
          <w:szCs w:val="17"/>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Cash dividends of $53.7 million were distributed during the first six months of 2020.</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30" w:right="359" w:bottom="1440" w:gutter="0" w:footer="0" w:header="0"/>
        </w:sectPr>
      </w:pPr>
    </w:p>
    <w:bookmarkStart w:id="63" w:name="page64"/>
    <w:bookmarkEnd w:id="6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00" w:type="dxa"/>
            <w:vAlign w:val="bottom"/>
            <w:gridSpan w:val="4"/>
          </w:tcPr>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24"/>
        </w:trPr>
        <w:tc>
          <w:tcPr>
            <w:tcW w:w="5100" w:type="dxa"/>
            <w:vAlign w:val="bottom"/>
            <w:gridSpan w:val="4"/>
          </w:tcPr>
          <w:p>
            <w:pPr>
              <w:spacing w:after="0"/>
              <w:rPr>
                <w:sz w:val="20"/>
                <w:szCs w:val="20"/>
                <w:color w:val="auto"/>
              </w:rPr>
            </w:pPr>
            <w:r>
              <w:rPr>
                <w:rFonts w:ascii="Arial" w:cs="Arial" w:eastAsia="Arial" w:hAnsi="Arial"/>
                <w:sz w:val="18"/>
                <w:szCs w:val="18"/>
                <w:color w:val="auto"/>
              </w:rPr>
              <w:t>Our financial highlights are presented in Table 1.</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13"/>
        </w:trPr>
        <w:tc>
          <w:tcPr>
            <w:tcW w:w="4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Financial Highlights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6"/>
                <w:szCs w:val="16"/>
                <w:b w:val="1"/>
                <w:bCs w:val="1"/>
                <w:color w:val="auto"/>
              </w:rPr>
              <w:t>Table 1</w:t>
            </w:r>
          </w:p>
        </w:tc>
      </w:tr>
      <w:tr>
        <w:trPr>
          <w:trHeight w:val="27"/>
        </w:trPr>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55"/>
        </w:trPr>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20" w:type="dxa"/>
            <w:vAlign w:val="bottom"/>
            <w:gridSpan w:val="4"/>
          </w:tcPr>
          <w:p>
            <w:pPr>
              <w:ind w:left="460"/>
              <w:spacing w:after="0"/>
              <w:rPr>
                <w:sz w:val="20"/>
                <w:szCs w:val="20"/>
                <w:color w:val="auto"/>
              </w:rPr>
            </w:pPr>
            <w:r>
              <w:rPr>
                <w:rFonts w:ascii="Arial" w:cs="Arial" w:eastAsia="Arial" w:hAnsi="Arial"/>
                <w:sz w:val="15"/>
                <w:szCs w:val="15"/>
                <w:b w:val="1"/>
                <w:bCs w:val="1"/>
                <w:color w:val="auto"/>
              </w:rPr>
              <w:t>Three Months Ended</w:t>
            </w:r>
          </w:p>
        </w:tc>
        <w:tc>
          <w:tcPr>
            <w:tcW w:w="360" w:type="dxa"/>
            <w:vAlign w:val="bottom"/>
          </w:tcPr>
          <w:p>
            <w:pPr>
              <w:spacing w:after="0"/>
              <w:rPr>
                <w:sz w:val="22"/>
                <w:szCs w:val="22"/>
                <w:color w:val="auto"/>
              </w:rPr>
            </w:pPr>
          </w:p>
        </w:tc>
        <w:tc>
          <w:tcPr>
            <w:tcW w:w="2620" w:type="dxa"/>
            <w:vAlign w:val="bottom"/>
            <w:gridSpan w:val="3"/>
          </w:tcPr>
          <w:p>
            <w:pPr>
              <w:jc w:val="right"/>
              <w:ind w:right="788"/>
              <w:spacing w:after="0"/>
              <w:rPr>
                <w:sz w:val="20"/>
                <w:szCs w:val="20"/>
                <w:color w:val="auto"/>
              </w:rPr>
            </w:pPr>
            <w:r>
              <w:rPr>
                <w:rFonts w:ascii="Arial" w:cs="Arial" w:eastAsia="Arial" w:hAnsi="Arial"/>
                <w:sz w:val="15"/>
                <w:szCs w:val="15"/>
                <w:b w:val="1"/>
                <w:bCs w:val="1"/>
                <w:color w:val="auto"/>
              </w:rPr>
              <w:t>Six Months Ended</w:t>
            </w:r>
          </w:p>
        </w:tc>
      </w:tr>
      <w:tr>
        <w:trPr>
          <w:trHeight w:val="274"/>
        </w:trPr>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86"/>
              </w:rPr>
              <w:t>June 30,</w:t>
            </w:r>
          </w:p>
        </w:tc>
        <w:tc>
          <w:tcPr>
            <w:tcW w:w="100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5"/>
                <w:szCs w:val="15"/>
                <w:b w:val="1"/>
                <w:bCs w:val="1"/>
                <w:color w:val="auto"/>
              </w:rPr>
              <w:t>June 30,</w:t>
            </w:r>
          </w:p>
        </w:tc>
        <w:tc>
          <w:tcPr>
            <w:tcW w:w="1120" w:type="dxa"/>
            <w:vAlign w:val="bottom"/>
            <w:tcBorders>
              <w:bottom w:val="single" w:sz="8" w:color="auto"/>
            </w:tcBorders>
          </w:tcPr>
          <w:p>
            <w:pPr>
              <w:spacing w:after="0"/>
              <w:rPr>
                <w:sz w:val="23"/>
                <w:szCs w:val="23"/>
                <w:color w:val="auto"/>
              </w:rPr>
            </w:pPr>
          </w:p>
        </w:tc>
      </w:tr>
      <w:tr>
        <w:trPr>
          <w:trHeight w:val="263"/>
        </w:trPr>
        <w:tc>
          <w:tcPr>
            <w:tcW w:w="40" w:type="dxa"/>
            <w:vAlign w:val="bottom"/>
            <w:tcBorders>
              <w:bottom w:val="single" w:sz="8" w:color="auto"/>
            </w:tcBorders>
          </w:tcPr>
          <w:p>
            <w:pPr>
              <w:spacing w:after="0"/>
              <w:rPr>
                <w:sz w:val="22"/>
                <w:szCs w:val="22"/>
                <w:color w:val="auto"/>
              </w:rPr>
            </w:pPr>
          </w:p>
        </w:tc>
        <w:tc>
          <w:tcPr>
            <w:tcW w:w="506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(dollars in thousands, except per share amounts)</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7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2019</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b w:val="1"/>
                <w:bCs w:val="1"/>
                <w:color w:val="auto"/>
              </w:rPr>
              <w:t>2020</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2019</w:t>
            </w: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2"/>
              </w:rPr>
              <w:t>For the Period:</w:t>
            </w:r>
          </w:p>
        </w:tc>
        <w:tc>
          <w:tcPr>
            <w:tcW w:w="412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Operating Results</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Interest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126,691</w:t>
            </w:r>
          </w:p>
        </w:tc>
        <w:tc>
          <w:tcPr>
            <w:tcW w:w="740" w:type="dxa"/>
            <w:vAlign w:val="bottom"/>
            <w:shd w:val="clear" w:color="auto" w:fill="CCEEFF"/>
          </w:tcPr>
          <w:p>
            <w:pPr>
              <w:jc w:val="right"/>
              <w:ind w:right="207"/>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124,097</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252,657</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248,934</w:t>
            </w: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Provision for Credit Losses</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40,400</w:t>
            </w:r>
          </w:p>
        </w:tc>
        <w:tc>
          <w:tcPr>
            <w:tcW w:w="74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4,000</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74,000</w:t>
            </w:r>
          </w:p>
        </w:tc>
        <w:tc>
          <w:tcPr>
            <w:tcW w:w="3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7,000</w:t>
            </w:r>
          </w:p>
        </w:tc>
      </w:tr>
      <w:tr>
        <w:trPr>
          <w:trHeight w:val="276"/>
        </w:trPr>
        <w:tc>
          <w:tcPr>
            <w:tcW w:w="40" w:type="dxa"/>
            <w:vAlign w:val="bottom"/>
            <w:shd w:val="clear" w:color="auto" w:fill="CCEEFF"/>
          </w:tcPr>
          <w:p>
            <w:pPr>
              <w:spacing w:after="0"/>
              <w:rPr>
                <w:sz w:val="24"/>
                <w:szCs w:val="2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Noninterest Income</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51,268</w:t>
            </w:r>
          </w:p>
        </w:tc>
        <w:tc>
          <w:tcPr>
            <w:tcW w:w="7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45,450</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97,417</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89,129</w:t>
            </w: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Total Noninterest Expense</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88,892</w:t>
            </w:r>
          </w:p>
        </w:tc>
        <w:tc>
          <w:tcPr>
            <w:tcW w:w="74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92,725</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185,204</w:t>
            </w:r>
          </w:p>
        </w:tc>
        <w:tc>
          <w:tcPr>
            <w:tcW w:w="3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185,782</w:t>
            </w:r>
          </w:p>
        </w:tc>
      </w:tr>
      <w:tr>
        <w:trPr>
          <w:trHeight w:val="276"/>
        </w:trPr>
        <w:tc>
          <w:tcPr>
            <w:tcW w:w="40" w:type="dxa"/>
            <w:vAlign w:val="bottom"/>
            <w:shd w:val="clear" w:color="auto" w:fill="CCEEFF"/>
          </w:tcPr>
          <w:p>
            <w:pPr>
              <w:spacing w:after="0"/>
              <w:rPr>
                <w:sz w:val="24"/>
                <w:szCs w:val="2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38,908</w:t>
            </w:r>
          </w:p>
        </w:tc>
        <w:tc>
          <w:tcPr>
            <w:tcW w:w="7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56,919</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73,650</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115,718</w:t>
            </w: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Basic Earnings Per Share</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0.98</w:t>
            </w:r>
          </w:p>
        </w:tc>
        <w:tc>
          <w:tcPr>
            <w:tcW w:w="74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1.40</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1.86</w:t>
            </w:r>
          </w:p>
        </w:tc>
        <w:tc>
          <w:tcPr>
            <w:tcW w:w="3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2.84</w:t>
            </w:r>
          </w:p>
        </w:tc>
      </w:tr>
      <w:tr>
        <w:trPr>
          <w:trHeight w:val="276"/>
        </w:trPr>
        <w:tc>
          <w:tcPr>
            <w:tcW w:w="40" w:type="dxa"/>
            <w:vAlign w:val="bottom"/>
            <w:shd w:val="clear" w:color="auto" w:fill="CCEEFF"/>
          </w:tcPr>
          <w:p>
            <w:pPr>
              <w:spacing w:after="0"/>
              <w:rPr>
                <w:sz w:val="24"/>
                <w:szCs w:val="2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Diluted Earnings Per Share</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0.98</w:t>
            </w:r>
          </w:p>
        </w:tc>
        <w:tc>
          <w:tcPr>
            <w:tcW w:w="7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1.40</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1.85</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2.82</w:t>
            </w: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Dividends Declared Per Share</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0.67</w:t>
            </w:r>
          </w:p>
        </w:tc>
        <w:tc>
          <w:tcPr>
            <w:tcW w:w="74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0.65</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1.34</w:t>
            </w:r>
          </w:p>
        </w:tc>
        <w:tc>
          <w:tcPr>
            <w:tcW w:w="3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1.27</w:t>
            </w:r>
          </w:p>
        </w:tc>
      </w:tr>
      <w:tr>
        <w:trPr>
          <w:trHeight w:val="141"/>
        </w:trPr>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Performance Ratios</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Return on Average Assets</w:t>
            </w:r>
          </w:p>
        </w:tc>
        <w:tc>
          <w:tcPr>
            <w:tcW w:w="34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547"/>
              <w:spacing w:after="0"/>
              <w:rPr>
                <w:sz w:val="20"/>
                <w:szCs w:val="20"/>
                <w:color w:val="auto"/>
              </w:rPr>
            </w:pPr>
            <w:r>
              <w:rPr>
                <w:rFonts w:ascii="Arial" w:cs="Arial" w:eastAsia="Arial" w:hAnsi="Arial"/>
                <w:sz w:val="14"/>
                <w:szCs w:val="14"/>
                <w:color w:val="auto"/>
              </w:rPr>
              <w:t>0.82%</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0.79%</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Return on Average Shareholders’ Equity</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11.58</w:t>
            </w:r>
          </w:p>
        </w:tc>
        <w:tc>
          <w:tcPr>
            <w:tcW w:w="74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17.97</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11.11</w:t>
            </w:r>
          </w:p>
        </w:tc>
        <w:tc>
          <w:tcPr>
            <w:tcW w:w="3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18.39</w:t>
            </w:r>
          </w:p>
        </w:tc>
      </w:tr>
      <w:tr>
        <w:trPr>
          <w:trHeight w:val="276"/>
        </w:trPr>
        <w:tc>
          <w:tcPr>
            <w:tcW w:w="40" w:type="dxa"/>
            <w:vAlign w:val="bottom"/>
            <w:shd w:val="clear" w:color="auto" w:fill="CCEEFF"/>
          </w:tcPr>
          <w:p>
            <w:pPr>
              <w:spacing w:after="0"/>
              <w:rPr>
                <w:sz w:val="24"/>
                <w:szCs w:val="2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 xml:space="preserve">Efficiency Ratio </w:t>
            </w:r>
            <w:r>
              <w:rPr>
                <w:rFonts w:ascii="Arial" w:cs="Arial" w:eastAsia="Arial" w:hAnsi="Arial"/>
                <w:sz w:val="8"/>
                <w:szCs w:val="8"/>
                <w:color w:val="auto"/>
              </w:rPr>
              <w:t>1</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49.95</w:t>
            </w:r>
          </w:p>
        </w:tc>
        <w:tc>
          <w:tcPr>
            <w:tcW w:w="7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54.69</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52.90</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54.95</w:t>
            </w: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8"/>
                <w:szCs w:val="8"/>
                <w:color w:val="auto"/>
              </w:rPr>
              <w:t>2</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2.83</w:t>
            </w:r>
          </w:p>
        </w:tc>
        <w:tc>
          <w:tcPr>
            <w:tcW w:w="74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3.04</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2.90</w:t>
            </w:r>
          </w:p>
        </w:tc>
        <w:tc>
          <w:tcPr>
            <w:tcW w:w="3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3.08</w:t>
            </w:r>
          </w:p>
        </w:tc>
      </w:tr>
      <w:tr>
        <w:trPr>
          <w:trHeight w:val="276"/>
        </w:trPr>
        <w:tc>
          <w:tcPr>
            <w:tcW w:w="40" w:type="dxa"/>
            <w:vAlign w:val="bottom"/>
            <w:shd w:val="clear" w:color="auto" w:fill="CCEEFF"/>
          </w:tcPr>
          <w:p>
            <w:pPr>
              <w:spacing w:after="0"/>
              <w:rPr>
                <w:sz w:val="24"/>
                <w:szCs w:val="2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 xml:space="preserve">Dividend Payout Ratio </w:t>
            </w:r>
            <w:r>
              <w:rPr>
                <w:rFonts w:ascii="Arial" w:cs="Arial" w:eastAsia="Arial" w:hAnsi="Arial"/>
                <w:sz w:val="8"/>
                <w:szCs w:val="8"/>
                <w:color w:val="auto"/>
              </w:rPr>
              <w:t>3</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68.37</w:t>
            </w:r>
          </w:p>
        </w:tc>
        <w:tc>
          <w:tcPr>
            <w:tcW w:w="7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46.43</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72.04</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44.72</w:t>
            </w: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Average Shareholders’ Equity to Average Assets</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7.04</w:t>
            </w:r>
          </w:p>
        </w:tc>
        <w:tc>
          <w:tcPr>
            <w:tcW w:w="74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7.27</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7.12</w:t>
            </w:r>
          </w:p>
        </w:tc>
        <w:tc>
          <w:tcPr>
            <w:tcW w:w="3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7.31</w:t>
            </w:r>
          </w:p>
        </w:tc>
      </w:tr>
      <w:tr>
        <w:trPr>
          <w:trHeight w:val="141"/>
        </w:trPr>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Average Balances</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Average Loans and Leases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11,727,649</w:t>
            </w:r>
          </w:p>
        </w:tc>
        <w:tc>
          <w:tcPr>
            <w:tcW w:w="740" w:type="dxa"/>
            <w:vAlign w:val="bottom"/>
            <w:shd w:val="clear" w:color="auto" w:fill="CCEEFF"/>
          </w:tcPr>
          <w:p>
            <w:pPr>
              <w:jc w:val="right"/>
              <w:ind w:right="207"/>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10,631,558</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11,394,178</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10,549,893</w:t>
            </w: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Average Assets</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19,189,581</w:t>
            </w:r>
          </w:p>
        </w:tc>
        <w:tc>
          <w:tcPr>
            <w:tcW w:w="74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17,480,651</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18,706,092</w:t>
            </w:r>
          </w:p>
        </w:tc>
        <w:tc>
          <w:tcPr>
            <w:tcW w:w="3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17,359,031</w:t>
            </w:r>
          </w:p>
        </w:tc>
      </w:tr>
      <w:tr>
        <w:trPr>
          <w:trHeight w:val="276"/>
        </w:trPr>
        <w:tc>
          <w:tcPr>
            <w:tcW w:w="40" w:type="dxa"/>
            <w:vAlign w:val="bottom"/>
            <w:shd w:val="clear" w:color="auto" w:fill="CCEEFF"/>
          </w:tcPr>
          <w:p>
            <w:pPr>
              <w:spacing w:after="0"/>
              <w:rPr>
                <w:sz w:val="24"/>
                <w:szCs w:val="2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Average Deposits</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16,679,511</w:t>
            </w:r>
          </w:p>
        </w:tc>
        <w:tc>
          <w:tcPr>
            <w:tcW w:w="7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15,162,782</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16,248,628</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15,067,622</w:t>
            </w: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Average Shareholders’ Equity</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1,351,345</w:t>
            </w:r>
          </w:p>
        </w:tc>
        <w:tc>
          <w:tcPr>
            <w:tcW w:w="74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1,270,162</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1,332,596</w:t>
            </w:r>
          </w:p>
        </w:tc>
        <w:tc>
          <w:tcPr>
            <w:tcW w:w="3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1,268,808</w:t>
            </w:r>
          </w:p>
        </w:tc>
      </w:tr>
      <w:tr>
        <w:trPr>
          <w:trHeight w:val="181"/>
        </w:trPr>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Market Price Per Share of Common Stock</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Closing</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61.41</w:t>
            </w:r>
          </w:p>
        </w:tc>
        <w:tc>
          <w:tcPr>
            <w:tcW w:w="740" w:type="dxa"/>
            <w:vAlign w:val="bottom"/>
            <w:shd w:val="clear" w:color="auto" w:fill="CCEEFF"/>
          </w:tcPr>
          <w:p>
            <w:pPr>
              <w:jc w:val="right"/>
              <w:ind w:right="207"/>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82.91</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61.41</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82.91</w:t>
            </w: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High</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72.74</w:t>
            </w:r>
          </w:p>
        </w:tc>
        <w:tc>
          <w:tcPr>
            <w:tcW w:w="74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84.53</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95.53</w:t>
            </w:r>
          </w:p>
        </w:tc>
        <w:tc>
          <w:tcPr>
            <w:tcW w:w="3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84.53</w:t>
            </w:r>
          </w:p>
        </w:tc>
      </w:tr>
      <w:tr>
        <w:trPr>
          <w:trHeight w:val="276"/>
        </w:trPr>
        <w:tc>
          <w:tcPr>
            <w:tcW w:w="40" w:type="dxa"/>
            <w:vAlign w:val="bottom"/>
            <w:shd w:val="clear" w:color="auto" w:fill="CCEEFF"/>
          </w:tcPr>
          <w:p>
            <w:pPr>
              <w:spacing w:after="0"/>
              <w:rPr>
                <w:sz w:val="24"/>
                <w:szCs w:val="2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Low</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51.15</w:t>
            </w:r>
          </w:p>
        </w:tc>
        <w:tc>
          <w:tcPr>
            <w:tcW w:w="7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75.24</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46.70</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66.54</w:t>
            </w: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3"/>
        </w:trPr>
        <w:tc>
          <w:tcPr>
            <w:tcW w:w="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28"/>
              <w:spacing w:after="0" w:line="153" w:lineRule="exact"/>
              <w:rPr>
                <w:sz w:val="20"/>
                <w:szCs w:val="20"/>
                <w:color w:val="auto"/>
              </w:rPr>
            </w:pPr>
            <w:r>
              <w:rPr>
                <w:rFonts w:ascii="Arial" w:cs="Arial" w:eastAsia="Arial" w:hAnsi="Arial"/>
                <w:sz w:val="14"/>
                <w:szCs w:val="14"/>
                <w:b w:val="1"/>
                <w:bCs w:val="1"/>
                <w:color w:val="auto"/>
              </w:rPr>
              <w:t>June 30,</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9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2019</w:t>
            </w:r>
          </w:p>
        </w:tc>
      </w:tr>
      <w:tr>
        <w:trPr>
          <w:trHeight w:val="229"/>
        </w:trPr>
        <w:tc>
          <w:tcPr>
            <w:tcW w:w="40" w:type="dxa"/>
            <w:vAlign w:val="bottom"/>
          </w:tcPr>
          <w:p>
            <w:pPr>
              <w:spacing w:after="0"/>
              <w:rPr>
                <w:sz w:val="19"/>
                <w:szCs w:val="19"/>
                <w:color w:val="auto"/>
              </w:rPr>
            </w:pPr>
          </w:p>
        </w:tc>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As of Period End:</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Sheet Totals</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Loans and Leases</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11,805,370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10,990,892</w:t>
            </w:r>
          </w:p>
        </w:tc>
      </w:tr>
      <w:tr>
        <w:trPr>
          <w:trHeight w:val="276"/>
        </w:trPr>
        <w:tc>
          <w:tcPr>
            <w:tcW w:w="40" w:type="dxa"/>
            <w:vAlign w:val="bottom"/>
            <w:shd w:val="clear" w:color="auto" w:fill="CCEEFF"/>
          </w:tcPr>
          <w:p>
            <w:pPr>
              <w:spacing w:after="0"/>
              <w:rPr>
                <w:sz w:val="24"/>
                <w:szCs w:val="2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Assets</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19,769,942</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18,095,496</w:t>
            </w: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Total Deposits</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17,423,155</w:t>
            </w:r>
          </w:p>
        </w:tc>
        <w:tc>
          <w:tcPr>
            <w:tcW w:w="3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15,784,482</w:t>
            </w:r>
          </w:p>
        </w:tc>
      </w:tr>
      <w:tr>
        <w:trPr>
          <w:trHeight w:val="276"/>
        </w:trPr>
        <w:tc>
          <w:tcPr>
            <w:tcW w:w="40" w:type="dxa"/>
            <w:vAlign w:val="bottom"/>
            <w:shd w:val="clear" w:color="auto" w:fill="CCEEFF"/>
          </w:tcPr>
          <w:p>
            <w:pPr>
              <w:spacing w:after="0"/>
              <w:rPr>
                <w:sz w:val="24"/>
                <w:szCs w:val="2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Debt</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60,524</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85,565</w:t>
            </w: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Total Shareholders’ Equity</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1,352,082</w:t>
            </w:r>
          </w:p>
        </w:tc>
        <w:tc>
          <w:tcPr>
            <w:tcW w:w="3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1,286,832</w:t>
            </w:r>
          </w:p>
        </w:tc>
      </w:tr>
      <w:tr>
        <w:trPr>
          <w:trHeight w:val="181"/>
        </w:trPr>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Asset Quality</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Non-Performing Assets</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22,701</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20,117</w:t>
            </w: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Allowance for Credit Losses</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172,039</w:t>
            </w:r>
          </w:p>
        </w:tc>
        <w:tc>
          <w:tcPr>
            <w:tcW w:w="3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110,027</w:t>
            </w:r>
          </w:p>
        </w:tc>
      </w:tr>
      <w:tr>
        <w:trPr>
          <w:trHeight w:val="276"/>
        </w:trPr>
        <w:tc>
          <w:tcPr>
            <w:tcW w:w="40" w:type="dxa"/>
            <w:vAlign w:val="bottom"/>
            <w:shd w:val="clear" w:color="auto" w:fill="CCEEFF"/>
          </w:tcPr>
          <w:p>
            <w:pPr>
              <w:spacing w:after="0"/>
              <w:rPr>
                <w:sz w:val="24"/>
                <w:szCs w:val="2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Allowance to Loans and Leases Outstanding</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75"/>
        </w:trPr>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70"/>
        </w:trPr>
        <w:tc>
          <w:tcPr>
            <w:tcW w:w="40" w:type="dxa"/>
            <w:vAlign w:val="bottom"/>
            <w:shd w:val="clear" w:color="auto" w:fill="CCEEFF"/>
          </w:tcPr>
          <w:p>
            <w:pPr>
              <w:spacing w:after="0"/>
              <w:rPr>
                <w:sz w:val="23"/>
                <w:szCs w:val="23"/>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Capital Ratios</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Common Equity Tier 1 Capital Ratio</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12.04%</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12.18%</w:t>
            </w:r>
          </w:p>
        </w:tc>
      </w:tr>
      <w:tr>
        <w:trPr>
          <w:trHeight w:val="276"/>
        </w:trPr>
        <w:tc>
          <w:tcPr>
            <w:tcW w:w="40" w:type="dxa"/>
            <w:vAlign w:val="bottom"/>
            <w:shd w:val="clear" w:color="auto" w:fill="CCEEFF"/>
          </w:tcPr>
          <w:p>
            <w:pPr>
              <w:spacing w:after="0"/>
              <w:rPr>
                <w:sz w:val="24"/>
                <w:szCs w:val="2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Tier 1 Capital Ratio</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12.04</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12.18</w:t>
            </w: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Total Capital Ratio</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13.29</w:t>
            </w:r>
          </w:p>
        </w:tc>
        <w:tc>
          <w:tcPr>
            <w:tcW w:w="3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13.28</w:t>
            </w:r>
          </w:p>
        </w:tc>
      </w:tr>
      <w:tr>
        <w:trPr>
          <w:trHeight w:val="276"/>
        </w:trPr>
        <w:tc>
          <w:tcPr>
            <w:tcW w:w="40" w:type="dxa"/>
            <w:vAlign w:val="bottom"/>
            <w:shd w:val="clear" w:color="auto" w:fill="CCEEFF"/>
          </w:tcPr>
          <w:p>
            <w:pPr>
              <w:spacing w:after="0"/>
              <w:rPr>
                <w:sz w:val="24"/>
                <w:szCs w:val="2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Tier 1 Leverage Ratio</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6.90</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7.25</w:t>
            </w: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Total Shareholders’ Equity to Total Assets</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6.84</w:t>
            </w:r>
          </w:p>
        </w:tc>
        <w:tc>
          <w:tcPr>
            <w:tcW w:w="3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7.11</w:t>
            </w:r>
          </w:p>
        </w:tc>
      </w:tr>
      <w:tr>
        <w:trPr>
          <w:trHeight w:val="276"/>
        </w:trPr>
        <w:tc>
          <w:tcPr>
            <w:tcW w:w="40" w:type="dxa"/>
            <w:vAlign w:val="bottom"/>
            <w:shd w:val="clear" w:color="auto" w:fill="CCEEFF"/>
          </w:tcPr>
          <w:p>
            <w:pPr>
              <w:spacing w:after="0"/>
              <w:rPr>
                <w:sz w:val="24"/>
                <w:szCs w:val="2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 xml:space="preserve">Tangible Common Equity to Tangible Assets </w:t>
            </w:r>
            <w:r>
              <w:rPr>
                <w:rFonts w:ascii="Arial" w:cs="Arial" w:eastAsia="Arial" w:hAnsi="Arial"/>
                <w:sz w:val="8"/>
                <w:szCs w:val="8"/>
                <w:color w:val="auto"/>
              </w:rPr>
              <w:t>4</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6.69</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6.95</w:t>
            </w: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 xml:space="preserve">Tangible Common Equity to Risk-Weighted Assets </w:t>
            </w:r>
            <w:r>
              <w:rPr>
                <w:rFonts w:ascii="Arial" w:cs="Arial" w:eastAsia="Arial" w:hAnsi="Arial"/>
                <w:sz w:val="8"/>
                <w:szCs w:val="8"/>
                <w:color w:val="auto"/>
              </w:rPr>
              <w:t>4</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12.07</w:t>
            </w:r>
          </w:p>
        </w:tc>
        <w:tc>
          <w:tcPr>
            <w:tcW w:w="3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11.85</w:t>
            </w:r>
          </w:p>
        </w:tc>
      </w:tr>
      <w:tr>
        <w:trPr>
          <w:trHeight w:val="182"/>
        </w:trPr>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Non-Financial Data</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Full-Time Equivalent Employees</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2,112</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2,124</w:t>
            </w:r>
          </w:p>
        </w:tc>
      </w:tr>
      <w:tr>
        <w:trPr>
          <w:trHeight w:val="264"/>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Branches</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67</w:t>
            </w:r>
          </w:p>
        </w:tc>
        <w:tc>
          <w:tcPr>
            <w:tcW w:w="3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68</w:t>
            </w:r>
          </w:p>
        </w:tc>
      </w:tr>
      <w:tr>
        <w:trPr>
          <w:trHeight w:val="123"/>
        </w:trPr>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9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130" w:right="339" w:bottom="0" w:gutter="0" w:footer="0" w:header="0"/>
        </w:sectPr>
      </w:pPr>
    </w:p>
    <w:bookmarkStart w:id="64" w:name="page65"/>
    <w:bookmarkEnd w:id="64"/>
    <w:p>
      <w:pPr>
        <w:ind w:left="32"/>
        <w:spacing w:after="0"/>
        <w:tabs>
          <w:tab w:leader="none" w:pos="9252" w:val="left"/>
          <w:tab w:leader="none" w:pos="10852" w:val="left"/>
        </w:tabs>
        <w:rPr>
          <w:sz w:val="20"/>
          <w:szCs w:val="20"/>
          <w:color w:val="auto"/>
        </w:rPr>
      </w:pPr>
      <w:r>
        <w:rPr>
          <w:rFonts w:ascii="Arial" w:cs="Arial" w:eastAsia="Arial" w:hAnsi="Arial"/>
          <w:sz w:val="14"/>
          <w:szCs w:val="14"/>
          <w:color w:val="auto"/>
        </w:rPr>
        <w:t>ATMs</w:t>
      </w:r>
      <w:r>
        <w:rPr>
          <w:sz w:val="20"/>
          <w:szCs w:val="20"/>
          <w:color w:val="auto"/>
        </w:rPr>
        <w:tab/>
      </w:r>
      <w:r>
        <w:rPr>
          <w:rFonts w:ascii="Arial" w:cs="Arial" w:eastAsia="Arial" w:hAnsi="Arial"/>
          <w:sz w:val="14"/>
          <w:szCs w:val="14"/>
          <w:color w:val="auto"/>
        </w:rPr>
        <w:t>367</w:t>
      </w:r>
      <w:r>
        <w:rPr>
          <w:sz w:val="20"/>
          <w:szCs w:val="20"/>
          <w:color w:val="auto"/>
        </w:rPr>
        <w:tab/>
      </w:r>
      <w:r>
        <w:rPr>
          <w:rFonts w:ascii="Arial" w:cs="Arial" w:eastAsia="Arial" w:hAnsi="Arial"/>
          <w:sz w:val="13"/>
          <w:szCs w:val="13"/>
          <w:color w:val="auto"/>
        </w:rPr>
        <w:t>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092"/>
          </w:cols>
          <w:pgMar w:left="328" w:top="122" w:right="479" w:bottom="1440" w:gutter="0" w:footer="0" w:header="0"/>
        </w:sectPr>
      </w:pPr>
    </w:p>
    <w:p>
      <w:pPr>
        <w:spacing w:after="0" w:line="216" w:lineRule="exact"/>
        <w:rPr>
          <w:sz w:val="20"/>
          <w:szCs w:val="20"/>
          <w:color w:val="auto"/>
        </w:rPr>
      </w:pPr>
    </w:p>
    <w:p>
      <w:pPr>
        <w:ind w:left="172" w:hanging="172"/>
        <w:spacing w:after="0"/>
        <w:tabs>
          <w:tab w:leader="none" w:pos="172" w:val="left"/>
        </w:tabs>
        <w:numPr>
          <w:ilvl w:val="0"/>
          <w:numId w:val="35"/>
        </w:numPr>
        <w:rPr>
          <w:rFonts w:ascii="Arial" w:cs="Arial" w:eastAsia="Arial" w:hAnsi="Arial"/>
          <w:sz w:val="9"/>
          <w:szCs w:val="9"/>
          <w:color w:val="auto"/>
        </w:rPr>
      </w:pPr>
      <w:r>
        <w:rPr>
          <w:rFonts w:ascii="Arial" w:cs="Arial" w:eastAsia="Arial" w:hAnsi="Arial"/>
          <w:sz w:val="14"/>
          <w:szCs w:val="14"/>
          <w:color w:val="auto"/>
        </w:rPr>
        <w:t>Efficiency ratio is defined as noninterest expense divided by total revenue (net interest income and total noninterest income).</w:t>
      </w:r>
    </w:p>
    <w:p>
      <w:pPr>
        <w:spacing w:after="0" w:line="13" w:lineRule="exact"/>
        <w:rPr>
          <w:sz w:val="20"/>
          <w:szCs w:val="20"/>
          <w:color w:val="auto"/>
        </w:rPr>
      </w:pPr>
    </w:p>
    <w:p>
      <w:pPr>
        <w:ind w:left="172" w:hanging="172"/>
        <w:spacing w:after="0"/>
        <w:tabs>
          <w:tab w:leader="none" w:pos="172" w:val="left"/>
        </w:tabs>
        <w:numPr>
          <w:ilvl w:val="0"/>
          <w:numId w:val="36"/>
        </w:numPr>
        <w:rPr>
          <w:rFonts w:ascii="Arial" w:cs="Arial" w:eastAsia="Arial" w:hAnsi="Arial"/>
          <w:sz w:val="9"/>
          <w:szCs w:val="9"/>
          <w:color w:val="auto"/>
        </w:rPr>
      </w:pPr>
      <w:r>
        <w:rPr>
          <w:rFonts w:ascii="Arial" w:cs="Arial" w:eastAsia="Arial" w:hAnsi="Arial"/>
          <w:sz w:val="14"/>
          <w:szCs w:val="14"/>
          <w:color w:val="auto"/>
        </w:rPr>
        <w:t>Net interest margin is defined as net interest income, on a taxable-equivalent basis, as a percentage of average earning assets.</w:t>
      </w:r>
    </w:p>
    <w:p>
      <w:pPr>
        <w:spacing w:after="0" w:line="1" w:lineRule="exact"/>
        <w:rPr>
          <w:sz w:val="20"/>
          <w:szCs w:val="20"/>
          <w:color w:val="auto"/>
        </w:rPr>
      </w:pPr>
    </w:p>
    <w:p>
      <w:pPr>
        <w:ind w:left="172" w:hanging="172"/>
        <w:spacing w:after="0"/>
        <w:tabs>
          <w:tab w:leader="none" w:pos="172" w:val="left"/>
        </w:tabs>
        <w:numPr>
          <w:ilvl w:val="0"/>
          <w:numId w:val="37"/>
        </w:numPr>
        <w:rPr>
          <w:rFonts w:ascii="Arial" w:cs="Arial" w:eastAsia="Arial" w:hAnsi="Arial"/>
          <w:sz w:val="9"/>
          <w:szCs w:val="9"/>
          <w:color w:val="auto"/>
        </w:rPr>
      </w:pPr>
      <w:r>
        <w:rPr>
          <w:rFonts w:ascii="Arial" w:cs="Arial" w:eastAsia="Arial" w:hAnsi="Arial"/>
          <w:sz w:val="14"/>
          <w:szCs w:val="14"/>
          <w:color w:val="auto"/>
        </w:rPr>
        <w:t>Dividend payout ratio is defined as dividends declared per share divided by basic earnings per share.</w:t>
      </w:r>
    </w:p>
    <w:p>
      <w:pPr>
        <w:spacing w:after="0" w:line="1" w:lineRule="exact"/>
        <w:rPr>
          <w:sz w:val="20"/>
          <w:szCs w:val="20"/>
          <w:color w:val="auto"/>
        </w:rPr>
      </w:pPr>
    </w:p>
    <w:p>
      <w:pPr>
        <w:ind w:left="172" w:right="460" w:hanging="172"/>
        <w:spacing w:after="0" w:line="255" w:lineRule="auto"/>
        <w:tabs>
          <w:tab w:leader="none" w:pos="172" w:val="left"/>
        </w:tabs>
        <w:numPr>
          <w:ilvl w:val="0"/>
          <w:numId w:val="38"/>
        </w:numPr>
        <w:rPr>
          <w:rFonts w:ascii="Arial" w:cs="Arial" w:eastAsia="Arial" w:hAnsi="Arial"/>
          <w:sz w:val="9"/>
          <w:szCs w:val="9"/>
          <w:color w:val="auto"/>
        </w:rPr>
      </w:pPr>
      <w:r>
        <w:rPr>
          <w:rFonts w:ascii="Arial" w:cs="Arial" w:eastAsia="Arial" w:hAnsi="Arial"/>
          <w:sz w:val="14"/>
          <w:szCs w:val="14"/>
          <w:color w:val="auto"/>
        </w:rPr>
        <w:t>Tangible common equity, a non-GAAP financial measure, is defined by the Company as shareholders’ equity minus goodwill and intangible assets. Intangible assets are included as a component of other assets in the Consolidated Statements of Condition.</w:t>
      </w:r>
    </w:p>
    <w:p>
      <w:pPr>
        <w:spacing w:after="0" w:line="352"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92"/>
          </w:cols>
          <w:pgMar w:left="328" w:top="122" w:right="479" w:bottom="1440" w:gutter="0" w:footer="0" w:header="0"/>
          <w:type w:val="continuous"/>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ratios “tangible common equity to tangible assets” and “tangible common equity to risk-weighted assets” are Non-GAAP financial measures. The Company believes these measurements are useful for investors, regulators, management and others to evaluate capital adequacy relative to other financial institutions. Although these Non-GAAP financial measures are frequently used by stakeholders in the evaluation of a financial institution, they have limitations as analytical tools, and should not be considered in isolation, or as a substitute for analyses of results as reported under GAAP. Table 2 provides a reconciliation of these Non-GAAP financial measures with their most closely related GAAP measures.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60" w:type="dxa"/>
            <w:vAlign w:val="bottom"/>
          </w:tcPr>
          <w:p>
            <w:pPr>
              <w:ind w:left="40"/>
              <w:spacing w:after="0"/>
              <w:rPr>
                <w:sz w:val="20"/>
                <w:szCs w:val="20"/>
                <w:color w:val="auto"/>
              </w:rPr>
            </w:pPr>
            <w:r>
              <w:rPr>
                <w:rFonts w:ascii="Arial" w:cs="Arial" w:eastAsia="Arial" w:hAnsi="Arial"/>
                <w:sz w:val="16"/>
                <w:szCs w:val="16"/>
                <w:b w:val="1"/>
                <w:bCs w:val="1"/>
                <w:color w:val="auto"/>
              </w:rPr>
              <w:t>GAAP to Non-GAAP Reconciliation</w:t>
            </w: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2</w:t>
            </w:r>
          </w:p>
        </w:tc>
      </w:tr>
      <w:tr>
        <w:trPr>
          <w:trHeight w:val="33"/>
        </w:trPr>
        <w:tc>
          <w:tcPr>
            <w:tcW w:w="6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6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June 30,</w:t>
            </w:r>
          </w:p>
        </w:tc>
        <w:tc>
          <w:tcPr>
            <w:tcW w:w="34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37"/>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1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1,352,082</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1,286,832</w:t>
            </w:r>
          </w:p>
        </w:tc>
      </w:tr>
      <w:tr>
        <w:trPr>
          <w:trHeight w:val="237"/>
        </w:trPr>
        <w:tc>
          <w:tcPr>
            <w:tcW w:w="696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142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31,517</w:t>
            </w:r>
          </w:p>
        </w:tc>
        <w:tc>
          <w:tcPr>
            <w:tcW w:w="34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6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Tangible Common Equity</w:t>
            </w:r>
          </w:p>
        </w:tc>
        <w:tc>
          <w:tcPr>
            <w:tcW w:w="1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1,320,565</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1,255,315</w:t>
            </w:r>
          </w:p>
        </w:tc>
      </w:tr>
      <w:tr>
        <w:trPr>
          <w:trHeight w:val="20"/>
        </w:trPr>
        <w:tc>
          <w:tcPr>
            <w:tcW w:w="69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19,769,942</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18,095,496</w:t>
            </w:r>
          </w:p>
        </w:tc>
      </w:tr>
      <w:tr>
        <w:trPr>
          <w:trHeight w:val="237"/>
        </w:trPr>
        <w:tc>
          <w:tcPr>
            <w:tcW w:w="696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142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31,517</w:t>
            </w:r>
          </w:p>
        </w:tc>
        <w:tc>
          <w:tcPr>
            <w:tcW w:w="34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6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Tangible Assets</w:t>
            </w:r>
          </w:p>
        </w:tc>
        <w:tc>
          <w:tcPr>
            <w:tcW w:w="1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19,738,425</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18,063,979</w:t>
            </w:r>
          </w:p>
        </w:tc>
      </w:tr>
      <w:tr>
        <w:trPr>
          <w:trHeight w:val="20"/>
        </w:trPr>
        <w:tc>
          <w:tcPr>
            <w:tcW w:w="69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6960" w:type="dxa"/>
            <w:vAlign w:val="bottom"/>
          </w:tcPr>
          <w:p>
            <w:pPr>
              <w:ind w:left="40"/>
              <w:spacing w:after="0"/>
              <w:rPr>
                <w:sz w:val="20"/>
                <w:szCs w:val="20"/>
                <w:color w:val="auto"/>
              </w:rPr>
            </w:pPr>
            <w:r>
              <w:rPr>
                <w:rFonts w:ascii="Arial" w:cs="Arial" w:eastAsia="Arial" w:hAnsi="Arial"/>
                <w:sz w:val="16"/>
                <w:szCs w:val="16"/>
                <w:color w:val="auto"/>
              </w:rPr>
              <w:t>Risk-Weighted Assets, determined in accordance with prescribed regulatory requirements</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10,941,894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10,589,061</w:t>
            </w:r>
          </w:p>
        </w:tc>
      </w:tr>
      <w:tr>
        <w:trPr>
          <w:trHeight w:val="73"/>
        </w:trPr>
        <w:tc>
          <w:tcPr>
            <w:tcW w:w="69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50"/>
        </w:trPr>
        <w:tc>
          <w:tcPr>
            <w:tcW w:w="69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7"/>
        </w:trPr>
        <w:tc>
          <w:tcPr>
            <w:tcW w:w="6960" w:type="dxa"/>
            <w:vAlign w:val="bottom"/>
          </w:tcPr>
          <w:p>
            <w:pPr>
              <w:ind w:left="40"/>
              <w:spacing w:after="0"/>
              <w:rPr>
                <w:sz w:val="20"/>
                <w:szCs w:val="20"/>
                <w:color w:val="auto"/>
              </w:rPr>
            </w:pPr>
            <w:r>
              <w:rPr>
                <w:rFonts w:ascii="Arial" w:cs="Arial" w:eastAsia="Arial" w:hAnsi="Arial"/>
                <w:sz w:val="16"/>
                <w:szCs w:val="16"/>
                <w:color w:val="auto"/>
              </w:rPr>
              <w:t>Total Shareholders’ Equity to Total Assets</w:t>
            </w:r>
          </w:p>
        </w:tc>
        <w:tc>
          <w:tcPr>
            <w:tcW w:w="14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6.84%</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7.11%</w:t>
            </w:r>
          </w:p>
        </w:tc>
      </w:tr>
      <w:tr>
        <w:trPr>
          <w:trHeight w:val="33"/>
        </w:trPr>
        <w:tc>
          <w:tcPr>
            <w:tcW w:w="6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Tangible Common Equity to Tangible Assets (Non-GAAP)</w:t>
            </w:r>
          </w:p>
        </w:tc>
        <w:tc>
          <w:tcPr>
            <w:tcW w:w="1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6.69%</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w:t>
            </w:r>
          </w:p>
        </w:tc>
      </w:tr>
      <w:tr>
        <w:trPr>
          <w:trHeight w:val="263"/>
        </w:trPr>
        <w:tc>
          <w:tcPr>
            <w:tcW w:w="69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Tier 1 Capital Ratio</w:t>
            </w:r>
          </w:p>
        </w:tc>
        <w:tc>
          <w:tcPr>
            <w:tcW w:w="1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12.04%</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w:t>
            </w:r>
          </w:p>
        </w:tc>
      </w:tr>
      <w:tr>
        <w:trPr>
          <w:trHeight w:val="237"/>
        </w:trPr>
        <w:tc>
          <w:tcPr>
            <w:tcW w:w="6960" w:type="dxa"/>
            <w:vAlign w:val="bottom"/>
          </w:tcPr>
          <w:p>
            <w:pPr>
              <w:ind w:left="40"/>
              <w:spacing w:after="0"/>
              <w:rPr>
                <w:sz w:val="20"/>
                <w:szCs w:val="20"/>
                <w:color w:val="auto"/>
              </w:rPr>
            </w:pPr>
            <w:r>
              <w:rPr>
                <w:rFonts w:ascii="Arial" w:cs="Arial" w:eastAsia="Arial" w:hAnsi="Arial"/>
                <w:sz w:val="16"/>
                <w:szCs w:val="16"/>
                <w:color w:val="auto"/>
              </w:rPr>
              <w:t>Tangible Common Equity to Risk-Weighted Assets (Non-GAAP)</w:t>
            </w:r>
          </w:p>
        </w:tc>
        <w:tc>
          <w:tcPr>
            <w:tcW w:w="14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12.07%</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11.85%</w:t>
            </w:r>
          </w:p>
        </w:tc>
      </w:tr>
      <w:tr>
        <w:trPr>
          <w:trHeight w:val="33"/>
        </w:trPr>
        <w:tc>
          <w:tcPr>
            <w:tcW w:w="6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30" w:right="3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Income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Average balances, related income and expenses, and resulting yields and rates are presented in Table 3. An analysis of the change in net interest income, on a taxable-equivalent basis, is presented in Table 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gridSpan w:val="12"/>
          </w:tcPr>
          <w:p>
            <w:pPr>
              <w:ind w:left="40"/>
              <w:spacing w:after="0"/>
              <w:rPr>
                <w:sz w:val="20"/>
                <w:szCs w:val="20"/>
                <w:color w:val="auto"/>
              </w:rPr>
            </w:pPr>
            <w:r>
              <w:rPr>
                <w:rFonts w:ascii="Arial" w:cs="Arial" w:eastAsia="Arial" w:hAnsi="Arial"/>
                <w:sz w:val="16"/>
                <w:szCs w:val="16"/>
                <w:b w:val="1"/>
                <w:bCs w:val="1"/>
                <w:color w:val="auto"/>
                <w:w w:val="97"/>
              </w:rPr>
              <w:t>Average Balances and Interest Rates - Taxable-Equivalent Basis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jc w:val="right"/>
              <w:ind w:right="81"/>
              <w:spacing w:after="0"/>
              <w:rPr>
                <w:sz w:val="20"/>
                <w:szCs w:val="20"/>
                <w:color w:val="auto"/>
              </w:rPr>
            </w:pPr>
            <w:r>
              <w:rPr>
                <w:rFonts w:ascii="Arial" w:cs="Arial" w:eastAsia="Arial" w:hAnsi="Arial"/>
                <w:sz w:val="16"/>
                <w:szCs w:val="16"/>
                <w:b w:val="1"/>
                <w:bCs w:val="1"/>
                <w:color w:val="auto"/>
                <w:w w:val="94"/>
              </w:rPr>
              <w:t>Table 3</w:t>
            </w:r>
          </w:p>
        </w:tc>
        <w:tc>
          <w:tcPr>
            <w:tcW w:w="0" w:type="dxa"/>
            <w:vAlign w:val="bottom"/>
          </w:tcPr>
          <w:p>
            <w:pPr>
              <w:spacing w:after="0"/>
              <w:rPr>
                <w:sz w:val="1"/>
                <w:szCs w:val="1"/>
                <w:color w:val="auto"/>
              </w:rPr>
            </w:pPr>
          </w:p>
        </w:tc>
      </w:tr>
      <w:tr>
        <w:trPr>
          <w:trHeight w:val="33"/>
        </w:trPr>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6"/>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6"/>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6"/>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6"/>
          </w:tcPr>
          <w:p>
            <w:pPr>
              <w:jc w:val="center"/>
              <w:ind w:left="241"/>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6"/>
          </w:tcPr>
          <w:p>
            <w:pPr>
              <w:jc w:val="center"/>
              <w:ind w:left="221"/>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6"/>
          </w:tcPr>
          <w:p>
            <w:pPr>
              <w:jc w:val="center"/>
              <w:ind w:left="341"/>
              <w:spacing w:after="0"/>
              <w:rPr>
                <w:sz w:val="20"/>
                <w:szCs w:val="20"/>
                <w:color w:val="auto"/>
              </w:rPr>
            </w:pPr>
            <w:r>
              <w:rPr>
                <w:rFonts w:ascii="Arial" w:cs="Arial" w:eastAsia="Arial" w:hAnsi="Arial"/>
                <w:sz w:val="14"/>
                <w:szCs w:val="14"/>
                <w:b w:val="1"/>
                <w:bCs w:val="1"/>
                <w:color w:val="auto"/>
                <w:w w:val="93"/>
              </w:rPr>
              <w:t>Six Months Ended</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gridSpan w:val="6"/>
          </w:tcPr>
          <w:p>
            <w:pPr>
              <w:jc w:val="right"/>
              <w:ind w:right="52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0"/>
              </w:rPr>
              <w:t>June 30, 2020</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2"/>
              </w:rPr>
              <w:t>June 30, 2019</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2"/>
              </w:rPr>
              <w:t>June 30, 2020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w w:val="94"/>
              </w:rPr>
              <w:t>June 30, 2019</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Average</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2"/>
              </w:rPr>
              <w:t>Income/</w:t>
            </w:r>
          </w:p>
        </w:tc>
        <w:tc>
          <w:tcPr>
            <w:tcW w:w="5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3"/>
              </w:rPr>
              <w:t>Yield/</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97"/>
              </w:rPr>
              <w:t>Average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2"/>
              </w:rPr>
              <w:t>Income/</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7"/>
              </w:rPr>
              <w:t>Yield/</w:t>
            </w:r>
          </w:p>
        </w:tc>
        <w:tc>
          <w:tcPr>
            <w:tcW w:w="16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b w:val="1"/>
                <w:bCs w:val="1"/>
                <w:color w:val="auto"/>
              </w:rPr>
              <w:t>Average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Income/</w:t>
            </w:r>
          </w:p>
        </w:tc>
        <w:tc>
          <w:tcPr>
            <w:tcW w:w="6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Yield/</w:t>
            </w:r>
          </w:p>
        </w:tc>
        <w:tc>
          <w:tcPr>
            <w:tcW w:w="180" w:type="dxa"/>
            <w:vAlign w:val="bottom"/>
          </w:tcPr>
          <w:p>
            <w:pPr>
              <w:spacing w:after="0"/>
              <w:rPr>
                <w:sz w:val="21"/>
                <w:szCs w:val="21"/>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b w:val="1"/>
                <w:bCs w:val="1"/>
                <w:color w:val="auto"/>
                <w:w w:val="97"/>
              </w:rPr>
              <w:t>Average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b w:val="1"/>
                <w:bCs w:val="1"/>
                <w:color w:val="auto"/>
              </w:rPr>
              <w:t>Income/</w:t>
            </w:r>
          </w:p>
        </w:tc>
        <w:tc>
          <w:tcPr>
            <w:tcW w:w="680" w:type="dxa"/>
            <w:vAlign w:val="bottom"/>
          </w:tcPr>
          <w:p>
            <w:pPr>
              <w:jc w:val="right"/>
              <w:ind w:right="81"/>
              <w:spacing w:after="0"/>
              <w:rPr>
                <w:sz w:val="20"/>
                <w:szCs w:val="20"/>
                <w:color w:val="auto"/>
              </w:rPr>
            </w:pPr>
            <w:r>
              <w:rPr>
                <w:rFonts w:ascii="Arial" w:cs="Arial" w:eastAsia="Arial" w:hAnsi="Arial"/>
                <w:sz w:val="12"/>
                <w:szCs w:val="12"/>
                <w:b w:val="1"/>
                <w:bCs w:val="1"/>
                <w:color w:val="auto"/>
              </w:rPr>
              <w:t>Yield/</w:t>
            </w:r>
          </w:p>
        </w:tc>
        <w:tc>
          <w:tcPr>
            <w:tcW w:w="0" w:type="dxa"/>
            <w:vAlign w:val="bottom"/>
          </w:tcPr>
          <w:p>
            <w:pPr>
              <w:spacing w:after="0"/>
              <w:rPr>
                <w:sz w:val="1"/>
                <w:szCs w:val="1"/>
                <w:color w:val="auto"/>
              </w:rPr>
            </w:pPr>
          </w:p>
        </w:tc>
      </w:tr>
      <w:tr>
        <w:trPr>
          <w:trHeight w:val="283"/>
        </w:trPr>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(dollars in millions)</w:t>
            </w: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Balance</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2"/>
                <w:szCs w:val="12"/>
                <w:b w:val="1"/>
                <w:bCs w:val="1"/>
                <w:color w:val="auto"/>
                <w:w w:val="84"/>
              </w:rPr>
              <w:t>Expense</w:t>
            </w:r>
          </w:p>
        </w:tc>
        <w:tc>
          <w:tcPr>
            <w:tcW w:w="5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b w:val="1"/>
                <w:bCs w:val="1"/>
                <w:color w:val="auto"/>
              </w:rPr>
              <w:t>Rate</w:t>
            </w: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Balance</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2"/>
                <w:szCs w:val="12"/>
                <w:b w:val="1"/>
                <w:bCs w:val="1"/>
                <w:color w:val="auto"/>
                <w:w w:val="84"/>
              </w:rPr>
              <w:t>Expense</w:t>
            </w:r>
          </w:p>
        </w:tc>
        <w:tc>
          <w:tcPr>
            <w:tcW w:w="5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b w:val="1"/>
                <w:bCs w:val="1"/>
                <w:color w:val="auto"/>
              </w:rPr>
              <w:t>Rate</w:t>
            </w: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Balance</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2"/>
                <w:szCs w:val="12"/>
                <w:b w:val="1"/>
                <w:bCs w:val="1"/>
                <w:color w:val="auto"/>
                <w:w w:val="97"/>
              </w:rPr>
              <w:t>Expense</w:t>
            </w:r>
          </w:p>
        </w:tc>
        <w:tc>
          <w:tcPr>
            <w:tcW w:w="6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b w:val="1"/>
                <w:bCs w:val="1"/>
                <w:color w:val="auto"/>
              </w:rPr>
              <w:t>Rate</w:t>
            </w: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w w:val="99"/>
              </w:rPr>
              <w:t>Balance</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w w:val="97"/>
              </w:rPr>
              <w:t>Expense</w:t>
            </w:r>
          </w:p>
        </w:tc>
        <w:tc>
          <w:tcPr>
            <w:tcW w:w="68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rPr>
              <w:t>Rate</w:t>
            </w:r>
          </w:p>
        </w:tc>
        <w:tc>
          <w:tcPr>
            <w:tcW w:w="0" w:type="dxa"/>
            <w:vAlign w:val="bottom"/>
          </w:tcPr>
          <w:p>
            <w:pPr>
              <w:spacing w:after="0"/>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Earning Assets</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700" w:type="dxa"/>
            <w:vAlign w:val="bottom"/>
          </w:tcPr>
          <w:p>
            <w:pPr>
              <w:ind w:left="40"/>
              <w:spacing w:after="0"/>
              <w:rPr>
                <w:sz w:val="20"/>
                <w:szCs w:val="20"/>
                <w:color w:val="auto"/>
              </w:rPr>
            </w:pPr>
            <w:r>
              <w:rPr>
                <w:rFonts w:ascii="Arial" w:cs="Arial" w:eastAsia="Arial" w:hAnsi="Arial"/>
                <w:sz w:val="12"/>
                <w:szCs w:val="12"/>
                <w:color w:val="auto"/>
                <w:w w:val="90"/>
              </w:rPr>
              <w:t>Interest-Bearing Deposits in Other</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00"/>
              <w:spacing w:after="0"/>
              <w:rPr>
                <w:sz w:val="20"/>
                <w:szCs w:val="20"/>
                <w:color w:val="auto"/>
              </w:rPr>
            </w:pPr>
            <w:r>
              <w:rPr>
                <w:rFonts w:ascii="Arial" w:cs="Arial" w:eastAsia="Arial" w:hAnsi="Arial"/>
                <w:sz w:val="12"/>
                <w:szCs w:val="12"/>
                <w:color w:val="auto"/>
              </w:rPr>
              <w:t>Banks</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2.6</w:t>
            </w:r>
          </w:p>
        </w:tc>
        <w:tc>
          <w:tcPr>
            <w:tcW w:w="34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60" w:type="dxa"/>
            <w:vAlign w:val="bottom"/>
          </w:tcPr>
          <w:p>
            <w:pPr>
              <w:ind w:left="120"/>
              <w:spacing w:after="0"/>
              <w:rPr>
                <w:sz w:val="20"/>
                <w:szCs w:val="20"/>
                <w:color w:val="auto"/>
              </w:rPr>
            </w:pPr>
            <w:r>
              <w:rPr>
                <w:rFonts w:ascii="Arial" w:cs="Arial" w:eastAsia="Arial" w:hAnsi="Arial"/>
                <w:sz w:val="12"/>
                <w:szCs w:val="12"/>
                <w:color w:val="auto"/>
                <w:w w:val="93"/>
              </w:rPr>
              <w:t>0.18%</w:t>
            </w:r>
          </w:p>
        </w:tc>
        <w:tc>
          <w:tcPr>
            <w:tcW w:w="100" w:type="dxa"/>
            <w:vAlign w:val="bottom"/>
          </w:tcPr>
          <w:p>
            <w:pPr>
              <w:spacing w:after="0"/>
              <w:rPr>
                <w:sz w:val="12"/>
                <w:szCs w:val="12"/>
                <w:color w:val="auto"/>
              </w:rPr>
            </w:pP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2.9</w:t>
            </w:r>
          </w:p>
        </w:tc>
        <w:tc>
          <w:tcPr>
            <w:tcW w:w="30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40" w:type="dxa"/>
            <w:vAlign w:val="bottom"/>
          </w:tcPr>
          <w:p>
            <w:pPr>
              <w:ind w:left="100"/>
              <w:spacing w:after="0"/>
              <w:rPr>
                <w:sz w:val="20"/>
                <w:szCs w:val="20"/>
                <w:color w:val="auto"/>
              </w:rPr>
            </w:pPr>
            <w:r>
              <w:rPr>
                <w:rFonts w:ascii="Arial" w:cs="Arial" w:eastAsia="Arial" w:hAnsi="Arial"/>
                <w:sz w:val="12"/>
                <w:szCs w:val="12"/>
                <w:color w:val="auto"/>
                <w:w w:val="93"/>
              </w:rPr>
              <w:t>1.25%</w:t>
            </w:r>
          </w:p>
        </w:tc>
        <w:tc>
          <w:tcPr>
            <w:tcW w:w="100" w:type="dxa"/>
            <w:vAlign w:val="bottom"/>
          </w:tcPr>
          <w:p>
            <w:pPr>
              <w:spacing w:after="0"/>
              <w:rPr>
                <w:sz w:val="12"/>
                <w:szCs w:val="12"/>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2.0</w:t>
            </w:r>
          </w:p>
        </w:tc>
        <w:tc>
          <w:tcPr>
            <w:tcW w:w="32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520" w:type="dxa"/>
            <w:vAlign w:val="bottom"/>
          </w:tcPr>
          <w:p>
            <w:pPr>
              <w:ind w:left="180"/>
              <w:spacing w:after="0"/>
              <w:rPr>
                <w:sz w:val="20"/>
                <w:szCs w:val="20"/>
                <w:color w:val="auto"/>
              </w:rPr>
            </w:pPr>
            <w:r>
              <w:rPr>
                <w:rFonts w:ascii="Arial" w:cs="Arial" w:eastAsia="Arial" w:hAnsi="Arial"/>
                <w:sz w:val="12"/>
                <w:szCs w:val="12"/>
                <w:color w:val="auto"/>
                <w:w w:val="93"/>
              </w:rPr>
              <w:t>0.96%</w:t>
            </w:r>
          </w:p>
        </w:tc>
        <w:tc>
          <w:tcPr>
            <w:tcW w:w="100" w:type="dxa"/>
            <w:vAlign w:val="bottom"/>
          </w:tcPr>
          <w:p>
            <w:pPr>
              <w:spacing w:after="0"/>
              <w:rPr>
                <w:sz w:val="12"/>
                <w:szCs w:val="12"/>
                <w:color w:val="auto"/>
              </w:rPr>
            </w:pP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2.9</w:t>
            </w:r>
          </w:p>
        </w:tc>
        <w:tc>
          <w:tcPr>
            <w:tcW w:w="32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680" w:type="dxa"/>
            <w:vAlign w:val="bottom"/>
          </w:tcPr>
          <w:p>
            <w:pPr>
              <w:ind w:left="340"/>
              <w:spacing w:after="0"/>
              <w:rPr>
                <w:sz w:val="20"/>
                <w:szCs w:val="20"/>
                <w:color w:val="auto"/>
              </w:rPr>
            </w:pPr>
            <w:r>
              <w:rPr>
                <w:rFonts w:ascii="Arial" w:cs="Arial" w:eastAsia="Arial" w:hAnsi="Arial"/>
                <w:sz w:val="12"/>
                <w:szCs w:val="12"/>
                <w:color w:val="auto"/>
                <w:w w:val="93"/>
              </w:rPr>
              <w:t>1.65%</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Funds Sold</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545.9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0.1</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123.6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0.8</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349.3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0.6</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182.3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2.37</w:t>
            </w:r>
          </w:p>
        </w:tc>
        <w:tc>
          <w:tcPr>
            <w:tcW w:w="0" w:type="dxa"/>
            <w:vAlign w:val="bottom"/>
          </w:tcPr>
          <w:p>
            <w:pPr>
              <w:spacing w:after="0"/>
              <w:rPr>
                <w:sz w:val="1"/>
                <w:szCs w:val="1"/>
                <w:color w:val="auto"/>
              </w:rPr>
            </w:pPr>
          </w:p>
        </w:tc>
      </w:tr>
      <w:tr>
        <w:trPr>
          <w:trHeight w:val="250"/>
        </w:trPr>
        <w:tc>
          <w:tcPr>
            <w:tcW w:w="1700" w:type="dxa"/>
            <w:vAlign w:val="bottom"/>
          </w:tcPr>
          <w:p>
            <w:pPr>
              <w:ind w:left="40"/>
              <w:spacing w:after="0"/>
              <w:rPr>
                <w:sz w:val="20"/>
                <w:szCs w:val="20"/>
                <w:color w:val="auto"/>
              </w:rPr>
            </w:pPr>
            <w:r>
              <w:rPr>
                <w:rFonts w:ascii="Arial" w:cs="Arial" w:eastAsia="Arial" w:hAnsi="Arial"/>
                <w:sz w:val="12"/>
                <w:szCs w:val="12"/>
                <w:color w:val="auto"/>
              </w:rPr>
              <w:t>Investment Securities</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Available-for-Sale</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00" w:type="dxa"/>
            <w:vAlign w:val="bottom"/>
          </w:tcPr>
          <w:p>
            <w:pPr>
              <w:ind w:left="260"/>
              <w:spacing w:after="0"/>
              <w:rPr>
                <w:sz w:val="20"/>
                <w:szCs w:val="20"/>
                <w:color w:val="auto"/>
              </w:rPr>
            </w:pPr>
            <w:r>
              <w:rPr>
                <w:rFonts w:ascii="Arial" w:cs="Arial" w:eastAsia="Arial" w:hAnsi="Arial"/>
                <w:sz w:val="12"/>
                <w:szCs w:val="12"/>
                <w:color w:val="auto"/>
              </w:rPr>
              <w:t>Taxable</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2,614.1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14.3</w:t>
            </w:r>
          </w:p>
        </w:tc>
        <w:tc>
          <w:tcPr>
            <w:tcW w:w="240" w:type="dxa"/>
            <w:vAlign w:val="bottom"/>
          </w:tcPr>
          <w:p>
            <w:pPr>
              <w:spacing w:after="0"/>
              <w:rPr>
                <w:sz w:val="21"/>
                <w:szCs w:val="21"/>
                <w:color w:val="auto"/>
              </w:rPr>
            </w:pPr>
          </w:p>
        </w:tc>
        <w:tc>
          <w:tcPr>
            <w:tcW w:w="460" w:type="dxa"/>
            <w:vAlign w:val="bottom"/>
          </w:tcPr>
          <w:p>
            <w:pPr>
              <w:ind w:left="120"/>
              <w:spacing w:after="0"/>
              <w:rPr>
                <w:sz w:val="20"/>
                <w:szCs w:val="20"/>
                <w:color w:val="auto"/>
              </w:rPr>
            </w:pPr>
            <w:r>
              <w:rPr>
                <w:rFonts w:ascii="Arial" w:cs="Arial" w:eastAsia="Arial" w:hAnsi="Arial"/>
                <w:sz w:val="12"/>
                <w:szCs w:val="12"/>
                <w:color w:val="auto"/>
              </w:rPr>
              <w:t>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2,004.3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14.3</w:t>
            </w:r>
          </w:p>
        </w:tc>
        <w:tc>
          <w:tcPr>
            <w:tcW w:w="2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2.87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2,658.3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30.8</w:t>
            </w:r>
          </w:p>
        </w:tc>
        <w:tc>
          <w:tcPr>
            <w:tcW w:w="18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Arial" w:cs="Arial" w:eastAsia="Arial" w:hAnsi="Arial"/>
                <w:sz w:val="12"/>
                <w:szCs w:val="12"/>
                <w:color w:val="auto"/>
              </w:rPr>
              <w:t>2.31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1,801.2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25.9</w:t>
            </w:r>
          </w:p>
        </w:tc>
        <w:tc>
          <w:tcPr>
            <w:tcW w:w="680" w:type="dxa"/>
            <w:vAlign w:val="bottom"/>
          </w:tcPr>
          <w:p>
            <w:pPr>
              <w:ind w:left="340"/>
              <w:spacing w:after="0"/>
              <w:rPr>
                <w:sz w:val="20"/>
                <w:szCs w:val="20"/>
                <w:color w:val="auto"/>
              </w:rPr>
            </w:pPr>
            <w:r>
              <w:rPr>
                <w:rFonts w:ascii="Arial" w:cs="Arial" w:eastAsia="Arial" w:hAnsi="Arial"/>
                <w:sz w:val="12"/>
                <w:szCs w:val="12"/>
                <w:color w:val="auto"/>
              </w:rPr>
              <w:t>2.88</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Non-Taxable</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32.2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0.4</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86.8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0.9</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32.3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0.7</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182.5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3.3</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3.63</w:t>
            </w:r>
          </w:p>
        </w:tc>
        <w:tc>
          <w:tcPr>
            <w:tcW w:w="0" w:type="dxa"/>
            <w:vAlign w:val="bottom"/>
          </w:tcPr>
          <w:p>
            <w:pPr>
              <w:spacing w:after="0"/>
              <w:rPr>
                <w:sz w:val="1"/>
                <w:szCs w:val="1"/>
                <w:color w:val="auto"/>
              </w:rPr>
            </w:pPr>
          </w:p>
        </w:tc>
      </w:tr>
      <w:tr>
        <w:trPr>
          <w:trHeight w:val="250"/>
        </w:trPr>
        <w:tc>
          <w:tcPr>
            <w:tcW w:w="1700" w:type="dxa"/>
            <w:vAlign w:val="bottom"/>
          </w:tcPr>
          <w:p>
            <w:pPr>
              <w:ind w:left="200"/>
              <w:spacing w:after="0"/>
              <w:rPr>
                <w:sz w:val="20"/>
                <w:szCs w:val="20"/>
                <w:color w:val="auto"/>
              </w:rPr>
            </w:pPr>
            <w:r>
              <w:rPr>
                <w:rFonts w:ascii="Arial" w:cs="Arial" w:eastAsia="Arial" w:hAnsi="Arial"/>
                <w:sz w:val="12"/>
                <w:szCs w:val="12"/>
                <w:color w:val="auto"/>
              </w:rPr>
              <w:t>Held-to-Maturity</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Taxable</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2,957.6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16.4</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3,358.0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21.0</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2,996.9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35.4</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3,365.7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41.5</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2.46</w:t>
            </w:r>
          </w:p>
        </w:tc>
        <w:tc>
          <w:tcPr>
            <w:tcW w:w="0" w:type="dxa"/>
            <w:vAlign w:val="bottom"/>
          </w:tcPr>
          <w:p>
            <w:pPr>
              <w:spacing w:after="0"/>
              <w:rPr>
                <w:sz w:val="1"/>
                <w:szCs w:val="1"/>
                <w:color w:val="auto"/>
              </w:rPr>
            </w:pPr>
          </w:p>
        </w:tc>
      </w:tr>
      <w:tr>
        <w:trPr>
          <w:trHeight w:val="263"/>
        </w:trPr>
        <w:tc>
          <w:tcPr>
            <w:tcW w:w="170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Non-Taxable</w:t>
            </w: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0.4</w:t>
            </w:r>
          </w:p>
        </w:tc>
        <w:tc>
          <w:tcPr>
            <w:tcW w:w="2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2.66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193.0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1.5</w:t>
            </w:r>
          </w:p>
        </w:tc>
        <w:tc>
          <w:tcPr>
            <w:tcW w:w="2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3.08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54.5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0.7</w:t>
            </w: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2.67</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213.4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3.3</w:t>
            </w:r>
          </w:p>
        </w:tc>
        <w:tc>
          <w:tcPr>
            <w:tcW w:w="68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auto"/>
              </w:rPr>
              <w:t>3.12</w:t>
            </w:r>
          </w:p>
        </w:tc>
        <w:tc>
          <w:tcPr>
            <w:tcW w:w="0" w:type="dxa"/>
            <w:vAlign w:val="bottom"/>
          </w:tcPr>
          <w:p>
            <w:pPr>
              <w:spacing w:after="0"/>
              <w:rPr>
                <w:sz w:val="1"/>
                <w:szCs w:val="1"/>
                <w:color w:val="auto"/>
              </w:rPr>
            </w:pPr>
          </w:p>
        </w:tc>
      </w:tr>
      <w:tr>
        <w:trPr>
          <w:trHeight w:val="263"/>
        </w:trPr>
        <w:tc>
          <w:tcPr>
            <w:tcW w:w="1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Total Investment Securities</w:t>
            </w:r>
          </w:p>
        </w:tc>
        <w:tc>
          <w:tcPr>
            <w:tcW w:w="18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5,658.3</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31.5</w:t>
            </w:r>
          </w:p>
        </w:tc>
        <w:tc>
          <w:tcPr>
            <w:tcW w:w="2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2.22</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5,642.1</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37.7</w:t>
            </w:r>
          </w:p>
        </w:tc>
        <w:tc>
          <w:tcPr>
            <w:tcW w:w="2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2.68</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5,742.0</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67.6</w:t>
            </w:r>
          </w:p>
        </w:tc>
        <w:tc>
          <w:tcPr>
            <w:tcW w:w="1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2.35</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5,562.8</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74.0</w:t>
            </w:r>
          </w:p>
        </w:tc>
        <w:tc>
          <w:tcPr>
            <w:tcW w:w="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2"/>
                <w:szCs w:val="12"/>
                <w:color w:val="auto"/>
              </w:rPr>
              <w:t>2.66</w:t>
            </w:r>
          </w:p>
        </w:tc>
        <w:tc>
          <w:tcPr>
            <w:tcW w:w="0" w:type="dxa"/>
            <w:vAlign w:val="bottom"/>
          </w:tcPr>
          <w:p>
            <w:pPr>
              <w:spacing w:after="0"/>
              <w:rPr>
                <w:sz w:val="1"/>
                <w:szCs w:val="1"/>
                <w:color w:val="auto"/>
              </w:rPr>
            </w:pPr>
          </w:p>
        </w:tc>
      </w:tr>
      <w:tr>
        <w:trPr>
          <w:trHeight w:val="250"/>
        </w:trPr>
        <w:tc>
          <w:tcPr>
            <w:tcW w:w="1700" w:type="dxa"/>
            <w:vAlign w:val="bottom"/>
          </w:tcPr>
          <w:p>
            <w:pPr>
              <w:ind w:left="40"/>
              <w:spacing w:after="0"/>
              <w:rPr>
                <w:sz w:val="20"/>
                <w:szCs w:val="20"/>
                <w:color w:val="auto"/>
              </w:rPr>
            </w:pPr>
            <w:r>
              <w:rPr>
                <w:rFonts w:ascii="Arial" w:cs="Arial" w:eastAsia="Arial" w:hAnsi="Arial"/>
                <w:sz w:val="12"/>
                <w:szCs w:val="12"/>
                <w:color w:val="auto"/>
              </w:rPr>
              <w:t>Loans Held for Sale</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23.4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0.2</w:t>
            </w:r>
          </w:p>
        </w:tc>
        <w:tc>
          <w:tcPr>
            <w:tcW w:w="240" w:type="dxa"/>
            <w:vAlign w:val="bottom"/>
          </w:tcPr>
          <w:p>
            <w:pPr>
              <w:spacing w:after="0"/>
              <w:rPr>
                <w:sz w:val="21"/>
                <w:szCs w:val="21"/>
                <w:color w:val="auto"/>
              </w:rPr>
            </w:pPr>
          </w:p>
        </w:tc>
        <w:tc>
          <w:tcPr>
            <w:tcW w:w="460" w:type="dxa"/>
            <w:vAlign w:val="bottom"/>
          </w:tcPr>
          <w:p>
            <w:pPr>
              <w:ind w:left="120"/>
              <w:spacing w:after="0"/>
              <w:rPr>
                <w:sz w:val="20"/>
                <w:szCs w:val="20"/>
                <w:color w:val="auto"/>
              </w:rPr>
            </w:pPr>
            <w:r>
              <w:rPr>
                <w:rFonts w:ascii="Arial" w:cs="Arial" w:eastAsia="Arial" w:hAnsi="Arial"/>
                <w:sz w:val="12"/>
                <w:szCs w:val="12"/>
                <w:color w:val="auto"/>
              </w:rPr>
              <w:t>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18.7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0.2</w:t>
            </w:r>
          </w:p>
        </w:tc>
        <w:tc>
          <w:tcPr>
            <w:tcW w:w="2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4.05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23.3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0.4</w:t>
            </w:r>
          </w:p>
        </w:tc>
        <w:tc>
          <w:tcPr>
            <w:tcW w:w="18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Arial" w:cs="Arial" w:eastAsia="Arial" w:hAnsi="Arial"/>
                <w:sz w:val="12"/>
                <w:szCs w:val="12"/>
                <w:color w:val="auto"/>
              </w:rPr>
              <w:t>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15.6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0.3</w:t>
            </w:r>
          </w:p>
        </w:tc>
        <w:tc>
          <w:tcPr>
            <w:tcW w:w="680" w:type="dxa"/>
            <w:vAlign w:val="bottom"/>
          </w:tcPr>
          <w:p>
            <w:pPr>
              <w:ind w:left="340"/>
              <w:spacing w:after="0"/>
              <w:rPr>
                <w:sz w:val="20"/>
                <w:szCs w:val="20"/>
                <w:color w:val="auto"/>
              </w:rPr>
            </w:pPr>
            <w:r>
              <w:rPr>
                <w:rFonts w:ascii="Arial" w:cs="Arial" w:eastAsia="Arial" w:hAnsi="Arial"/>
                <w:sz w:val="12"/>
                <w:szCs w:val="12"/>
                <w:color w:val="auto"/>
              </w:rPr>
              <w:t>4.16</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0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Loans and Leases </w:t>
            </w:r>
            <w:r>
              <w:rPr>
                <w:rFonts w:ascii="Arial" w:cs="Arial" w:eastAsia="Arial" w:hAnsi="Arial"/>
                <w:sz w:val="19"/>
                <w:szCs w:val="19"/>
                <w:color w:val="auto"/>
                <w:vertAlign w:val="superscript"/>
              </w:rPr>
              <w:t>1</w:t>
            </w: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700" w:type="dxa"/>
            <w:vAlign w:val="bottom"/>
          </w:tcPr>
          <w:p>
            <w:pPr>
              <w:ind w:left="200"/>
              <w:spacing w:after="0"/>
              <w:rPr>
                <w:sz w:val="20"/>
                <w:szCs w:val="20"/>
                <w:color w:val="auto"/>
              </w:rPr>
            </w:pPr>
            <w:r>
              <w:rPr>
                <w:rFonts w:ascii="Arial" w:cs="Arial" w:eastAsia="Arial" w:hAnsi="Arial"/>
                <w:sz w:val="12"/>
                <w:szCs w:val="12"/>
                <w:color w:val="auto"/>
              </w:rPr>
              <w:t>Commercial and Industrial</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1,963.8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17.9</w:t>
            </w:r>
          </w:p>
        </w:tc>
        <w:tc>
          <w:tcPr>
            <w:tcW w:w="240" w:type="dxa"/>
            <w:vAlign w:val="bottom"/>
          </w:tcPr>
          <w:p>
            <w:pPr>
              <w:spacing w:after="0"/>
              <w:rPr>
                <w:sz w:val="21"/>
                <w:szCs w:val="21"/>
                <w:color w:val="auto"/>
              </w:rPr>
            </w:pPr>
          </w:p>
        </w:tc>
        <w:tc>
          <w:tcPr>
            <w:tcW w:w="460" w:type="dxa"/>
            <w:vAlign w:val="bottom"/>
          </w:tcPr>
          <w:p>
            <w:pPr>
              <w:ind w:left="120"/>
              <w:spacing w:after="0"/>
              <w:rPr>
                <w:sz w:val="20"/>
                <w:szCs w:val="20"/>
                <w:color w:val="auto"/>
              </w:rPr>
            </w:pPr>
            <w:r>
              <w:rPr>
                <w:rFonts w:ascii="Arial" w:cs="Arial" w:eastAsia="Arial" w:hAnsi="Arial"/>
                <w:sz w:val="12"/>
                <w:szCs w:val="12"/>
                <w:color w:val="auto"/>
              </w:rPr>
              <w:t>3.67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1,385.7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14.9</w:t>
            </w:r>
          </w:p>
        </w:tc>
        <w:tc>
          <w:tcPr>
            <w:tcW w:w="2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4.31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1,686.5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31.1</w:t>
            </w:r>
          </w:p>
        </w:tc>
        <w:tc>
          <w:tcPr>
            <w:tcW w:w="18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Arial" w:cs="Arial" w:eastAsia="Arial" w:hAnsi="Arial"/>
                <w:sz w:val="12"/>
                <w:szCs w:val="12"/>
                <w:color w:val="auto"/>
              </w:rPr>
              <w:t>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1,371.8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30.2</w:t>
            </w:r>
          </w:p>
        </w:tc>
        <w:tc>
          <w:tcPr>
            <w:tcW w:w="680" w:type="dxa"/>
            <w:vAlign w:val="bottom"/>
          </w:tcPr>
          <w:p>
            <w:pPr>
              <w:ind w:left="340"/>
              <w:spacing w:after="0"/>
              <w:rPr>
                <w:sz w:val="20"/>
                <w:szCs w:val="20"/>
                <w:color w:val="auto"/>
              </w:rPr>
            </w:pPr>
            <w:r>
              <w:rPr>
                <w:rFonts w:ascii="Arial" w:cs="Arial" w:eastAsia="Arial" w:hAnsi="Arial"/>
                <w:sz w:val="12"/>
                <w:szCs w:val="12"/>
                <w:color w:val="auto"/>
              </w:rPr>
              <w:t>4.43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Commercial Mortgage</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2,622.9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22.3</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2,386.3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25.9</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2,586.2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47.4</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2,348.6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50.7</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4.36</w:t>
            </w:r>
          </w:p>
        </w:tc>
        <w:tc>
          <w:tcPr>
            <w:tcW w:w="0" w:type="dxa"/>
            <w:vAlign w:val="bottom"/>
          </w:tcPr>
          <w:p>
            <w:pPr>
              <w:spacing w:after="0"/>
              <w:rPr>
                <w:sz w:val="1"/>
                <w:szCs w:val="1"/>
                <w:color w:val="auto"/>
              </w:rPr>
            </w:pPr>
          </w:p>
        </w:tc>
      </w:tr>
      <w:tr>
        <w:trPr>
          <w:trHeight w:val="250"/>
        </w:trPr>
        <w:tc>
          <w:tcPr>
            <w:tcW w:w="1700" w:type="dxa"/>
            <w:vAlign w:val="bottom"/>
          </w:tcPr>
          <w:p>
            <w:pPr>
              <w:ind w:left="200"/>
              <w:spacing w:after="0"/>
              <w:rPr>
                <w:sz w:val="20"/>
                <w:szCs w:val="20"/>
                <w:color w:val="auto"/>
              </w:rPr>
            </w:pPr>
            <w:r>
              <w:rPr>
                <w:rFonts w:ascii="Arial" w:cs="Arial" w:eastAsia="Arial" w:hAnsi="Arial"/>
                <w:sz w:val="12"/>
                <w:szCs w:val="12"/>
                <w:color w:val="auto"/>
              </w:rPr>
              <w:t>Construction</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255.8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2.5</w:t>
            </w:r>
          </w:p>
        </w:tc>
        <w:tc>
          <w:tcPr>
            <w:tcW w:w="240" w:type="dxa"/>
            <w:vAlign w:val="bottom"/>
          </w:tcPr>
          <w:p>
            <w:pPr>
              <w:spacing w:after="0"/>
              <w:rPr>
                <w:sz w:val="21"/>
                <w:szCs w:val="21"/>
                <w:color w:val="auto"/>
              </w:rPr>
            </w:pPr>
          </w:p>
        </w:tc>
        <w:tc>
          <w:tcPr>
            <w:tcW w:w="460" w:type="dxa"/>
            <w:vAlign w:val="bottom"/>
          </w:tcPr>
          <w:p>
            <w:pPr>
              <w:ind w:left="120"/>
              <w:spacing w:after="0"/>
              <w:rPr>
                <w:sz w:val="20"/>
                <w:szCs w:val="20"/>
                <w:color w:val="auto"/>
              </w:rPr>
            </w:pPr>
            <w:r>
              <w:rPr>
                <w:rFonts w:ascii="Arial" w:cs="Arial" w:eastAsia="Arial" w:hAnsi="Arial"/>
                <w:sz w:val="12"/>
                <w:szCs w:val="12"/>
                <w:color w:val="auto"/>
              </w:rPr>
              <w:t>3.93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125.3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1.7</w:t>
            </w:r>
          </w:p>
        </w:tc>
        <w:tc>
          <w:tcPr>
            <w:tcW w:w="2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5.51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234.6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5.0</w:t>
            </w:r>
          </w:p>
        </w:tc>
        <w:tc>
          <w:tcPr>
            <w:tcW w:w="18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Arial" w:cs="Arial" w:eastAsia="Arial" w:hAnsi="Arial"/>
                <w:sz w:val="12"/>
                <w:szCs w:val="12"/>
                <w:color w:val="auto"/>
              </w:rPr>
              <w:t>4.26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137.8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3.6</w:t>
            </w:r>
          </w:p>
        </w:tc>
        <w:tc>
          <w:tcPr>
            <w:tcW w:w="680" w:type="dxa"/>
            <w:vAlign w:val="bottom"/>
          </w:tcPr>
          <w:p>
            <w:pPr>
              <w:ind w:left="340"/>
              <w:spacing w:after="0"/>
              <w:rPr>
                <w:sz w:val="20"/>
                <w:szCs w:val="20"/>
                <w:color w:val="auto"/>
              </w:rPr>
            </w:pPr>
            <w:r>
              <w:rPr>
                <w:rFonts w:ascii="Arial" w:cs="Arial" w:eastAsia="Arial" w:hAnsi="Arial"/>
                <w:sz w:val="12"/>
                <w:szCs w:val="12"/>
                <w:color w:val="auto"/>
              </w:rPr>
              <w:t>5.27</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w w:val="95"/>
              </w:rPr>
              <w:t>Commercial Lease Financing</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110.9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0.5</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159.9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111.1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1.1</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160.4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2.38</w:t>
            </w:r>
          </w:p>
        </w:tc>
        <w:tc>
          <w:tcPr>
            <w:tcW w:w="0" w:type="dxa"/>
            <w:vAlign w:val="bottom"/>
          </w:tcPr>
          <w:p>
            <w:pPr>
              <w:spacing w:after="0"/>
              <w:rPr>
                <w:sz w:val="1"/>
                <w:szCs w:val="1"/>
                <w:color w:val="auto"/>
              </w:rPr>
            </w:pPr>
          </w:p>
        </w:tc>
      </w:tr>
      <w:tr>
        <w:trPr>
          <w:trHeight w:val="260"/>
        </w:trPr>
        <w:tc>
          <w:tcPr>
            <w:tcW w:w="1700" w:type="dxa"/>
            <w:vAlign w:val="bottom"/>
          </w:tcPr>
          <w:p>
            <w:pPr>
              <w:ind w:left="200"/>
              <w:spacing w:after="0"/>
              <w:rPr>
                <w:sz w:val="20"/>
                <w:szCs w:val="20"/>
                <w:color w:val="auto"/>
              </w:rPr>
            </w:pPr>
            <w:r>
              <w:rPr>
                <w:rFonts w:ascii="Arial" w:cs="Arial" w:eastAsia="Arial" w:hAnsi="Arial"/>
                <w:sz w:val="12"/>
                <w:szCs w:val="12"/>
                <w:color w:val="auto"/>
              </w:rPr>
              <w:t>Residential Mortgage</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3,939.6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36.0</w:t>
            </w:r>
          </w:p>
        </w:tc>
        <w:tc>
          <w:tcPr>
            <w:tcW w:w="240" w:type="dxa"/>
            <w:vAlign w:val="bottom"/>
          </w:tcPr>
          <w:p>
            <w:pPr>
              <w:spacing w:after="0"/>
              <w:rPr>
                <w:sz w:val="22"/>
                <w:szCs w:val="22"/>
                <w:color w:val="auto"/>
              </w:rPr>
            </w:pPr>
          </w:p>
        </w:tc>
        <w:tc>
          <w:tcPr>
            <w:tcW w:w="460" w:type="dxa"/>
            <w:vAlign w:val="bottom"/>
          </w:tcPr>
          <w:p>
            <w:pPr>
              <w:ind w:left="120"/>
              <w:spacing w:after="0"/>
              <w:rPr>
                <w:sz w:val="20"/>
                <w:szCs w:val="20"/>
                <w:color w:val="auto"/>
              </w:rPr>
            </w:pPr>
            <w:r>
              <w:rPr>
                <w:rFonts w:ascii="Arial" w:cs="Arial" w:eastAsia="Arial" w:hAnsi="Arial"/>
                <w:sz w:val="12"/>
                <w:szCs w:val="12"/>
                <w:color w:val="auto"/>
              </w:rPr>
              <w:t>3.65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3,730.4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36.0</w:t>
            </w:r>
          </w:p>
        </w:tc>
        <w:tc>
          <w:tcPr>
            <w:tcW w:w="260" w:type="dxa"/>
            <w:vAlign w:val="bottom"/>
          </w:tcPr>
          <w:p>
            <w:pPr>
              <w:spacing w:after="0"/>
              <w:rPr>
                <w:sz w:val="22"/>
                <w:szCs w:val="22"/>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3.87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3,917.5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72.9</w:t>
            </w:r>
          </w:p>
        </w:tc>
        <w:tc>
          <w:tcPr>
            <w:tcW w:w="180" w:type="dxa"/>
            <w:vAlign w:val="bottom"/>
          </w:tcPr>
          <w:p>
            <w:pPr>
              <w:spacing w:after="0"/>
              <w:rPr>
                <w:sz w:val="22"/>
                <w:szCs w:val="22"/>
                <w:color w:val="auto"/>
              </w:rPr>
            </w:pPr>
          </w:p>
        </w:tc>
        <w:tc>
          <w:tcPr>
            <w:tcW w:w="520" w:type="dxa"/>
            <w:vAlign w:val="bottom"/>
          </w:tcPr>
          <w:p>
            <w:pPr>
              <w:ind w:left="180"/>
              <w:spacing w:after="0"/>
              <w:rPr>
                <w:sz w:val="20"/>
                <w:szCs w:val="20"/>
                <w:color w:val="auto"/>
              </w:rPr>
            </w:pPr>
            <w:r>
              <w:rPr>
                <w:rFonts w:ascii="Arial" w:cs="Arial" w:eastAsia="Arial" w:hAnsi="Arial"/>
                <w:sz w:val="12"/>
                <w:szCs w:val="12"/>
                <w:color w:val="auto"/>
              </w:rPr>
              <w:t>3.72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3,705.4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71.5</w:t>
            </w:r>
          </w:p>
        </w:tc>
        <w:tc>
          <w:tcPr>
            <w:tcW w:w="680" w:type="dxa"/>
            <w:vAlign w:val="bottom"/>
          </w:tcPr>
          <w:p>
            <w:pPr>
              <w:ind w:left="340"/>
              <w:spacing w:after="0"/>
              <w:rPr>
                <w:sz w:val="20"/>
                <w:szCs w:val="20"/>
                <w:color w:val="auto"/>
              </w:rPr>
            </w:pPr>
            <w:r>
              <w:rPr>
                <w:rFonts w:ascii="Arial" w:cs="Arial" w:eastAsia="Arial" w:hAnsi="Arial"/>
                <w:sz w:val="12"/>
                <w:szCs w:val="12"/>
                <w:color w:val="auto"/>
              </w:rPr>
              <w:t>3.86</w:t>
            </w:r>
          </w:p>
        </w:tc>
        <w:tc>
          <w:tcPr>
            <w:tcW w:w="0" w:type="dxa"/>
            <w:vAlign w:val="bottom"/>
          </w:tcPr>
          <w:p>
            <w:pPr>
              <w:spacing w:after="0"/>
              <w:rPr>
                <w:sz w:val="1"/>
                <w:szCs w:val="1"/>
                <w:color w:val="auto"/>
              </w:rPr>
            </w:pPr>
          </w:p>
        </w:tc>
      </w:tr>
      <w:tr>
        <w:trPr>
          <w:trHeight w:val="280"/>
        </w:trPr>
        <w:tc>
          <w:tcPr>
            <w:tcW w:w="17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Home Equity</w:t>
            </w: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1,665.2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14.3</w:t>
            </w: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3.45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1,694.9</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16.2</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3.83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1,672.7</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29.5</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3.55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1,692.5</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32.3</w:t>
            </w:r>
          </w:p>
        </w:tc>
        <w:tc>
          <w:tcPr>
            <w:tcW w:w="6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3.85</w:t>
            </w:r>
          </w:p>
        </w:tc>
        <w:tc>
          <w:tcPr>
            <w:tcW w:w="0" w:type="dxa"/>
            <w:vAlign w:val="bottom"/>
          </w:tcPr>
          <w:p>
            <w:pPr>
              <w:spacing w:after="0"/>
              <w:rPr>
                <w:sz w:val="1"/>
                <w:szCs w:val="1"/>
                <w:color w:val="auto"/>
              </w:rPr>
            </w:pPr>
          </w:p>
        </w:tc>
      </w:tr>
      <w:tr>
        <w:trPr>
          <w:trHeight w:val="260"/>
        </w:trPr>
        <w:tc>
          <w:tcPr>
            <w:tcW w:w="1700" w:type="dxa"/>
            <w:vAlign w:val="bottom"/>
          </w:tcPr>
          <w:p>
            <w:pPr>
              <w:ind w:left="200"/>
              <w:spacing w:after="0"/>
              <w:rPr>
                <w:sz w:val="20"/>
                <w:szCs w:val="20"/>
                <w:color w:val="auto"/>
              </w:rPr>
            </w:pPr>
            <w:r>
              <w:rPr>
                <w:rFonts w:ascii="Arial" w:cs="Arial" w:eastAsia="Arial" w:hAnsi="Arial"/>
                <w:sz w:val="12"/>
                <w:szCs w:val="12"/>
                <w:color w:val="auto"/>
              </w:rPr>
              <w:t>Automobile</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701.2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6.2</w:t>
            </w:r>
          </w:p>
        </w:tc>
        <w:tc>
          <w:tcPr>
            <w:tcW w:w="240" w:type="dxa"/>
            <w:vAlign w:val="bottom"/>
          </w:tcPr>
          <w:p>
            <w:pPr>
              <w:spacing w:after="0"/>
              <w:rPr>
                <w:sz w:val="22"/>
                <w:szCs w:val="22"/>
                <w:color w:val="auto"/>
              </w:rPr>
            </w:pPr>
          </w:p>
        </w:tc>
        <w:tc>
          <w:tcPr>
            <w:tcW w:w="460" w:type="dxa"/>
            <w:vAlign w:val="bottom"/>
          </w:tcPr>
          <w:p>
            <w:pPr>
              <w:ind w:left="120"/>
              <w:spacing w:after="0"/>
              <w:rPr>
                <w:sz w:val="20"/>
                <w:szCs w:val="20"/>
                <w:color w:val="auto"/>
              </w:rPr>
            </w:pPr>
            <w:r>
              <w:rPr>
                <w:rFonts w:ascii="Arial" w:cs="Arial" w:eastAsia="Arial" w:hAnsi="Arial"/>
                <w:sz w:val="12"/>
                <w:szCs w:val="12"/>
                <w:color w:val="auto"/>
              </w:rPr>
              <w:t>3.55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688.5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6.2</w:t>
            </w:r>
          </w:p>
        </w:tc>
        <w:tc>
          <w:tcPr>
            <w:tcW w:w="260" w:type="dxa"/>
            <w:vAlign w:val="bottom"/>
          </w:tcPr>
          <w:p>
            <w:pPr>
              <w:spacing w:after="0"/>
              <w:rPr>
                <w:sz w:val="22"/>
                <w:szCs w:val="22"/>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3.62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711.1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12.6</w:t>
            </w:r>
          </w:p>
        </w:tc>
        <w:tc>
          <w:tcPr>
            <w:tcW w:w="180" w:type="dxa"/>
            <w:vAlign w:val="bottom"/>
          </w:tcPr>
          <w:p>
            <w:pPr>
              <w:spacing w:after="0"/>
              <w:rPr>
                <w:sz w:val="22"/>
                <w:szCs w:val="22"/>
                <w:color w:val="auto"/>
              </w:rPr>
            </w:pPr>
          </w:p>
        </w:tc>
        <w:tc>
          <w:tcPr>
            <w:tcW w:w="520" w:type="dxa"/>
            <w:vAlign w:val="bottom"/>
          </w:tcPr>
          <w:p>
            <w:pPr>
              <w:ind w:left="180"/>
              <w:spacing w:after="0"/>
              <w:rPr>
                <w:sz w:val="20"/>
                <w:szCs w:val="20"/>
                <w:color w:val="auto"/>
              </w:rPr>
            </w:pPr>
            <w:r>
              <w:rPr>
                <w:rFonts w:ascii="Arial" w:cs="Arial" w:eastAsia="Arial" w:hAnsi="Arial"/>
                <w:sz w:val="12"/>
                <w:szCs w:val="12"/>
                <w:color w:val="auto"/>
              </w:rPr>
              <w:t>3.56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678.4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12.3</w:t>
            </w:r>
          </w:p>
        </w:tc>
        <w:tc>
          <w:tcPr>
            <w:tcW w:w="680" w:type="dxa"/>
            <w:vAlign w:val="bottom"/>
          </w:tcPr>
          <w:p>
            <w:pPr>
              <w:ind w:left="340"/>
              <w:spacing w:after="0"/>
              <w:rPr>
                <w:sz w:val="20"/>
                <w:szCs w:val="20"/>
                <w:color w:val="auto"/>
              </w:rPr>
            </w:pPr>
            <w:r>
              <w:rPr>
                <w:rFonts w:ascii="Arial" w:cs="Arial" w:eastAsia="Arial" w:hAnsi="Arial"/>
                <w:sz w:val="12"/>
                <w:szCs w:val="12"/>
                <w:color w:val="auto"/>
              </w:rPr>
              <w:t>3.64</w:t>
            </w:r>
          </w:p>
        </w:tc>
        <w:tc>
          <w:tcPr>
            <w:tcW w:w="0" w:type="dxa"/>
            <w:vAlign w:val="bottom"/>
          </w:tcPr>
          <w:p>
            <w:pPr>
              <w:spacing w:after="0"/>
              <w:rPr>
                <w:sz w:val="1"/>
                <w:szCs w:val="1"/>
                <w:color w:val="auto"/>
              </w:rPr>
            </w:pPr>
          </w:p>
        </w:tc>
      </w:tr>
      <w:tr>
        <w:trPr>
          <w:trHeight w:val="280"/>
        </w:trPr>
        <w:tc>
          <w:tcPr>
            <w:tcW w:w="1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rPr>
              <w:t xml:space="preserve">Other </w:t>
            </w:r>
            <w:r>
              <w:rPr>
                <w:rFonts w:ascii="Arial" w:cs="Arial" w:eastAsia="Arial" w:hAnsi="Arial"/>
                <w:sz w:val="19"/>
                <w:szCs w:val="19"/>
                <w:color w:val="auto"/>
                <w:vertAlign w:val="superscript"/>
              </w:rPr>
              <w:t>2</w:t>
            </w:r>
          </w:p>
        </w:tc>
        <w:tc>
          <w:tcPr>
            <w:tcW w:w="1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468.2</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7.9</w:t>
            </w:r>
          </w:p>
        </w:tc>
        <w:tc>
          <w:tcPr>
            <w:tcW w:w="24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6.77</w:t>
            </w:r>
          </w:p>
        </w:tc>
        <w:tc>
          <w:tcPr>
            <w:tcW w:w="10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460.6</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8.4</w:t>
            </w:r>
          </w:p>
        </w:tc>
        <w:tc>
          <w:tcPr>
            <w:tcW w:w="26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7.33</w:t>
            </w: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474.5</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16.3</w:t>
            </w:r>
          </w:p>
        </w:tc>
        <w:tc>
          <w:tcPr>
            <w:tcW w:w="1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6.92</w:t>
            </w:r>
          </w:p>
        </w:tc>
        <w:tc>
          <w:tcPr>
            <w:tcW w:w="10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455.0</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16.3</w:t>
            </w:r>
          </w:p>
        </w:tc>
        <w:tc>
          <w:tcPr>
            <w:tcW w:w="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2"/>
                <w:szCs w:val="12"/>
                <w:color w:val="auto"/>
              </w:rPr>
              <w:t>7.23</w:t>
            </w:r>
          </w:p>
        </w:tc>
        <w:tc>
          <w:tcPr>
            <w:tcW w:w="0" w:type="dxa"/>
            <w:vAlign w:val="bottom"/>
          </w:tcPr>
          <w:p>
            <w:pPr>
              <w:spacing w:after="0"/>
              <w:rPr>
                <w:sz w:val="1"/>
                <w:szCs w:val="1"/>
                <w:color w:val="auto"/>
              </w:rPr>
            </w:pPr>
          </w:p>
        </w:tc>
      </w:tr>
      <w:tr>
        <w:trPr>
          <w:trHeight w:val="257"/>
        </w:trPr>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Total Loans and Leases</w:t>
            </w: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11,727.6</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107.6</w:t>
            </w:r>
          </w:p>
        </w:tc>
        <w:tc>
          <w:tcPr>
            <w:tcW w:w="2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3.68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10,631.6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110.3</w:t>
            </w:r>
          </w:p>
        </w:tc>
        <w:tc>
          <w:tcPr>
            <w:tcW w:w="2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4.16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11,394.2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215.9</w:t>
            </w: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3.80</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98"/>
              </w:rPr>
              <w:t>10,549.9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218.8</w:t>
            </w:r>
          </w:p>
        </w:tc>
        <w:tc>
          <w:tcPr>
            <w:tcW w:w="68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auto"/>
              </w:rPr>
              <w:t>4.17</w:t>
            </w:r>
          </w:p>
        </w:tc>
        <w:tc>
          <w:tcPr>
            <w:tcW w:w="0" w:type="dxa"/>
            <w:vAlign w:val="bottom"/>
          </w:tcPr>
          <w:p>
            <w:pPr>
              <w:spacing w:after="0"/>
              <w:rPr>
                <w:sz w:val="1"/>
                <w:szCs w:val="1"/>
                <w:color w:val="auto"/>
              </w:rPr>
            </w:pPr>
          </w:p>
        </w:tc>
      </w:tr>
      <w:tr>
        <w:trPr>
          <w:trHeight w:val="263"/>
        </w:trPr>
        <w:tc>
          <w:tcPr>
            <w:tcW w:w="1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Other</w:t>
            </w:r>
          </w:p>
        </w:tc>
        <w:tc>
          <w:tcPr>
            <w:tcW w:w="18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34.0</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0.1</w:t>
            </w:r>
          </w:p>
        </w:tc>
        <w:tc>
          <w:tcPr>
            <w:tcW w:w="2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1.47</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35.0</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0.2</w:t>
            </w:r>
          </w:p>
        </w:tc>
        <w:tc>
          <w:tcPr>
            <w:tcW w:w="2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2.40</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34.2</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0.3</w:t>
            </w:r>
          </w:p>
        </w:tc>
        <w:tc>
          <w:tcPr>
            <w:tcW w:w="1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2.01</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35.2</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0.5</w:t>
            </w:r>
          </w:p>
        </w:tc>
        <w:tc>
          <w:tcPr>
            <w:tcW w:w="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2"/>
                <w:szCs w:val="12"/>
                <w:color w:val="auto"/>
              </w:rPr>
              <w:t>3.00</w:t>
            </w:r>
          </w:p>
        </w:tc>
        <w:tc>
          <w:tcPr>
            <w:tcW w:w="0" w:type="dxa"/>
            <w:vAlign w:val="bottom"/>
          </w:tcPr>
          <w:p>
            <w:pPr>
              <w:spacing w:after="0"/>
              <w:rPr>
                <w:sz w:val="1"/>
                <w:szCs w:val="1"/>
                <w:color w:val="auto"/>
              </w:rPr>
            </w:pPr>
          </w:p>
        </w:tc>
      </w:tr>
      <w:tr>
        <w:trPr>
          <w:trHeight w:val="270"/>
        </w:trPr>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 xml:space="preserve">Total Earning Assets </w:t>
            </w:r>
            <w:r>
              <w:rPr>
                <w:rFonts w:ascii="Arial" w:cs="Arial" w:eastAsia="Arial" w:hAnsi="Arial"/>
                <w:sz w:val="19"/>
                <w:szCs w:val="19"/>
                <w:b w:val="1"/>
                <w:bCs w:val="1"/>
                <w:color w:val="auto"/>
                <w:vertAlign w:val="superscript"/>
              </w:rPr>
              <w:t>3</w:t>
            </w:r>
          </w:p>
        </w:tc>
        <w:tc>
          <w:tcPr>
            <w:tcW w:w="1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17,991.8</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139.5</w:t>
            </w:r>
          </w:p>
        </w:tc>
        <w:tc>
          <w:tcPr>
            <w:tcW w:w="2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3.11</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16,453.9</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149.2</w:t>
            </w:r>
          </w:p>
        </w:tc>
        <w:tc>
          <w:tcPr>
            <w:tcW w:w="2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3.63</w:t>
            </w: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17,545.0</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284.8</w:t>
            </w:r>
          </w:p>
        </w:tc>
        <w:tc>
          <w:tcPr>
            <w:tcW w:w="1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3.26</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98"/>
              </w:rPr>
              <w:t>16,348.7</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295.8</w:t>
            </w:r>
          </w:p>
        </w:tc>
        <w:tc>
          <w:tcPr>
            <w:tcW w:w="68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auto"/>
              </w:rPr>
              <w:t>3.63</w:t>
            </w:r>
          </w:p>
        </w:tc>
        <w:tc>
          <w:tcPr>
            <w:tcW w:w="0" w:type="dxa"/>
            <w:vAlign w:val="bottom"/>
          </w:tcPr>
          <w:p>
            <w:pPr>
              <w:spacing w:after="0"/>
              <w:rPr>
                <w:sz w:val="1"/>
                <w:szCs w:val="1"/>
                <w:color w:val="auto"/>
              </w:rPr>
            </w:pPr>
          </w:p>
        </w:tc>
      </w:tr>
      <w:tr>
        <w:trPr>
          <w:trHeight w:val="244"/>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Cash and Due From Banks</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302.4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241.6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290.6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241.2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70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Other Assets</w:t>
            </w: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895.4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785.2</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870.5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769.1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Total Assets</w:t>
            </w: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19,189.6</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17,480.7</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18,706.1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8"/>
              </w:rPr>
              <w:t>17,359.0</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17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Interest-Bearing Liabilities</w:t>
            </w: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700" w:type="dxa"/>
            <w:vAlign w:val="bottom"/>
          </w:tcPr>
          <w:p>
            <w:pPr>
              <w:ind w:left="40"/>
              <w:spacing w:after="0"/>
              <w:rPr>
                <w:sz w:val="20"/>
                <w:szCs w:val="20"/>
                <w:color w:val="auto"/>
              </w:rPr>
            </w:pPr>
            <w:r>
              <w:rPr>
                <w:rFonts w:ascii="Arial" w:cs="Arial" w:eastAsia="Arial" w:hAnsi="Arial"/>
                <w:sz w:val="12"/>
                <w:szCs w:val="12"/>
                <w:color w:val="auto"/>
              </w:rPr>
              <w:t>Interest-Bearing Deposits</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7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Demand</w:t>
            </w:r>
          </w:p>
        </w:tc>
        <w:tc>
          <w:tcPr>
            <w:tcW w:w="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3,226.6</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0.6</w:t>
            </w: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3"/>
              </w:rPr>
              <w:t>0.07%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2,902.5</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1.4</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3"/>
              </w:rPr>
              <w:t>0.19%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3,168.3</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1.5</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3"/>
              </w:rPr>
              <w:t>0.10%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2,921.1</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2.8</w:t>
            </w:r>
          </w:p>
        </w:tc>
        <w:tc>
          <w:tcPr>
            <w:tcW w:w="680" w:type="dxa"/>
            <w:vAlign w:val="bottom"/>
            <w:shd w:val="clear" w:color="auto" w:fill="CCEEFF"/>
          </w:tcPr>
          <w:p>
            <w:pPr>
              <w:ind w:left="340"/>
              <w:spacing w:after="0"/>
              <w:rPr>
                <w:sz w:val="20"/>
                <w:szCs w:val="20"/>
                <w:color w:val="auto"/>
              </w:rPr>
            </w:pPr>
            <w:r>
              <w:rPr>
                <w:rFonts w:ascii="Arial" w:cs="Arial" w:eastAsia="Arial" w:hAnsi="Arial"/>
                <w:sz w:val="12"/>
                <w:szCs w:val="12"/>
                <w:color w:val="auto"/>
                <w:w w:val="93"/>
              </w:rPr>
              <w:t>0.20%</w:t>
            </w:r>
          </w:p>
        </w:tc>
        <w:tc>
          <w:tcPr>
            <w:tcW w:w="0" w:type="dxa"/>
            <w:vAlign w:val="bottom"/>
          </w:tcPr>
          <w:p>
            <w:pPr>
              <w:spacing w:after="0"/>
              <w:rPr>
                <w:sz w:val="1"/>
                <w:szCs w:val="1"/>
                <w:color w:val="auto"/>
              </w:rPr>
            </w:pPr>
          </w:p>
        </w:tc>
      </w:tr>
      <w:tr>
        <w:trPr>
          <w:trHeight w:val="260"/>
        </w:trPr>
        <w:tc>
          <w:tcPr>
            <w:tcW w:w="1700" w:type="dxa"/>
            <w:vAlign w:val="bottom"/>
          </w:tcPr>
          <w:p>
            <w:pPr>
              <w:ind w:left="200"/>
              <w:spacing w:after="0"/>
              <w:rPr>
                <w:sz w:val="20"/>
                <w:szCs w:val="20"/>
                <w:color w:val="auto"/>
              </w:rPr>
            </w:pPr>
            <w:r>
              <w:rPr>
                <w:rFonts w:ascii="Arial" w:cs="Arial" w:eastAsia="Arial" w:hAnsi="Arial"/>
                <w:sz w:val="12"/>
                <w:szCs w:val="12"/>
                <w:color w:val="auto"/>
              </w:rPr>
              <w:t>Savings</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6,691.4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2.2</w:t>
            </w:r>
          </w:p>
        </w:tc>
        <w:tc>
          <w:tcPr>
            <w:tcW w:w="240" w:type="dxa"/>
            <w:vAlign w:val="bottom"/>
          </w:tcPr>
          <w:p>
            <w:pPr>
              <w:spacing w:after="0"/>
              <w:rPr>
                <w:sz w:val="22"/>
                <w:szCs w:val="22"/>
                <w:color w:val="auto"/>
              </w:rPr>
            </w:pPr>
          </w:p>
        </w:tc>
        <w:tc>
          <w:tcPr>
            <w:tcW w:w="460" w:type="dxa"/>
            <w:vAlign w:val="bottom"/>
          </w:tcPr>
          <w:p>
            <w:pPr>
              <w:ind w:left="120"/>
              <w:spacing w:after="0"/>
              <w:rPr>
                <w:sz w:val="20"/>
                <w:szCs w:val="20"/>
                <w:color w:val="auto"/>
              </w:rPr>
            </w:pPr>
            <w:r>
              <w:rPr>
                <w:rFonts w:ascii="Arial" w:cs="Arial" w:eastAsia="Arial" w:hAnsi="Arial"/>
                <w:sz w:val="12"/>
                <w:szCs w:val="12"/>
                <w:color w:val="auto"/>
              </w:rPr>
              <w:t>0.13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6,002.0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8.9</w:t>
            </w:r>
          </w:p>
        </w:tc>
        <w:tc>
          <w:tcPr>
            <w:tcW w:w="260" w:type="dxa"/>
            <w:vAlign w:val="bottom"/>
          </w:tcPr>
          <w:p>
            <w:pPr>
              <w:spacing w:after="0"/>
              <w:rPr>
                <w:sz w:val="22"/>
                <w:szCs w:val="22"/>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0.60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6,596.9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9.3</w:t>
            </w:r>
          </w:p>
        </w:tc>
        <w:tc>
          <w:tcPr>
            <w:tcW w:w="180" w:type="dxa"/>
            <w:vAlign w:val="bottom"/>
          </w:tcPr>
          <w:p>
            <w:pPr>
              <w:spacing w:after="0"/>
              <w:rPr>
                <w:sz w:val="22"/>
                <w:szCs w:val="22"/>
                <w:color w:val="auto"/>
              </w:rPr>
            </w:pPr>
          </w:p>
        </w:tc>
        <w:tc>
          <w:tcPr>
            <w:tcW w:w="520" w:type="dxa"/>
            <w:vAlign w:val="bottom"/>
          </w:tcPr>
          <w:p>
            <w:pPr>
              <w:ind w:left="180"/>
              <w:spacing w:after="0"/>
              <w:rPr>
                <w:sz w:val="20"/>
                <w:szCs w:val="20"/>
                <w:color w:val="auto"/>
              </w:rPr>
            </w:pPr>
            <w:r>
              <w:rPr>
                <w:rFonts w:ascii="Arial" w:cs="Arial" w:eastAsia="Arial" w:hAnsi="Arial"/>
                <w:sz w:val="12"/>
                <w:szCs w:val="12"/>
                <w:color w:val="auto"/>
              </w:rPr>
              <w:t>0.28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5,882.1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15.7</w:t>
            </w:r>
          </w:p>
        </w:tc>
        <w:tc>
          <w:tcPr>
            <w:tcW w:w="680" w:type="dxa"/>
            <w:vAlign w:val="bottom"/>
          </w:tcPr>
          <w:p>
            <w:pPr>
              <w:ind w:left="340"/>
              <w:spacing w:after="0"/>
              <w:rPr>
                <w:sz w:val="20"/>
                <w:szCs w:val="20"/>
                <w:color w:val="auto"/>
              </w:rPr>
            </w:pPr>
            <w:r>
              <w:rPr>
                <w:rFonts w:ascii="Arial" w:cs="Arial" w:eastAsia="Arial" w:hAnsi="Arial"/>
                <w:sz w:val="12"/>
                <w:szCs w:val="12"/>
                <w:color w:val="auto"/>
              </w:rPr>
              <w:t>0.54</w:t>
            </w:r>
          </w:p>
        </w:tc>
        <w:tc>
          <w:tcPr>
            <w:tcW w:w="0" w:type="dxa"/>
            <w:vAlign w:val="bottom"/>
          </w:tcPr>
          <w:p>
            <w:pPr>
              <w:spacing w:after="0"/>
              <w:rPr>
                <w:sz w:val="1"/>
                <w:szCs w:val="1"/>
                <w:color w:val="auto"/>
              </w:rPr>
            </w:pPr>
          </w:p>
        </w:tc>
      </w:tr>
      <w:tr>
        <w:trPr>
          <w:trHeight w:val="273"/>
        </w:trPr>
        <w:tc>
          <w:tcPr>
            <w:tcW w:w="1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rPr>
              <w:t>Time</w:t>
            </w:r>
          </w:p>
        </w:tc>
        <w:tc>
          <w:tcPr>
            <w:tcW w:w="1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1,826.8</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5.2</w:t>
            </w:r>
          </w:p>
        </w:tc>
        <w:tc>
          <w:tcPr>
            <w:tcW w:w="2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1.13</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1,866.6</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8.3</w:t>
            </w:r>
          </w:p>
        </w:tc>
        <w:tc>
          <w:tcPr>
            <w:tcW w:w="26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1.79</w:t>
            </w: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1,784.9</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11.4</w:t>
            </w:r>
          </w:p>
        </w:tc>
        <w:tc>
          <w:tcPr>
            <w:tcW w:w="1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1.28</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1,785.4</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15.4</w:t>
            </w:r>
          </w:p>
        </w:tc>
        <w:tc>
          <w:tcPr>
            <w:tcW w:w="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2"/>
                <w:szCs w:val="12"/>
                <w:color w:val="auto"/>
              </w:rPr>
              <w:t>1.74</w:t>
            </w:r>
          </w:p>
        </w:tc>
        <w:tc>
          <w:tcPr>
            <w:tcW w:w="0" w:type="dxa"/>
            <w:vAlign w:val="bottom"/>
          </w:tcPr>
          <w:p>
            <w:pPr>
              <w:spacing w:after="0"/>
              <w:rPr>
                <w:sz w:val="1"/>
                <w:szCs w:val="1"/>
                <w:color w:val="auto"/>
              </w:rPr>
            </w:pPr>
          </w:p>
        </w:tc>
      </w:tr>
      <w:tr>
        <w:trPr>
          <w:trHeight w:val="264"/>
        </w:trPr>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w w:val="99"/>
              </w:rPr>
              <w:t>Total Interest-Bearing Deposits</w:t>
            </w: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11,744.8</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8.0</w:t>
            </w:r>
          </w:p>
        </w:tc>
        <w:tc>
          <w:tcPr>
            <w:tcW w:w="2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0.27</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10,771.1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18.6</w:t>
            </w:r>
          </w:p>
        </w:tc>
        <w:tc>
          <w:tcPr>
            <w:tcW w:w="2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0.69</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11,550.1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22.2</w:t>
            </w: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0.39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98"/>
              </w:rPr>
              <w:t>10,588.6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33.9</w:t>
            </w:r>
          </w:p>
        </w:tc>
        <w:tc>
          <w:tcPr>
            <w:tcW w:w="68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auto"/>
              </w:rPr>
              <w:t>0.65</w:t>
            </w:r>
          </w:p>
        </w:tc>
        <w:tc>
          <w:tcPr>
            <w:tcW w:w="0" w:type="dxa"/>
            <w:vAlign w:val="bottom"/>
          </w:tcPr>
          <w:p>
            <w:pPr>
              <w:spacing w:after="0"/>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Short-Term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57.6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82.3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0.5</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57.7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0.2</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56.8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0.7</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2.47</w:t>
            </w:r>
          </w:p>
        </w:tc>
        <w:tc>
          <w:tcPr>
            <w:tcW w:w="0" w:type="dxa"/>
            <w:vAlign w:val="bottom"/>
          </w:tcPr>
          <w:p>
            <w:pPr>
              <w:spacing w:after="0"/>
              <w:rPr>
                <w:sz w:val="1"/>
                <w:szCs w:val="1"/>
                <w:color w:val="auto"/>
              </w:rPr>
            </w:pPr>
          </w:p>
        </w:tc>
      </w:tr>
      <w:tr>
        <w:trPr>
          <w:trHeight w:val="156"/>
        </w:trPr>
        <w:tc>
          <w:tcPr>
            <w:tcW w:w="1700" w:type="dxa"/>
            <w:vAlign w:val="bottom"/>
          </w:tcPr>
          <w:p>
            <w:pPr>
              <w:ind w:left="40"/>
              <w:spacing w:after="0"/>
              <w:rPr>
                <w:sz w:val="20"/>
                <w:szCs w:val="20"/>
                <w:color w:val="auto"/>
              </w:rPr>
            </w:pPr>
            <w:r>
              <w:rPr>
                <w:rFonts w:ascii="Arial" w:cs="Arial" w:eastAsia="Arial" w:hAnsi="Arial"/>
                <w:sz w:val="12"/>
                <w:szCs w:val="12"/>
                <w:color w:val="auto"/>
                <w:w w:val="89"/>
              </w:rPr>
              <w:t>Securities Sold Under Agreements</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00"/>
              <w:spacing w:after="0"/>
              <w:rPr>
                <w:sz w:val="20"/>
                <w:szCs w:val="20"/>
                <w:color w:val="auto"/>
              </w:rPr>
            </w:pPr>
            <w:r>
              <w:rPr>
                <w:rFonts w:ascii="Arial" w:cs="Arial" w:eastAsia="Arial" w:hAnsi="Arial"/>
                <w:sz w:val="12"/>
                <w:szCs w:val="12"/>
                <w:color w:val="auto"/>
              </w:rPr>
              <w:t>to Repurchase</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602.9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4.0</w:t>
            </w:r>
          </w:p>
        </w:tc>
        <w:tc>
          <w:tcPr>
            <w:tcW w:w="240" w:type="dxa"/>
            <w:vAlign w:val="bottom"/>
          </w:tcPr>
          <w:p>
            <w:pPr>
              <w:spacing w:after="0"/>
              <w:rPr>
                <w:sz w:val="12"/>
                <w:szCs w:val="12"/>
                <w:color w:val="auto"/>
              </w:rPr>
            </w:pPr>
          </w:p>
        </w:tc>
        <w:tc>
          <w:tcPr>
            <w:tcW w:w="460" w:type="dxa"/>
            <w:vAlign w:val="bottom"/>
          </w:tcPr>
          <w:p>
            <w:pPr>
              <w:ind w:left="120"/>
              <w:spacing w:after="0"/>
              <w:rPr>
                <w:sz w:val="20"/>
                <w:szCs w:val="20"/>
                <w:color w:val="auto"/>
              </w:rPr>
            </w:pPr>
            <w:r>
              <w:rPr>
                <w:rFonts w:ascii="Arial" w:cs="Arial" w:eastAsia="Arial" w:hAnsi="Arial"/>
                <w:sz w:val="12"/>
                <w:szCs w:val="12"/>
                <w:color w:val="auto"/>
              </w:rPr>
              <w:t>2.64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504.3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4.7</w:t>
            </w:r>
          </w:p>
        </w:tc>
        <w:tc>
          <w:tcPr>
            <w:tcW w:w="260" w:type="dxa"/>
            <w:vAlign w:val="bottom"/>
          </w:tcPr>
          <w:p>
            <w:pPr>
              <w:spacing w:after="0"/>
              <w:rPr>
                <w:sz w:val="12"/>
                <w:szCs w:val="12"/>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3.63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603.5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8.0</w:t>
            </w:r>
          </w:p>
        </w:tc>
        <w:tc>
          <w:tcPr>
            <w:tcW w:w="180" w:type="dxa"/>
            <w:vAlign w:val="bottom"/>
          </w:tcPr>
          <w:p>
            <w:pPr>
              <w:spacing w:after="0"/>
              <w:rPr>
                <w:sz w:val="12"/>
                <w:szCs w:val="12"/>
                <w:color w:val="auto"/>
              </w:rPr>
            </w:pPr>
          </w:p>
        </w:tc>
        <w:tc>
          <w:tcPr>
            <w:tcW w:w="520" w:type="dxa"/>
            <w:vAlign w:val="bottom"/>
          </w:tcPr>
          <w:p>
            <w:pPr>
              <w:ind w:left="180"/>
              <w:spacing w:after="0"/>
              <w:rPr>
                <w:sz w:val="20"/>
                <w:szCs w:val="20"/>
                <w:color w:val="auto"/>
              </w:rPr>
            </w:pPr>
            <w:r>
              <w:rPr>
                <w:rFonts w:ascii="Arial" w:cs="Arial" w:eastAsia="Arial" w:hAnsi="Arial"/>
                <w:sz w:val="12"/>
                <w:szCs w:val="12"/>
                <w:color w:val="auto"/>
              </w:rPr>
              <w:t>2.64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504.3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9.2</w:t>
            </w:r>
          </w:p>
        </w:tc>
        <w:tc>
          <w:tcPr>
            <w:tcW w:w="680" w:type="dxa"/>
            <w:vAlign w:val="bottom"/>
          </w:tcPr>
          <w:p>
            <w:pPr>
              <w:ind w:left="340"/>
              <w:spacing w:after="0"/>
              <w:rPr>
                <w:sz w:val="20"/>
                <w:szCs w:val="20"/>
                <w:color w:val="auto"/>
              </w:rPr>
            </w:pPr>
            <w:r>
              <w:rPr>
                <w:rFonts w:ascii="Arial" w:cs="Arial" w:eastAsia="Arial" w:hAnsi="Arial"/>
                <w:sz w:val="12"/>
                <w:szCs w:val="12"/>
                <w:color w:val="auto"/>
              </w:rPr>
              <w:t>3.63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 Debt</w:t>
            </w: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60.5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0.5</w:t>
            </w:r>
          </w:p>
        </w:tc>
        <w:tc>
          <w:tcPr>
            <w:tcW w:w="2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110.6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0.7</w:t>
            </w: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63.7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w:t>
            </w: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115.3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1.5</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2.56</w:t>
            </w:r>
          </w:p>
        </w:tc>
        <w:tc>
          <w:tcPr>
            <w:tcW w:w="0" w:type="dxa"/>
            <w:vAlign w:val="bottom"/>
          </w:tcPr>
          <w:p>
            <w:pPr>
              <w:spacing w:after="0"/>
              <w:rPr>
                <w:sz w:val="1"/>
                <w:szCs w:val="1"/>
                <w:color w:val="auto"/>
              </w:rPr>
            </w:pPr>
          </w:p>
        </w:tc>
      </w:tr>
      <w:tr>
        <w:trPr>
          <w:trHeight w:val="147"/>
        </w:trPr>
        <w:tc>
          <w:tcPr>
            <w:tcW w:w="1700" w:type="dxa"/>
            <w:vAlign w:val="bottom"/>
            <w:tcBorders>
              <w:top w:val="single" w:sz="8" w:color="auto"/>
            </w:tcBorders>
          </w:tcPr>
          <w:p>
            <w:pPr>
              <w:ind w:left="40"/>
              <w:spacing w:after="0"/>
              <w:rPr>
                <w:sz w:val="20"/>
                <w:szCs w:val="20"/>
                <w:color w:val="auto"/>
              </w:rPr>
            </w:pPr>
            <w:r>
              <w:rPr>
                <w:rFonts w:ascii="Arial" w:cs="Arial" w:eastAsia="Arial" w:hAnsi="Arial"/>
                <w:sz w:val="12"/>
                <w:szCs w:val="12"/>
                <w:b w:val="1"/>
                <w:bCs w:val="1"/>
                <w:color w:val="auto"/>
              </w:rPr>
              <w:t>Total Interest-Bearing</w:t>
            </w: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700" w:type="dxa"/>
            <w:vAlign w:val="bottom"/>
          </w:tcPr>
          <w:p>
            <w:pPr>
              <w:ind w:left="40"/>
              <w:spacing w:after="0"/>
              <w:rPr>
                <w:sz w:val="20"/>
                <w:szCs w:val="20"/>
                <w:color w:val="auto"/>
              </w:rPr>
            </w:pPr>
            <w:r>
              <w:rPr>
                <w:rFonts w:ascii="Arial" w:cs="Arial" w:eastAsia="Arial" w:hAnsi="Arial"/>
                <w:sz w:val="12"/>
                <w:szCs w:val="12"/>
                <w:b w:val="1"/>
                <w:bCs w:val="1"/>
                <w:color w:val="auto"/>
              </w:rPr>
              <w:t>Liabilities</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12,465.8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12.5</w:t>
            </w:r>
          </w:p>
        </w:tc>
        <w:tc>
          <w:tcPr>
            <w:tcW w:w="24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2"/>
                <w:szCs w:val="12"/>
                <w:color w:val="auto"/>
              </w:rPr>
              <w:t>0.40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8"/>
              </w:rPr>
              <w:t>11,468.3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24.5</w:t>
            </w:r>
          </w:p>
        </w:tc>
        <w:tc>
          <w:tcPr>
            <w:tcW w:w="260" w:type="dxa"/>
            <w:vAlign w:val="bottom"/>
          </w:tcPr>
          <w:p>
            <w:pPr>
              <w:spacing w:after="0"/>
              <w:rPr>
                <w:sz w:val="13"/>
                <w:szCs w:val="13"/>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0.85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12,275.0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31.4</w:t>
            </w:r>
          </w:p>
        </w:tc>
        <w:tc>
          <w:tcPr>
            <w:tcW w:w="180" w:type="dxa"/>
            <w:vAlign w:val="bottom"/>
          </w:tcPr>
          <w:p>
            <w:pPr>
              <w:spacing w:after="0"/>
              <w:rPr>
                <w:sz w:val="13"/>
                <w:szCs w:val="13"/>
                <w:color w:val="auto"/>
              </w:rPr>
            </w:pPr>
          </w:p>
        </w:tc>
        <w:tc>
          <w:tcPr>
            <w:tcW w:w="520" w:type="dxa"/>
            <w:vAlign w:val="bottom"/>
          </w:tcPr>
          <w:p>
            <w:pPr>
              <w:ind w:left="180"/>
              <w:spacing w:after="0"/>
              <w:rPr>
                <w:sz w:val="20"/>
                <w:szCs w:val="20"/>
                <w:color w:val="auto"/>
              </w:rPr>
            </w:pPr>
            <w:r>
              <w:rPr>
                <w:rFonts w:ascii="Arial" w:cs="Arial" w:eastAsia="Arial" w:hAnsi="Arial"/>
                <w:sz w:val="12"/>
                <w:szCs w:val="12"/>
                <w:color w:val="auto"/>
              </w:rPr>
              <w:t>0.51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w w:val="98"/>
              </w:rPr>
              <w:t>11,265.0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45.3</w:t>
            </w:r>
          </w:p>
        </w:tc>
        <w:tc>
          <w:tcPr>
            <w:tcW w:w="680" w:type="dxa"/>
            <w:vAlign w:val="bottom"/>
          </w:tcPr>
          <w:p>
            <w:pPr>
              <w:ind w:left="340"/>
              <w:spacing w:after="0"/>
              <w:rPr>
                <w:sz w:val="20"/>
                <w:szCs w:val="20"/>
                <w:color w:val="auto"/>
              </w:rPr>
            </w:pPr>
            <w:r>
              <w:rPr>
                <w:rFonts w:ascii="Arial" w:cs="Arial" w:eastAsia="Arial" w:hAnsi="Arial"/>
                <w:sz w:val="12"/>
                <w:szCs w:val="12"/>
                <w:color w:val="auto"/>
              </w:rPr>
              <w:t>0.81</w:t>
            </w:r>
          </w:p>
        </w:tc>
        <w:tc>
          <w:tcPr>
            <w:tcW w:w="0" w:type="dxa"/>
            <w:vAlign w:val="bottom"/>
          </w:tcPr>
          <w:p>
            <w:pPr>
              <w:spacing w:after="0"/>
              <w:rPr>
                <w:sz w:val="1"/>
                <w:szCs w:val="1"/>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17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Net Interest Income</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127.0</w:t>
            </w: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124.7</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253.4</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250.5</w:t>
            </w: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2"/>
                <w:szCs w:val="12"/>
                <w:color w:val="auto"/>
              </w:rPr>
              <w:t>Interest Rate Spread</w:t>
            </w: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2"/>
                <w:szCs w:val="12"/>
                <w:color w:val="auto"/>
                <w:w w:val="93"/>
              </w:rPr>
              <w:t>2.71%</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2"/>
                <w:szCs w:val="12"/>
                <w:color w:val="auto"/>
                <w:w w:val="93"/>
              </w:rPr>
              <w:t>2.78%</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2"/>
                <w:szCs w:val="12"/>
                <w:color w:val="auto"/>
                <w:w w:val="93"/>
              </w:rPr>
              <w:t>2.75%</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2"/>
                <w:szCs w:val="12"/>
                <w:color w:val="auto"/>
                <w:w w:val="93"/>
              </w:rPr>
              <w:t>2.82%</w:t>
            </w:r>
          </w:p>
        </w:tc>
        <w:tc>
          <w:tcPr>
            <w:tcW w:w="0" w:type="dxa"/>
            <w:vAlign w:val="bottom"/>
          </w:tcPr>
          <w:p>
            <w:pPr>
              <w:spacing w:after="0" w:line="20" w:lineRule="exact"/>
              <w:rPr>
                <w:sz w:val="1"/>
                <w:szCs w:val="1"/>
                <w:color w:val="auto"/>
              </w:rPr>
            </w:pPr>
          </w:p>
        </w:tc>
      </w:tr>
      <w:tr>
        <w:trPr>
          <w:trHeight w:val="234"/>
        </w:trPr>
        <w:tc>
          <w:tcPr>
            <w:tcW w:w="17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Net Interest Margin</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w w:val="93"/>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w w:val="93"/>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w w:val="93"/>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w w:val="93"/>
              </w:rPr>
              <w:t>3.08%</w:t>
            </w:r>
          </w:p>
        </w:tc>
        <w:tc>
          <w:tcPr>
            <w:tcW w:w="0" w:type="dxa"/>
            <w:vAlign w:val="bottom"/>
          </w:tcPr>
          <w:p>
            <w:pPr>
              <w:spacing w:after="0"/>
              <w:rPr>
                <w:sz w:val="1"/>
                <w:szCs w:val="1"/>
                <w:color w:val="auto"/>
              </w:rPr>
            </w:pPr>
          </w:p>
        </w:tc>
      </w:tr>
      <w:tr>
        <w:trPr>
          <w:trHeight w:val="156"/>
        </w:trPr>
        <w:tc>
          <w:tcPr>
            <w:tcW w:w="1700" w:type="dxa"/>
            <w:vAlign w:val="bottom"/>
          </w:tcPr>
          <w:p>
            <w:pPr>
              <w:ind w:left="40"/>
              <w:spacing w:after="0"/>
              <w:rPr>
                <w:sz w:val="20"/>
                <w:szCs w:val="20"/>
                <w:color w:val="auto"/>
              </w:rPr>
            </w:pPr>
            <w:r>
              <w:rPr>
                <w:rFonts w:ascii="Arial" w:cs="Arial" w:eastAsia="Arial" w:hAnsi="Arial"/>
                <w:sz w:val="12"/>
                <w:szCs w:val="12"/>
                <w:color w:val="auto"/>
              </w:rPr>
              <w:t>Noninterest-Bearing Demand</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00"/>
              <w:spacing w:after="0"/>
              <w:rPr>
                <w:sz w:val="20"/>
                <w:szCs w:val="20"/>
                <w:color w:val="auto"/>
              </w:rPr>
            </w:pPr>
            <w:r>
              <w:rPr>
                <w:rFonts w:ascii="Arial" w:cs="Arial" w:eastAsia="Arial" w:hAnsi="Arial"/>
                <w:sz w:val="12"/>
                <w:szCs w:val="12"/>
                <w:color w:val="auto"/>
              </w:rPr>
              <w:t>Deposits</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4,934.7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4,391.7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4,698.5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4,479.0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437.8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350.5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400.0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346.2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70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Shareholders’ Equity</w:t>
            </w: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1,351.3</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1,270.2</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1,332.6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1,268.8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17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 Liabilities and</w:t>
            </w:r>
          </w:p>
        </w:tc>
        <w:tc>
          <w:tcPr>
            <w:tcW w:w="1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19,189.6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8"/>
              </w:rPr>
              <w:t>17,480.7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5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18,706.1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w w:val="98"/>
              </w:rPr>
              <w:t>17,359.0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b w:val="1"/>
                <w:bCs w:val="1"/>
                <w:color w:val="auto"/>
              </w:rPr>
              <w:t>Shareholders’ Equity</w:t>
            </w: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vMerge w:val="continue"/>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9"/>
          <w:szCs w:val="9"/>
          <w:color w:val="auto"/>
        </w:rPr>
      </w:pPr>
      <w:r>
        <w:rPr>
          <w:rFonts w:ascii="Arial" w:cs="Arial" w:eastAsia="Arial" w:hAnsi="Arial"/>
          <w:sz w:val="13"/>
          <w:szCs w:val="13"/>
          <w:color w:val="auto"/>
        </w:rPr>
        <w:t>Non-performing loans and leases are included in the respective average loan and lease balances. Income, if any, on such loans and leases is recognized on a cash basis.</w:t>
      </w:r>
    </w:p>
    <w:p>
      <w:pPr>
        <w:spacing w:after="0" w:line="8"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9"/>
          <w:szCs w:val="9"/>
          <w:color w:val="auto"/>
        </w:rPr>
      </w:pPr>
      <w:r>
        <w:rPr>
          <w:rFonts w:ascii="Arial" w:cs="Arial" w:eastAsia="Arial" w:hAnsi="Arial"/>
          <w:sz w:val="13"/>
          <w:szCs w:val="13"/>
          <w:color w:val="auto"/>
        </w:rPr>
        <w:t>Comprised of other consumer revolving credit, installment, and consumer lease financing.</w:t>
      </w:r>
    </w:p>
    <w:p>
      <w:pPr>
        <w:ind w:left="180" w:right="80" w:hanging="172"/>
        <w:spacing w:after="0" w:line="239" w:lineRule="auto"/>
        <w:tabs>
          <w:tab w:leader="none" w:pos="180" w:val="left"/>
        </w:tabs>
        <w:numPr>
          <w:ilvl w:val="0"/>
          <w:numId w:val="41"/>
        </w:numPr>
        <w:rPr>
          <w:rFonts w:ascii="Arial" w:cs="Arial" w:eastAsia="Arial" w:hAnsi="Arial"/>
          <w:sz w:val="9"/>
          <w:szCs w:val="9"/>
          <w:color w:val="auto"/>
        </w:rPr>
      </w:pPr>
      <w:r>
        <w:rPr>
          <w:rFonts w:ascii="Arial" w:cs="Arial" w:eastAsia="Arial" w:hAnsi="Arial"/>
          <w:sz w:val="13"/>
          <w:szCs w:val="13"/>
          <w:color w:val="auto"/>
        </w:rPr>
        <w:t>Interest income includes taxable-equivalent basis adjustments, based upon a federal statutory tax rate of 21%, of $0.4 million and $0.7 million for the three and six months ended June 30, 2020 and $0.6 million and $1.6 million for the three and six months ended June 30, 2019.</w:t>
      </w:r>
    </w:p>
    <w:p>
      <w:pPr>
        <w:sectPr>
          <w:pgSz w:w="11900" w:h="16838" w:orient="portrait"/>
          <w:cols w:equalWidth="0" w:num="1">
            <w:col w:w="11240"/>
          </w:cols>
          <w:pgMar w:left="320" w:top="130" w:right="339" w:bottom="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320" w:top="130" w:right="339" w:bottom="0" w:gutter="0" w:footer="0" w:header="0"/>
          <w:type w:val="continuous"/>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Analysis of Change in Net Interest Income - Taxable-Equivalent Basis</w:t>
            </w: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4</w:t>
            </w:r>
          </w:p>
        </w:tc>
      </w:tr>
      <w:tr>
        <w:trPr>
          <w:trHeight w:val="27"/>
        </w:trPr>
        <w:tc>
          <w:tcPr>
            <w:tcW w:w="6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6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98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 June 30, 2020</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6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1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w w:val="90"/>
              </w:rPr>
              <w:t>Compared to June 30, 2019</w:t>
            </w: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33"/>
        </w:trPr>
        <w:tc>
          <w:tcPr>
            <w:tcW w:w="65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6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millions)</w:t>
            </w: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xml:space="preserve">Volume </w:t>
            </w:r>
            <w:r>
              <w:rPr>
                <w:rFonts w:ascii="Arial" w:cs="Arial" w:eastAsia="Arial" w:hAnsi="Arial"/>
                <w:sz w:val="17"/>
                <w:szCs w:val="17"/>
                <w:color w:val="auto"/>
                <w:vertAlign w:val="superscript"/>
              </w:rPr>
              <w:t>1</w:t>
            </w:r>
          </w:p>
        </w:tc>
        <w:tc>
          <w:tcPr>
            <w:tcW w:w="8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17"/>
                <w:szCs w:val="17"/>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Interest Income:</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56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39"/>
              <w:spacing w:after="0"/>
              <w:rPr>
                <w:sz w:val="20"/>
                <w:szCs w:val="20"/>
                <w:color w:val="auto"/>
              </w:rPr>
            </w:pPr>
            <w:r>
              <w:rPr>
                <w:rFonts w:ascii="Arial" w:cs="Arial" w:eastAsia="Arial" w:hAnsi="Arial"/>
                <w:sz w:val="16"/>
                <w:szCs w:val="16"/>
                <w:color w:val="auto"/>
              </w:rPr>
              <w:t>(2.7)</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560" w:type="dxa"/>
            <w:vAlign w:val="bottom"/>
          </w:tcPr>
          <w:p>
            <w:pPr>
              <w:ind w:left="180"/>
              <w:spacing w:after="0"/>
              <w:rPr>
                <w:sz w:val="20"/>
                <w:szCs w:val="20"/>
                <w:color w:val="auto"/>
              </w:rPr>
            </w:pPr>
            <w:r>
              <w:rPr>
                <w:rFonts w:ascii="Arial" w:cs="Arial" w:eastAsia="Arial" w:hAnsi="Arial"/>
                <w:sz w:val="16"/>
                <w:szCs w:val="16"/>
                <w:color w:val="auto"/>
              </w:rPr>
              <w:t>Available-for-Sale</w:t>
            </w: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Taxable</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(5.8)</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37"/>
        </w:trPr>
        <w:tc>
          <w:tcPr>
            <w:tcW w:w="6560" w:type="dxa"/>
            <w:vAlign w:val="bottom"/>
          </w:tcPr>
          <w:p>
            <w:pPr>
              <w:ind w:left="360"/>
              <w:spacing w:after="0"/>
              <w:rPr>
                <w:sz w:val="20"/>
                <w:szCs w:val="20"/>
                <w:color w:val="auto"/>
              </w:rPr>
            </w:pPr>
            <w:r>
              <w:rPr>
                <w:rFonts w:ascii="Arial" w:cs="Arial" w:eastAsia="Arial" w:hAnsi="Arial"/>
                <w:sz w:val="16"/>
                <w:szCs w:val="16"/>
                <w:color w:val="auto"/>
              </w:rPr>
              <w:t>Non-Taxable</w:t>
            </w: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w:t>
            </w:r>
          </w:p>
        </w:tc>
        <w:tc>
          <w:tcPr>
            <w:tcW w:w="880" w:type="dxa"/>
            <w:vAlign w:val="bottom"/>
          </w:tcPr>
          <w:p>
            <w:pPr>
              <w:spacing w:after="0"/>
              <w:rPr>
                <w:sz w:val="20"/>
                <w:szCs w:val="20"/>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0.6</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Held-to-Maturity</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560" w:type="dxa"/>
            <w:vAlign w:val="bottom"/>
          </w:tcPr>
          <w:p>
            <w:pPr>
              <w:ind w:left="320"/>
              <w:spacing w:after="0"/>
              <w:rPr>
                <w:sz w:val="20"/>
                <w:szCs w:val="20"/>
                <w:color w:val="auto"/>
              </w:rPr>
            </w:pPr>
            <w:r>
              <w:rPr>
                <w:rFonts w:ascii="Arial" w:cs="Arial" w:eastAsia="Arial" w:hAnsi="Arial"/>
                <w:sz w:val="16"/>
                <w:szCs w:val="16"/>
                <w:color w:val="auto"/>
              </w:rPr>
              <w:t>Taxable</w:t>
            </w: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880" w:type="dxa"/>
            <w:vAlign w:val="bottom"/>
          </w:tcPr>
          <w:p>
            <w:pPr>
              <w:spacing w:after="0"/>
              <w:rPr>
                <w:sz w:val="20"/>
                <w:szCs w:val="20"/>
                <w:color w:val="auto"/>
              </w:rPr>
            </w:pPr>
          </w:p>
        </w:tc>
        <w:tc>
          <w:tcPr>
            <w:tcW w:w="1240" w:type="dxa"/>
            <w:vAlign w:val="bottom"/>
          </w:tcPr>
          <w:p>
            <w:pPr>
              <w:jc w:val="right"/>
              <w:ind w:right="439"/>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Non-Taxable</w:t>
            </w: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(0.4)</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31"/>
        </w:trPr>
        <w:tc>
          <w:tcPr>
            <w:tcW w:w="65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w:t>
            </w:r>
          </w:p>
        </w:tc>
        <w:tc>
          <w:tcPr>
            <w:tcW w:w="5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8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(7.3)</w:t>
            </w: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33"/>
        </w:trPr>
        <w:tc>
          <w:tcPr>
            <w:tcW w:w="6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6560" w:type="dxa"/>
            <w:vAlign w:val="bottom"/>
          </w:tcPr>
          <w:p>
            <w:pPr>
              <w:ind w:left="40"/>
              <w:spacing w:after="0"/>
              <w:rPr>
                <w:sz w:val="20"/>
                <w:szCs w:val="20"/>
                <w:color w:val="auto"/>
              </w:rPr>
            </w:pPr>
            <w:r>
              <w:rPr>
                <w:rFonts w:ascii="Arial" w:cs="Arial" w:eastAsia="Arial" w:hAnsi="Arial"/>
                <w:sz w:val="16"/>
                <w:szCs w:val="16"/>
                <w:color w:val="auto"/>
              </w:rPr>
              <w:t>Loans and Leases</w:t>
            </w: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and Industrial</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(5.4)</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r>
      <w:tr>
        <w:trPr>
          <w:trHeight w:val="237"/>
        </w:trPr>
        <w:tc>
          <w:tcPr>
            <w:tcW w:w="6560" w:type="dxa"/>
            <w:vAlign w:val="bottom"/>
          </w:tcPr>
          <w:p>
            <w:pPr>
              <w:ind w:left="180"/>
              <w:spacing w:after="0"/>
              <w:rPr>
                <w:sz w:val="20"/>
                <w:szCs w:val="20"/>
                <w:color w:val="auto"/>
              </w:rPr>
            </w:pPr>
            <w:r>
              <w:rPr>
                <w:rFonts w:ascii="Arial" w:cs="Arial" w:eastAsia="Arial" w:hAnsi="Arial"/>
                <w:sz w:val="16"/>
                <w:szCs w:val="16"/>
                <w:color w:val="auto"/>
              </w:rPr>
              <w:t>Commercial Mortgage</w:t>
            </w: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w:t>
            </w:r>
          </w:p>
        </w:tc>
        <w:tc>
          <w:tcPr>
            <w:tcW w:w="880" w:type="dxa"/>
            <w:vAlign w:val="bottom"/>
          </w:tcPr>
          <w:p>
            <w:pPr>
              <w:spacing w:after="0"/>
              <w:rPr>
                <w:sz w:val="20"/>
                <w:szCs w:val="20"/>
                <w:color w:val="auto"/>
              </w:rPr>
            </w:pPr>
          </w:p>
        </w:tc>
        <w:tc>
          <w:tcPr>
            <w:tcW w:w="1240" w:type="dxa"/>
            <w:vAlign w:val="bottom"/>
          </w:tcPr>
          <w:p>
            <w:pPr>
              <w:jc w:val="right"/>
              <w:ind w:right="439"/>
              <w:spacing w:after="0"/>
              <w:rPr>
                <w:sz w:val="20"/>
                <w:szCs w:val="20"/>
                <w:color w:val="auto"/>
              </w:rPr>
            </w:pPr>
            <w:r>
              <w:rPr>
                <w:rFonts w:ascii="Arial" w:cs="Arial" w:eastAsia="Arial" w:hAnsi="Arial"/>
                <w:sz w:val="16"/>
                <w:szCs w:val="16"/>
                <w:color w:val="auto"/>
              </w:rPr>
              <w:t>(8.2)</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(0.8)</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37"/>
        </w:trPr>
        <w:tc>
          <w:tcPr>
            <w:tcW w:w="6560" w:type="dxa"/>
            <w:vAlign w:val="bottom"/>
          </w:tcPr>
          <w:p>
            <w:pPr>
              <w:ind w:left="180"/>
              <w:spacing w:after="0"/>
              <w:rPr>
                <w:sz w:val="20"/>
                <w:szCs w:val="20"/>
                <w:color w:val="auto"/>
              </w:rPr>
            </w:pPr>
            <w:r>
              <w:rPr>
                <w:rFonts w:ascii="Arial" w:cs="Arial" w:eastAsia="Arial" w:hAnsi="Arial"/>
                <w:sz w:val="16"/>
                <w:szCs w:val="16"/>
                <w:color w:val="auto"/>
              </w:rPr>
              <w:t>Commercial Lease Financing</w:t>
            </w: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(0.5)</w:t>
            </w:r>
          </w:p>
        </w:tc>
        <w:tc>
          <w:tcPr>
            <w:tcW w:w="880" w:type="dxa"/>
            <w:vAlign w:val="bottom"/>
          </w:tcPr>
          <w:p>
            <w:pPr>
              <w:spacing w:after="0"/>
              <w:rPr>
                <w:sz w:val="20"/>
                <w:szCs w:val="20"/>
                <w:color w:val="auto"/>
              </w:rPr>
            </w:pPr>
          </w:p>
        </w:tc>
        <w:tc>
          <w:tcPr>
            <w:tcW w:w="1240" w:type="dxa"/>
            <w:vAlign w:val="bottom"/>
          </w:tcPr>
          <w:p>
            <w:pPr>
              <w:jc w:val="right"/>
              <w:ind w:right="439"/>
              <w:spacing w:after="0"/>
              <w:rPr>
                <w:sz w:val="20"/>
                <w:szCs w:val="20"/>
                <w:color w:val="auto"/>
              </w:rPr>
            </w:pPr>
            <w:r>
              <w:rPr>
                <w:rFonts w:ascii="Arial" w:cs="Arial" w:eastAsia="Arial" w:hAnsi="Arial"/>
                <w:sz w:val="16"/>
                <w:szCs w:val="16"/>
                <w:color w:val="auto"/>
              </w:rPr>
              <w:t>(0.3)</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Mortgage</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(2.6)</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37"/>
        </w:trPr>
        <w:tc>
          <w:tcPr>
            <w:tcW w:w="6560" w:type="dxa"/>
            <w:vAlign w:val="bottom"/>
          </w:tcPr>
          <w:p>
            <w:pPr>
              <w:ind w:left="180"/>
              <w:spacing w:after="0"/>
              <w:rPr>
                <w:sz w:val="20"/>
                <w:szCs w:val="20"/>
                <w:color w:val="auto"/>
              </w:rPr>
            </w:pPr>
            <w:r>
              <w:rPr>
                <w:rFonts w:ascii="Arial" w:cs="Arial" w:eastAsia="Arial" w:hAnsi="Arial"/>
                <w:sz w:val="16"/>
                <w:szCs w:val="16"/>
                <w:color w:val="auto"/>
              </w:rPr>
              <w:t>Home Equity</w:t>
            </w: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w:t>
            </w:r>
          </w:p>
        </w:tc>
        <w:tc>
          <w:tcPr>
            <w:tcW w:w="880" w:type="dxa"/>
            <w:vAlign w:val="bottom"/>
          </w:tcPr>
          <w:p>
            <w:pPr>
              <w:spacing w:after="0"/>
              <w:rPr>
                <w:sz w:val="20"/>
                <w:szCs w:val="20"/>
                <w:color w:val="auto"/>
              </w:rPr>
            </w:pPr>
          </w:p>
        </w:tc>
        <w:tc>
          <w:tcPr>
            <w:tcW w:w="1240" w:type="dxa"/>
            <w:vAlign w:val="bottom"/>
          </w:tcPr>
          <w:p>
            <w:pPr>
              <w:jc w:val="right"/>
              <w:ind w:right="439"/>
              <w:spacing w:after="0"/>
              <w:rPr>
                <w:sz w:val="20"/>
                <w:szCs w:val="20"/>
                <w:color w:val="auto"/>
              </w:rPr>
            </w:pPr>
            <w:r>
              <w:rPr>
                <w:rFonts w:ascii="Arial" w:cs="Arial" w:eastAsia="Arial" w:hAnsi="Arial"/>
                <w:sz w:val="16"/>
                <w:szCs w:val="16"/>
                <w:color w:val="auto"/>
              </w:rPr>
              <w:t>(2.4)</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Automobile</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(0.3)</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70"/>
        </w:trPr>
        <w:tc>
          <w:tcPr>
            <w:tcW w:w="65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5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8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(0.7)</w:t>
            </w: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8"/>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Loans and Leases</w:t>
            </w:r>
          </w:p>
        </w:tc>
        <w:tc>
          <w:tcPr>
            <w:tcW w:w="5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8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(20.7)</w:t>
            </w: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0"/>
        </w:trPr>
        <w:tc>
          <w:tcPr>
            <w:tcW w:w="65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Other</w:t>
            </w:r>
          </w:p>
        </w:tc>
        <w:tc>
          <w:tcPr>
            <w:tcW w:w="5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(0.2)</w:t>
            </w: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6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8"/>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Change in Interest Income</w:t>
            </w:r>
          </w:p>
        </w:tc>
        <w:tc>
          <w:tcPr>
            <w:tcW w:w="5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8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(30.9)</w:t>
            </w: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63"/>
        </w:trPr>
        <w:tc>
          <w:tcPr>
            <w:tcW w:w="65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Interest Expense:</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560" w:type="dxa"/>
            <w:vAlign w:val="bottom"/>
          </w:tcPr>
          <w:p>
            <w:pPr>
              <w:ind w:left="40"/>
              <w:spacing w:after="0"/>
              <w:rPr>
                <w:sz w:val="20"/>
                <w:szCs w:val="20"/>
                <w:color w:val="auto"/>
              </w:rPr>
            </w:pPr>
            <w:r>
              <w:rPr>
                <w:rFonts w:ascii="Arial" w:cs="Arial" w:eastAsia="Arial" w:hAnsi="Arial"/>
                <w:sz w:val="16"/>
                <w:szCs w:val="16"/>
                <w:color w:val="auto"/>
              </w:rPr>
              <w:t>Interest-Bearing Deposits</w:t>
            </w: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Demand</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(1.5)</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6560" w:type="dxa"/>
            <w:vAlign w:val="bottom"/>
          </w:tcPr>
          <w:p>
            <w:pPr>
              <w:ind w:left="180"/>
              <w:spacing w:after="0"/>
              <w:rPr>
                <w:sz w:val="20"/>
                <w:szCs w:val="20"/>
                <w:color w:val="auto"/>
              </w:rPr>
            </w:pPr>
            <w:r>
              <w:rPr>
                <w:rFonts w:ascii="Arial" w:cs="Arial" w:eastAsia="Arial" w:hAnsi="Arial"/>
                <w:sz w:val="16"/>
                <w:szCs w:val="16"/>
                <w:color w:val="auto"/>
              </w:rPr>
              <w:t>Savings</w:t>
            </w: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880" w:type="dxa"/>
            <w:vAlign w:val="bottom"/>
          </w:tcPr>
          <w:p>
            <w:pPr>
              <w:spacing w:after="0"/>
              <w:rPr>
                <w:sz w:val="20"/>
                <w:szCs w:val="20"/>
                <w:color w:val="auto"/>
              </w:rPr>
            </w:pPr>
          </w:p>
        </w:tc>
        <w:tc>
          <w:tcPr>
            <w:tcW w:w="1240" w:type="dxa"/>
            <w:vAlign w:val="bottom"/>
          </w:tcPr>
          <w:p>
            <w:pPr>
              <w:jc w:val="right"/>
              <w:ind w:right="439"/>
              <w:spacing w:after="0"/>
              <w:rPr>
                <w:sz w:val="20"/>
                <w:szCs w:val="20"/>
                <w:color w:val="auto"/>
              </w:rPr>
            </w:pPr>
            <w:r>
              <w:rPr>
                <w:rFonts w:ascii="Arial" w:cs="Arial" w:eastAsia="Arial" w:hAnsi="Arial"/>
                <w:sz w:val="16"/>
                <w:szCs w:val="16"/>
                <w:color w:val="auto"/>
              </w:rPr>
              <w:t>(8.1)</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Time</w:t>
            </w: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(4.0)</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30"/>
        </w:trPr>
        <w:tc>
          <w:tcPr>
            <w:tcW w:w="65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Interest-Bearing Deposits</w:t>
            </w:r>
          </w:p>
        </w:tc>
        <w:tc>
          <w:tcPr>
            <w:tcW w:w="5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8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(13.6)</w:t>
            </w: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w:t>
            </w:r>
          </w:p>
        </w:tc>
      </w:tr>
      <w:tr>
        <w:trPr>
          <w:trHeight w:val="33"/>
        </w:trPr>
        <w:tc>
          <w:tcPr>
            <w:tcW w:w="6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Borrowings</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(0.5)</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6560" w:type="dxa"/>
            <w:vAlign w:val="bottom"/>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880" w:type="dxa"/>
            <w:vAlign w:val="bottom"/>
          </w:tcPr>
          <w:p>
            <w:pPr>
              <w:spacing w:after="0"/>
              <w:rPr>
                <w:sz w:val="20"/>
                <w:szCs w:val="20"/>
                <w:color w:val="auto"/>
              </w:rPr>
            </w:pPr>
          </w:p>
        </w:tc>
        <w:tc>
          <w:tcPr>
            <w:tcW w:w="1240" w:type="dxa"/>
            <w:vAlign w:val="bottom"/>
          </w:tcPr>
          <w:p>
            <w:pPr>
              <w:jc w:val="right"/>
              <w:ind w:right="439"/>
              <w:spacing w:after="0"/>
              <w:rPr>
                <w:sz w:val="20"/>
                <w:szCs w:val="20"/>
                <w:color w:val="auto"/>
              </w:rPr>
            </w:pPr>
            <w:r>
              <w:rPr>
                <w:rFonts w:ascii="Arial" w:cs="Arial" w:eastAsia="Arial" w:hAnsi="Arial"/>
                <w:sz w:val="16"/>
                <w:szCs w:val="16"/>
                <w:color w:val="auto"/>
              </w:rPr>
              <w:t>(2.8)</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Debt</w:t>
            </w: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8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0.3</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0"/>
        </w:trPr>
        <w:tc>
          <w:tcPr>
            <w:tcW w:w="65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Change in Interest Expense</w:t>
            </w:r>
          </w:p>
        </w:tc>
        <w:tc>
          <w:tcPr>
            <w:tcW w:w="5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8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(16.6)</w:t>
            </w: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w:t>
            </w:r>
          </w:p>
        </w:tc>
      </w:tr>
      <w:tr>
        <w:trPr>
          <w:trHeight w:val="33"/>
        </w:trPr>
        <w:tc>
          <w:tcPr>
            <w:tcW w:w="6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65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37"/>
        </w:trPr>
        <w:tc>
          <w:tcPr>
            <w:tcW w:w="6560" w:type="dxa"/>
            <w:vAlign w:val="bottom"/>
          </w:tcPr>
          <w:p>
            <w:pPr>
              <w:ind w:left="40"/>
              <w:spacing w:after="0"/>
              <w:rPr>
                <w:sz w:val="20"/>
                <w:szCs w:val="20"/>
                <w:color w:val="auto"/>
              </w:rPr>
            </w:pPr>
            <w:r>
              <w:rPr>
                <w:rFonts w:ascii="Arial" w:cs="Arial" w:eastAsia="Arial" w:hAnsi="Arial"/>
                <w:sz w:val="16"/>
                <w:szCs w:val="16"/>
                <w:b w:val="1"/>
                <w:bCs w:val="1"/>
                <w:color w:val="auto"/>
              </w:rPr>
              <w:t>Change in Net Interest Income</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17.2</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39"/>
              <w:spacing w:after="0"/>
              <w:rPr>
                <w:sz w:val="20"/>
                <w:szCs w:val="20"/>
                <w:color w:val="auto"/>
              </w:rPr>
            </w:pPr>
            <w:r>
              <w:rPr>
                <w:rFonts w:ascii="Arial" w:cs="Arial" w:eastAsia="Arial" w:hAnsi="Arial"/>
                <w:sz w:val="16"/>
                <w:szCs w:val="16"/>
                <w:color w:val="auto"/>
              </w:rPr>
              <w:t>(14.3)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6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9"/>
          <w:szCs w:val="9"/>
          <w:color w:val="auto"/>
        </w:rPr>
      </w:pPr>
      <w:r>
        <w:rPr>
          <w:rFonts w:ascii="Arial" w:cs="Arial" w:eastAsia="Arial" w:hAnsi="Arial"/>
          <w:sz w:val="14"/>
          <w:szCs w:val="14"/>
          <w:color w:val="auto"/>
        </w:rPr>
        <w:t>The change in interest income and expense not solely due to changes in volume or rate has been allocated on a pro-rata basis to the volume and rate columns.</w:t>
      </w:r>
    </w:p>
    <w:p>
      <w:pPr>
        <w:spacing w:after="0" w:line="13"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9"/>
          <w:szCs w:val="9"/>
          <w:color w:val="auto"/>
        </w:rPr>
      </w:pPr>
      <w:r>
        <w:rPr>
          <w:rFonts w:ascii="Arial" w:cs="Arial" w:eastAsia="Arial" w:hAnsi="Arial"/>
          <w:sz w:val="14"/>
          <w:szCs w:val="14"/>
          <w:color w:val="auto"/>
        </w:rPr>
        <w:t>Comprised of other consumer revolving credit, installment, and consumer lease financing.</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sectPr>
          <w:pgSz w:w="11900" w:h="16838" w:orient="portrait"/>
          <w:cols w:equalWidth="0" w:num="1">
            <w:col w:w="11240"/>
          </w:cols>
          <w:pgMar w:left="320" w:top="130" w:right="33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40"/>
          </w:cols>
          <w:pgMar w:left="320" w:top="130" w:right="339" w:bottom="1440" w:gutter="0" w:footer="0" w:header="0"/>
          <w:type w:val="continuous"/>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Net interest income was $126.7 million for the second quarter of 2020, an increase of $2.6 million or 2% compared to the same period in 2019. On a taxable-equivalent basis, net interest income was $127.0 million for the second quarter of 2020, an increase of $2.3 million or 2% compared to the same period in 2019. Net interest income was $252.7 million for the first six months of 2020, an increase of $3.7 million or 1% compared to the same period in 2019. On a taxable-equivalent basis, net interest income was $253.4 million for the first six months of 2020, an increase of $2.9 million or 1% compared to the same period in 2019. This increase was primarily due to a higher level of earning assets, including growth in our commercial lending portfolio. The higher level of earning assets was primarily funded by higher deposit balances. Net interest margin was 2.83% in the second quarter of 2020, a 21 basis point decrease from the same period in 2019. Net interest margin was 2.90% for the first six months of 2020, a decrease of 18 basis points compared to the same period in 2019. We experienced lower yields in both our investment securities portfolio and loan portfolios, which were offset by lower rates paid on our interest-bearing deposits, a reflection of the lower rate environment. In particular, the yields for floating-rate commercial loans and investment securities were impacted by the lower prevailing rates. Our investments securities portfolio yields also decreased due to purchases of lower yielding securities in the current lower rate environment. These decreases were partially offset by lower funding costs.</w:t>
      </w:r>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Yields on our earning assets decreased by 52 basis points in the second quarter of 2020 and by 37 basis points in the first six months of 2020 compared to the same periods in 2019 primarily due to the lower rate environment. Yield decreases in our construction, commercial mortgage, and commercial and industrial loans were primarily due to lower yields on floating rate loans. Yields on our construction loans decreased by 158 basis points in the second quarter of 2020 and by 101 basis points in the first six months of 2020 compared to the same periods in 2019 primarily due to lower yields on floating-rate loans, and new loans with lower rates in comparison to loans that were paid off or transferred to commercial mortgage upon completion. Yields on our commercial mortgage loans decreased by 93 basis points in the second quarter of 2020 and by 67 basis points in the first six months of 2020 compared to the same periods in 2019. Similar to our construction loans, commercial mortgage loan yields were negatively impacted by lower yields on floating-rate loans, and new loans with lower rates than loans that were paid off. Yields on our commercial and industrial loans decreased by 64 basis points in the second quarter of 2020 and by 72 basis points in the first six months of 2020 compared to the same periods in 2019 primarily due to lower yields on floating-rate loans coupled with PPP loans yielding 1%. These decreases were partially offset by interest recoveries in the current year and the amortization of PPP loan fees. Yields on our funds sold decreased by 227 basis points in the second quarter of 2020 and by 201 basis points in the first six months of 2020 compared to the same periods in 2019 primarily due to federal fund rate decreases. In addition, yields on our investment securities portfolio decreased by 46 basis points in the second quarter of 2020 and by 31 basis points in the first six months of 2020 compared to the same periods in 2019 primarily due to purchases of lower yielding securities and lower yields on floating-rate securities.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Interest rates paid on our interest-bearing liabilities decreased by 45 basis points in the second quarter of 2020 and by 30 basis points in the first six months of 2020 compared to the same periods in 2019. Decreases to our funding costs are primarily due to lower rates paid on our interest-bearing deposits. Securities sold under agreements to repurchase decreased by 99 basis points in both the second quarter of 2020, and in the first six months of 2020 primarily due to the restructuring of ten repurchase agreements with private institutions with an aggregate total repurchase price of $275.0 million in September 2019. These repurchase agreements had a weighted-average interest rate of 4.36%. The restructuring of the agreements extended the maturity dates to 2024 and lowered the weighted-average interest rate to 2.94% effective in September 2019. The decrease in our funding costs were partially offset by higher average balances in our interest bearing deposits. The average balance of savings deposits increased by $689.4 million or 11% in the second quarter of 2020 and by $714.8 million or 12% in the first six months of 2020 compared to the same periods in 2019. The average balance of demand deposits increased by $324.1 million or 17% in the second quarter of 2020 and by $247.2 million or 14% in the first six months of 2020 compared to the same periods in 2019. Other debt, which is comprised primarily of Federal Home Loan Bank (“FHLB”) advances, increased by 34 basis points in the second quarter of 2020 and by 67 basis points in the first six months of 2020 compared to the same periods in 2019. These increases were primarily due to FHLB advances with relatively low rates maturing in December 2019 and January 2020. During the second quarter of 2020, we restructured two existing FHLB advances totaling $50.0 million. The restructuring of advances extended the maturity from December 2020 to May 2024 and lowered the weighted-average interest rate from 3.04% to 1.21%.</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130" w:right="35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Average balances of our earning assets increased by $1.5 billion or 9% in the second quarter of 2020 and by $1.2 billion or 7% in the first six months of 2020 compared to the same periods in 2019 primarily due to loan growth as the average balances of our loan and lease portfolio increased by $1.1 billion in the second quarter of 2020 and by $844.3 million in the first six months of 2020 compared to the same periods in 2019. The average balance of funds sold increased by $422.3 million in the second quarter of 2020 and by $167.0 million in the first six months of 2020 compared to the same periods in 2019. The average balance of investment securities increased by $16.2 million in the second quarter of 2020 and by $179.2 million in the first six months of 2020 compared to the same periods in 2019. The average balance of our commercial and industrial portfolio increased by $578.1 million in the second quarter of 2020 and by $314.7 million in the first six months of 2020 compared to the same periods in 2019 primarily due to origination of new loans under the Paycheck Protection Program. The average balance of our commercial mortgage portfolio increased by $236.6 million in the second quarter of 2020 and by $237.6 million in the first six months of 2020 compared to the same periods in 2019 as a result of continued demand from new and existing customers. The average balance in our residential mortgage portfolio increased by $209.2 million in the second quarter of 2020 and by $212.1 million in the first six months of 2020 compared to the same periods in 2019 primarily due to higher loan originations partially offset by an increase in payoff activity. The average balance of our home equity portfolio decreased by $29.7 million in the second quarter of 2020 and by $19.8 million in the first six months of 2020 compared to the same periods in 2019 as a result of reduced origination levels and elevated payoff activities.</w:t>
      </w:r>
    </w:p>
    <w:p>
      <w:pPr>
        <w:spacing w:after="0" w:line="1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Average balances of our interest-bearing liabilities increased by $997.5 million or 9% in the second quarter of 2020 and by $1.0 billion or 9% in the first six months of 2020 compared to the same periods in 2019 primarily due to growth in our savings and demand products. Average balance in our core deposit products increased by $1.0 billion in the second quarter of 2020 and by $962.0 million in the first six months of 2020 compared to the same periods in 2019. Average balances of securities sold under agreements to repurchase increased by $98.6 million in the second quarter of 2020 and by $99.2 million in the first six months of 2020 compared to the same periods in 2019 primarily due to additional repurchase agreements during September 2019. Other debt decreased by $50.1 million in the second quarter of 2020 and by $51.6 million in the first six months of 2020 compared to the same periods in 2019 primarily due to the maturity of FHLB advances.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The provision for credit losses (the “Provision”) reflects our internal calculation and judgment of the appropriate amount of the Allowance. The adoption of ASU No.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or “CECL” has significantly changed the methodology of how we measure credit losses (see Note 1 to the Consolidated Financial Statements for more information). We maintain the Allowance at levels we believe are appropriate to cover our estimate of expected credit losses over the life of loans in the portfolio as of the end of the reporting period. The Allowance is determined through detailed quarterly analyses of the loan and lease portfolio. The Allowance is based on our loss experience, changes in the economic environment, reasonable and supportable forecasts, as well as an ongoing assessment of credit quality and environmental factors not reflective in historical loss rates. Additional factors that are considered in determining the amount of the Allowance are the level of net charge-offs, non-performing assets, risk-rating migration, as well as changes in our portfolio size and composition. We recorded a Provision of $40.4 million in the second quarter of 2020 compared to a $4.0 million Provision during the same period in 2019. For the first six months of 2020, we recorded a Provision of $74.0 million compared to $7.0 million in the same period of 2019. These increases were primarily due to management’s best estimate of losses over the life of loans in our portfolio in accordance with the CECL approach, given the economic outlook and forecasts for COVID-19 pandemic driven market changes, as well as the impact of unprecedented intervention of fiscal, monetary and regulatory programs. For further discussion on the Allowance, see “Corporate Risk Profile - Reserve for Credit Losses” in this Management’s Discussion and Analysis of Financial Condition and Results of Operations.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130" w:right="35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Noninterest income increased by $5.8 million or 13% in the second quarter of 2020 and by $8.3 million or 9% for the first six months of 2020 compared to the same periods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Table 5 presents the components of noninterest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ind w:left="40"/>
              <w:spacing w:after="0"/>
              <w:rPr>
                <w:sz w:val="20"/>
                <w:szCs w:val="20"/>
                <w:color w:val="auto"/>
              </w:rPr>
            </w:pPr>
            <w:r>
              <w:rPr>
                <w:rFonts w:ascii="Arial" w:cs="Arial" w:eastAsia="Arial" w:hAnsi="Arial"/>
                <w:sz w:val="16"/>
                <w:szCs w:val="16"/>
                <w:b w:val="1"/>
                <w:bCs w:val="1"/>
                <w:color w:val="auto"/>
              </w:rPr>
              <w:t>Noninterest Income</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5</w:t>
            </w:r>
          </w:p>
        </w:tc>
      </w:tr>
      <w:tr>
        <w:trPr>
          <w:trHeight w:val="33"/>
        </w:trPr>
        <w:tc>
          <w:tcPr>
            <w:tcW w:w="4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4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700" w:type="dxa"/>
            <w:vAlign w:val="bottom"/>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8"/>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8"/>
              </w:rPr>
              <w:t>Change</w:t>
            </w:r>
          </w:p>
        </w:tc>
      </w:tr>
      <w:tr>
        <w:trPr>
          <w:trHeight w:val="24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Trust and Asset Management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10,550</w:t>
            </w:r>
          </w:p>
        </w:tc>
        <w:tc>
          <w:tcPr>
            <w:tcW w:w="4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11,385</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21,465</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22,146</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Mortgage Banking</w:t>
            </w:r>
          </w:p>
        </w:tc>
        <w:tc>
          <w:tcPr>
            <w:tcW w:w="280" w:type="dxa"/>
            <w:vAlign w:val="bottom"/>
          </w:tcPr>
          <w:p>
            <w:pPr>
              <w:spacing w:after="0"/>
              <w:rPr>
                <w:sz w:val="20"/>
                <w:szCs w:val="20"/>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4,278</w:t>
            </w:r>
          </w:p>
        </w:tc>
        <w:tc>
          <w:tcPr>
            <w:tcW w:w="46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3,336</w:t>
            </w:r>
          </w:p>
        </w:tc>
        <w:tc>
          <w:tcPr>
            <w:tcW w:w="4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942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6,973</w:t>
            </w:r>
          </w:p>
        </w:tc>
        <w:tc>
          <w:tcPr>
            <w:tcW w:w="42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5,623</w:t>
            </w:r>
          </w:p>
        </w:tc>
        <w:tc>
          <w:tcPr>
            <w:tcW w:w="4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1,350</w:t>
            </w:r>
          </w:p>
        </w:tc>
      </w:tr>
      <w:tr>
        <w:trPr>
          <w:trHeight w:val="33"/>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Charges on Deposit Accounts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5,097</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7,283</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12,548</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14,647</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(2,099)</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Fees, Exchange, and Other Service Charges</w:t>
            </w:r>
          </w:p>
        </w:tc>
        <w:tc>
          <w:tcPr>
            <w:tcW w:w="280" w:type="dxa"/>
            <w:vAlign w:val="bottom"/>
          </w:tcPr>
          <w:p>
            <w:pPr>
              <w:spacing w:after="0"/>
              <w:rPr>
                <w:sz w:val="20"/>
                <w:szCs w:val="20"/>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9,417</w:t>
            </w:r>
          </w:p>
        </w:tc>
        <w:tc>
          <w:tcPr>
            <w:tcW w:w="46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14,252</w:t>
            </w: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(4,835)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22,617</w:t>
            </w:r>
          </w:p>
        </w:tc>
        <w:tc>
          <w:tcPr>
            <w:tcW w:w="42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28,460</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(5,843)</w:t>
            </w:r>
          </w:p>
        </w:tc>
      </w:tr>
      <w:tr>
        <w:trPr>
          <w:trHeight w:val="33"/>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 Gains (Losses), Net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13,216</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(776)</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13,992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12,246</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(1,611)</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13,857</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Annuity and Insurance</w:t>
            </w:r>
          </w:p>
        </w:tc>
        <w:tc>
          <w:tcPr>
            <w:tcW w:w="280" w:type="dxa"/>
            <w:vAlign w:val="bottom"/>
          </w:tcPr>
          <w:p>
            <w:pPr>
              <w:spacing w:after="0"/>
              <w:rPr>
                <w:sz w:val="20"/>
                <w:szCs w:val="20"/>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883</w:t>
            </w:r>
          </w:p>
        </w:tc>
        <w:tc>
          <w:tcPr>
            <w:tcW w:w="46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1,806</w:t>
            </w: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(923)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1,811</w:t>
            </w:r>
          </w:p>
        </w:tc>
        <w:tc>
          <w:tcPr>
            <w:tcW w:w="42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4,384</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(2,573)</w:t>
            </w:r>
          </w:p>
        </w:tc>
      </w:tr>
      <w:tr>
        <w:trPr>
          <w:trHeight w:val="33"/>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Bank-Owned Life Insurance</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1,649</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1,779</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3,229</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3,489</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280" w:type="dxa"/>
            <w:vAlign w:val="bottom"/>
          </w:tcPr>
          <w:p>
            <w:pPr>
              <w:spacing w:after="0"/>
              <w:rPr>
                <w:sz w:val="20"/>
                <w:szCs w:val="20"/>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6,178</w:t>
            </w:r>
          </w:p>
        </w:tc>
        <w:tc>
          <w:tcPr>
            <w:tcW w:w="46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6,385</w:t>
            </w: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16,528</w:t>
            </w:r>
          </w:p>
        </w:tc>
        <w:tc>
          <w:tcPr>
            <w:tcW w:w="42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11,991</w:t>
            </w:r>
          </w:p>
        </w:tc>
        <w:tc>
          <w:tcPr>
            <w:tcW w:w="4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4,537</w:t>
            </w:r>
          </w:p>
        </w:tc>
      </w:tr>
      <w:tr>
        <w:trPr>
          <w:trHeight w:val="33"/>
        </w:trPr>
        <w:tc>
          <w:tcPr>
            <w:tcW w:w="4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8"/>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51,268</w:t>
            </w:r>
          </w:p>
        </w:tc>
        <w:tc>
          <w:tcPr>
            <w:tcW w:w="4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45,450</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5,818</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97,417</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89,129</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8,288</w:t>
            </w: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Trust and asset management income is comprised of fees earned from the management and administration of trusts and other customer assets. These fees are largely based upon the market value of the assets we manage and the fee rate charged to customers. Total trust assets under administration were $9.9 billion and $10.3 billion as of June 30, 2020, and June 30, 2019, respectively. Trust and asset management income decreased by $0.8 million or 7% in the second quarter of 2020 and by $0.7 million or 3% for the first six months of 2020 compared to the same periods in 2019 primarily due to decreases in market value, number of accounts, and tax service fees</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Mortgage banking income is highly influenced by mortgage interest rates, the housing market, the amount of our loan sales, and our valuation of mortgage servicing rights. Mortgage banking income increased by $0.9 million or 28% in the second quarter of 2020 and by $1.4 million or 24% for the first six months of 2020 compared to the same periods in 2019. This increase was primarily due to increased sales of conforming saleable loans from current production. During 2020, we recognized a $1.8 million valuation impairment to our mortgage servicing rights.</w:t>
      </w:r>
    </w:p>
    <w:p>
      <w:pPr>
        <w:spacing w:after="0" w:line="1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Service charges on deposit accounts decreased by $2.2 million or 30% in the second quarter of 2020 and by $2.1 million or 14% for the first six months of 2020 compared to the same periods in 2019. These decreases were primarily due to a decrease in overdraft fees coupled with a decrease in account analysis fees.</w:t>
      </w:r>
    </w:p>
    <w:p>
      <w:pPr>
        <w:spacing w:after="0" w:line="184"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Fees, exchange, and other service charges which are primarily comprised of debit and credit card income, fees from ATMs, merchant service activity, and other loan fees and service charges decreased by $4.8 million or 34% in the second quarter of 2020 and by $5.8 million or 21% for the first six months of 2020 compared to the same periods in 2019. These decreases were primarily due to lower debit and credit card transaction volume. The Bank suspended ATM surcharge fees from April 1, 2020, through June 30, 2020. In addition, merchant income decreased due to lower sales volume.</w:t>
      </w:r>
    </w:p>
    <w:p>
      <w:pPr>
        <w:spacing w:after="0" w:line="15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Investment securities gains (losses), net totaled $13.2 million in the second quarter of 2020 compared to $(0.8) million during the same period in 2019. The net gain in the second quarter of 2020 was primarily due to the sale of 80,214 Visa Class B Shares which was partially offset by fees paid to the counterparties of our prior Visa Class B share sale transactions. The net losses in the second quarter of 2019 were primarily due to fees paid to the counterparties of our prior Visa Class B share sale transactions. We received these Class B shares in 2008 as part of Visa's initial public offering. These shares are transferable only under limited circumstances until they can be converted into the publicly traded Class A shares. This conversion will not occur until the settlement of certain litigation which is indemnified by Visa members such as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Concurrent with certain sales of Visa Class B shares we entered into an agreement with the buyer that requires payment to the buyer in the event Visa further reduces the conversion ratio.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30" w:right="3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Annuity and insurance income decreased by $0.9 million or 51% in the second quarter of 2020 compared to the same period in 2019. This decrease was primarily due to a decrease in annuity and life insurance products. Annuity and insurance income decreased by 2.6 million or 59% for the first six months of 2020 primarily due to a one-time commission received related to insurance products offered through a third-party administrator in the first quarter of 2019 and the aforementioned decrease in annuity and life insurance products.</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Bank-owned life insurance decreased by $0.1 million or 7% in the second quarter of 2020 and by $0.3 million or 7% for the first six months of 2020 compared to the same periods in 2019 primarily due to a decrease in death benefits received.</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Other noninterest income decreased by $0.2 million or 3% in the second quarter of 2020 compared to the same period in 2019 primarily due to a $0.9 million decrease in foreign currency transactions combined. These decreases were partially offset by a $1.2 million increase in fees related to our customer interest rate swap derivatives. Other noninterest income increased by $4.5 million or 38% for the first six months of 2020 primarily due to a $6.7 million increase in fees related to our customer interest rate swap derivatives. This increase was partially offset by a $1.1 million decrease in foreign currency transactions, net gain on sale of leased assets of $0.3 million, and foreclosure gains of $0.2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Noninterest expense decreased by $3.8 million or 4% in the second quarter of 2020 compared to the same period in 2019. Noninterest expense was relatively unchanged for the first six months of 2020 compared to the same period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Table 6 presents the components of noninterest expense.</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Noninterest Expense</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rPr>
              <w:t>Table 6</w:t>
            </w:r>
          </w:p>
        </w:tc>
      </w:tr>
      <w:tr>
        <w:trPr>
          <w:trHeight w:val="33"/>
        </w:trPr>
        <w:tc>
          <w:tcPr>
            <w:tcW w:w="4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31"/>
        </w:trPr>
        <w:tc>
          <w:tcPr>
            <w:tcW w:w="4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20"/>
                <w:szCs w:val="20"/>
                <w:color w:val="auto"/>
              </w:rPr>
            </w:pPr>
          </w:p>
        </w:tc>
        <w:tc>
          <w:tcPr>
            <w:tcW w:w="296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Salaries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32,739</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32,834</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66,225</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65,314</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911</w:t>
            </w:r>
          </w:p>
        </w:tc>
      </w:tr>
      <w:tr>
        <w:trPr>
          <w:trHeight w:val="237"/>
        </w:trPr>
        <w:tc>
          <w:tcPr>
            <w:tcW w:w="4580" w:type="dxa"/>
            <w:vAlign w:val="bottom"/>
          </w:tcPr>
          <w:p>
            <w:pPr>
              <w:ind w:left="20"/>
              <w:spacing w:after="0"/>
              <w:rPr>
                <w:sz w:val="20"/>
                <w:szCs w:val="20"/>
                <w:color w:val="auto"/>
              </w:rPr>
            </w:pPr>
            <w:r>
              <w:rPr>
                <w:rFonts w:ascii="Arial" w:cs="Arial" w:eastAsia="Arial" w:hAnsi="Arial"/>
                <w:sz w:val="16"/>
                <w:szCs w:val="16"/>
                <w:color w:val="auto"/>
              </w:rPr>
              <w:t>Incentive Compensation</w:t>
            </w:r>
          </w:p>
        </w:tc>
        <w:tc>
          <w:tcPr>
            <w:tcW w:w="28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3,141</w:t>
            </w:r>
          </w:p>
        </w:tc>
        <w:tc>
          <w:tcPr>
            <w:tcW w:w="4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5,464</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3,386</w:t>
            </w:r>
          </w:p>
        </w:tc>
        <w:tc>
          <w:tcPr>
            <w:tcW w:w="3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11,368</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(7,982)</w:t>
            </w:r>
          </w:p>
        </w:tc>
      </w:tr>
      <w:tr>
        <w:trPr>
          <w:trHeight w:val="33"/>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2,021</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1,994</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3,312</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5,073</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(1,761)</w:t>
            </w:r>
          </w:p>
        </w:tc>
      </w:tr>
      <w:tr>
        <w:trPr>
          <w:trHeight w:val="237"/>
        </w:trPr>
        <w:tc>
          <w:tcPr>
            <w:tcW w:w="4580" w:type="dxa"/>
            <w:vAlign w:val="bottom"/>
          </w:tcPr>
          <w:p>
            <w:pPr>
              <w:ind w:left="20"/>
              <w:spacing w:after="0"/>
              <w:rPr>
                <w:sz w:val="20"/>
                <w:szCs w:val="20"/>
                <w:color w:val="auto"/>
              </w:rPr>
            </w:pPr>
            <w:r>
              <w:rPr>
                <w:rFonts w:ascii="Arial" w:cs="Arial" w:eastAsia="Arial" w:hAnsi="Arial"/>
                <w:sz w:val="16"/>
                <w:szCs w:val="16"/>
                <w:color w:val="auto"/>
              </w:rPr>
              <w:t>Commission Expense</w:t>
            </w:r>
          </w:p>
        </w:tc>
        <w:tc>
          <w:tcPr>
            <w:tcW w:w="28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1,647</w:t>
            </w:r>
          </w:p>
        </w:tc>
        <w:tc>
          <w:tcPr>
            <w:tcW w:w="4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1,704</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3,021</w:t>
            </w:r>
          </w:p>
        </w:tc>
        <w:tc>
          <w:tcPr>
            <w:tcW w:w="3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2,634</w:t>
            </w:r>
          </w:p>
        </w:tc>
        <w:tc>
          <w:tcPr>
            <w:tcW w:w="32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387</w:t>
            </w:r>
          </w:p>
        </w:tc>
      </w:tr>
      <w:tr>
        <w:trPr>
          <w:trHeight w:val="33"/>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Retirement and Other Benefits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4,446</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4,580</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9,152</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9,687</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w:t>
            </w:r>
          </w:p>
        </w:tc>
      </w:tr>
      <w:tr>
        <w:trPr>
          <w:trHeight w:val="237"/>
        </w:trPr>
        <w:tc>
          <w:tcPr>
            <w:tcW w:w="4580" w:type="dxa"/>
            <w:vAlign w:val="bottom"/>
          </w:tcPr>
          <w:p>
            <w:pPr>
              <w:ind w:left="20"/>
              <w:spacing w:after="0"/>
              <w:rPr>
                <w:sz w:val="20"/>
                <w:szCs w:val="20"/>
                <w:color w:val="auto"/>
              </w:rPr>
            </w:pPr>
            <w:r>
              <w:rPr>
                <w:rFonts w:ascii="Arial" w:cs="Arial" w:eastAsia="Arial" w:hAnsi="Arial"/>
                <w:sz w:val="16"/>
                <w:szCs w:val="16"/>
                <w:color w:val="auto"/>
              </w:rPr>
              <w:t>Payroll Taxes</w:t>
            </w:r>
          </w:p>
        </w:tc>
        <w:tc>
          <w:tcPr>
            <w:tcW w:w="28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2,782</w:t>
            </w:r>
          </w:p>
        </w:tc>
        <w:tc>
          <w:tcPr>
            <w:tcW w:w="4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2,643</w:t>
            </w:r>
          </w:p>
        </w:tc>
        <w:tc>
          <w:tcPr>
            <w:tcW w:w="3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7,325</w:t>
            </w:r>
          </w:p>
        </w:tc>
        <w:tc>
          <w:tcPr>
            <w:tcW w:w="3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6,890</w:t>
            </w:r>
          </w:p>
        </w:tc>
        <w:tc>
          <w:tcPr>
            <w:tcW w:w="32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435</w:t>
            </w:r>
          </w:p>
        </w:tc>
      </w:tr>
      <w:tr>
        <w:trPr>
          <w:trHeight w:val="33"/>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Medical, Dental, and Life Insurance</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3,830</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3,926</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7,972</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8,391</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w:t>
            </w:r>
          </w:p>
        </w:tc>
      </w:tr>
      <w:tr>
        <w:trPr>
          <w:trHeight w:val="237"/>
        </w:trPr>
        <w:tc>
          <w:tcPr>
            <w:tcW w:w="4580" w:type="dxa"/>
            <w:vAlign w:val="bottom"/>
          </w:tcPr>
          <w:p>
            <w:pPr>
              <w:ind w:left="20"/>
              <w:spacing w:after="0"/>
              <w:rPr>
                <w:sz w:val="20"/>
                <w:szCs w:val="20"/>
                <w:color w:val="auto"/>
              </w:rPr>
            </w:pPr>
            <w:r>
              <w:rPr>
                <w:rFonts w:ascii="Arial" w:cs="Arial" w:eastAsia="Arial" w:hAnsi="Arial"/>
                <w:sz w:val="16"/>
                <w:szCs w:val="16"/>
                <w:color w:val="auto"/>
              </w:rPr>
              <w:t>Separation Expense</w:t>
            </w:r>
          </w:p>
        </w:tc>
        <w:tc>
          <w:tcPr>
            <w:tcW w:w="28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109</w:t>
            </w:r>
          </w:p>
        </w:tc>
        <w:tc>
          <w:tcPr>
            <w:tcW w:w="4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366</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4,785</w:t>
            </w:r>
          </w:p>
        </w:tc>
        <w:tc>
          <w:tcPr>
            <w:tcW w:w="3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740</w:t>
            </w:r>
          </w:p>
        </w:tc>
        <w:tc>
          <w:tcPr>
            <w:tcW w:w="32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4,045</w:t>
            </w:r>
          </w:p>
        </w:tc>
      </w:tr>
      <w:tr>
        <w:trPr>
          <w:trHeight w:val="33"/>
        </w:trPr>
        <w:tc>
          <w:tcPr>
            <w:tcW w:w="4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Salaries and Benefits</w:t>
            </w: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50,715</w:t>
            </w:r>
          </w:p>
        </w:tc>
        <w:tc>
          <w:tcPr>
            <w:tcW w:w="4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53,511</w:t>
            </w: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105,178</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110,097</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(4,919)</w:t>
            </w:r>
          </w:p>
        </w:tc>
      </w:tr>
      <w:tr>
        <w:trPr>
          <w:trHeight w:val="230"/>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Occupancy</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8,761</w:t>
            </w:r>
          </w:p>
        </w:tc>
        <w:tc>
          <w:tcPr>
            <w:tcW w:w="4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8,579</w:t>
            </w: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182</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17,716</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16,173</w:t>
            </w: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1,543</w:t>
            </w:r>
          </w:p>
        </w:tc>
      </w:tr>
      <w:tr>
        <w:trPr>
          <w:trHeight w:val="33"/>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Equipment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8,195</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6,895</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16,651</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13,728</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2,923</w:t>
            </w:r>
          </w:p>
        </w:tc>
      </w:tr>
      <w:tr>
        <w:trPr>
          <w:trHeight w:val="237"/>
        </w:trPr>
        <w:tc>
          <w:tcPr>
            <w:tcW w:w="4580" w:type="dxa"/>
            <w:vAlign w:val="bottom"/>
          </w:tcPr>
          <w:p>
            <w:pPr>
              <w:ind w:left="20"/>
              <w:spacing w:after="0"/>
              <w:rPr>
                <w:sz w:val="20"/>
                <w:szCs w:val="20"/>
                <w:color w:val="auto"/>
              </w:rPr>
            </w:pPr>
            <w:r>
              <w:rPr>
                <w:rFonts w:ascii="Arial" w:cs="Arial" w:eastAsia="Arial" w:hAnsi="Arial"/>
                <w:sz w:val="16"/>
                <w:szCs w:val="16"/>
                <w:color w:val="auto"/>
              </w:rPr>
              <w:t>Data Processing</w:t>
            </w:r>
          </w:p>
        </w:tc>
        <w:tc>
          <w:tcPr>
            <w:tcW w:w="28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4,416</w:t>
            </w:r>
          </w:p>
        </w:tc>
        <w:tc>
          <w:tcPr>
            <w:tcW w:w="4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4,727</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9,204</w:t>
            </w:r>
          </w:p>
        </w:tc>
        <w:tc>
          <w:tcPr>
            <w:tcW w:w="3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9,253</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3,061</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2,177</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6,269</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4,630</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1,639</w:t>
            </w:r>
          </w:p>
        </w:tc>
      </w:tr>
      <w:tr>
        <w:trPr>
          <w:trHeight w:val="237"/>
        </w:trPr>
        <w:tc>
          <w:tcPr>
            <w:tcW w:w="4580" w:type="dxa"/>
            <w:vAlign w:val="bottom"/>
          </w:tcPr>
          <w:p>
            <w:pPr>
              <w:ind w:left="20"/>
              <w:spacing w:after="0"/>
              <w:rPr>
                <w:sz w:val="20"/>
                <w:szCs w:val="20"/>
                <w:color w:val="auto"/>
              </w:rPr>
            </w:pPr>
            <w:r>
              <w:rPr>
                <w:rFonts w:ascii="Arial" w:cs="Arial" w:eastAsia="Arial" w:hAnsi="Arial"/>
                <w:sz w:val="16"/>
                <w:szCs w:val="16"/>
                <w:color w:val="auto"/>
              </w:rPr>
              <w:t>FDIC Insurance</w:t>
            </w:r>
          </w:p>
        </w:tc>
        <w:tc>
          <w:tcPr>
            <w:tcW w:w="28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1,558</w:t>
            </w:r>
          </w:p>
        </w:tc>
        <w:tc>
          <w:tcPr>
            <w:tcW w:w="4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1,290</w:t>
            </w:r>
          </w:p>
        </w:tc>
        <w:tc>
          <w:tcPr>
            <w:tcW w:w="3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3,014</w:t>
            </w:r>
          </w:p>
        </w:tc>
        <w:tc>
          <w:tcPr>
            <w:tcW w:w="3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2,559</w:t>
            </w:r>
          </w:p>
        </w:tc>
        <w:tc>
          <w:tcPr>
            <w:tcW w:w="32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455</w:t>
            </w:r>
          </w:p>
        </w:tc>
      </w:tr>
      <w:tr>
        <w:trPr>
          <w:trHeight w:val="33"/>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4580" w:type="dxa"/>
            <w:vAlign w:val="bottom"/>
          </w:tcPr>
          <w:p>
            <w:pPr>
              <w:ind w:left="160"/>
              <w:spacing w:after="0"/>
              <w:rPr>
                <w:sz w:val="20"/>
                <w:szCs w:val="20"/>
                <w:color w:val="auto"/>
              </w:rPr>
            </w:pPr>
            <w:r>
              <w:rPr>
                <w:rFonts w:ascii="Arial" w:cs="Arial" w:eastAsia="Arial" w:hAnsi="Arial"/>
                <w:sz w:val="16"/>
                <w:szCs w:val="16"/>
                <w:color w:val="auto"/>
              </w:rPr>
              <w:t>Delivery and Postage Services</w:t>
            </w:r>
          </w:p>
        </w:tc>
        <w:tc>
          <w:tcPr>
            <w:tcW w:w="28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1,773</w:t>
            </w:r>
          </w:p>
        </w:tc>
        <w:tc>
          <w:tcPr>
            <w:tcW w:w="4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1,914</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3,751</w:t>
            </w:r>
          </w:p>
        </w:tc>
        <w:tc>
          <w:tcPr>
            <w:tcW w:w="3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3,992</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33"/>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Mileage Program Travel</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1,009</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1,178</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2,169</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2,358</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37"/>
        </w:trPr>
        <w:tc>
          <w:tcPr>
            <w:tcW w:w="4580" w:type="dxa"/>
            <w:vAlign w:val="bottom"/>
          </w:tcPr>
          <w:p>
            <w:pPr>
              <w:ind w:left="160"/>
              <w:spacing w:after="0"/>
              <w:rPr>
                <w:sz w:val="20"/>
                <w:szCs w:val="20"/>
                <w:color w:val="auto"/>
              </w:rPr>
            </w:pPr>
            <w:r>
              <w:rPr>
                <w:rFonts w:ascii="Arial" w:cs="Arial" w:eastAsia="Arial" w:hAnsi="Arial"/>
                <w:sz w:val="16"/>
                <w:szCs w:val="16"/>
                <w:color w:val="auto"/>
              </w:rPr>
              <w:t>Merchant Transaction and Card Processing Fees</w:t>
            </w:r>
          </w:p>
        </w:tc>
        <w:tc>
          <w:tcPr>
            <w:tcW w:w="28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814</w:t>
            </w:r>
          </w:p>
        </w:tc>
        <w:tc>
          <w:tcPr>
            <w:tcW w:w="4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1,344</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2,180</w:t>
            </w:r>
          </w:p>
        </w:tc>
        <w:tc>
          <w:tcPr>
            <w:tcW w:w="3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2,619</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(439)</w:t>
            </w:r>
          </w:p>
        </w:tc>
      </w:tr>
      <w:tr>
        <w:trPr>
          <w:trHeight w:val="33"/>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Advertising</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1,450</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1,179</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3,409</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2,706</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703</w:t>
            </w:r>
          </w:p>
        </w:tc>
      </w:tr>
      <w:tr>
        <w:trPr>
          <w:trHeight w:val="237"/>
        </w:trPr>
        <w:tc>
          <w:tcPr>
            <w:tcW w:w="4580" w:type="dxa"/>
            <w:vAlign w:val="bottom"/>
          </w:tcPr>
          <w:p>
            <w:pPr>
              <w:ind w:left="160"/>
              <w:spacing w:after="0"/>
              <w:rPr>
                <w:sz w:val="20"/>
                <w:szCs w:val="20"/>
                <w:color w:val="auto"/>
              </w:rPr>
            </w:pPr>
            <w:r>
              <w:rPr>
                <w:rFonts w:ascii="Arial" w:cs="Arial" w:eastAsia="Arial" w:hAnsi="Arial"/>
                <w:sz w:val="16"/>
                <w:szCs w:val="16"/>
                <w:color w:val="auto"/>
              </w:rPr>
              <w:t>Amortization of Solar Energy Partnership Investments</w:t>
            </w:r>
          </w:p>
        </w:tc>
        <w:tc>
          <w:tcPr>
            <w:tcW w:w="28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716</w:t>
            </w:r>
          </w:p>
        </w:tc>
        <w:tc>
          <w:tcPr>
            <w:tcW w:w="4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940</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1,432</w:t>
            </w:r>
          </w:p>
        </w:tc>
        <w:tc>
          <w:tcPr>
            <w:tcW w:w="3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1,880</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(448)</w:t>
            </w:r>
          </w:p>
        </w:tc>
      </w:tr>
      <w:tr>
        <w:trPr>
          <w:trHeight w:val="33"/>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6,424</w:t>
            </w:r>
          </w:p>
        </w:tc>
        <w:tc>
          <w:tcPr>
            <w:tcW w:w="4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8,991</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14,231</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15,787</w:t>
            </w: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(1,556)</w:t>
            </w:r>
          </w:p>
        </w:tc>
      </w:tr>
      <w:tr>
        <w:trPr>
          <w:trHeight w:val="231"/>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Total Other Expense</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12,186</w:t>
            </w:r>
          </w:p>
        </w:tc>
        <w:tc>
          <w:tcPr>
            <w:tcW w:w="4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15,546</w:t>
            </w: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(3,360)</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27,172</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29,342</w:t>
            </w: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(2,170)</w:t>
            </w:r>
          </w:p>
        </w:tc>
      </w:tr>
      <w:tr>
        <w:trPr>
          <w:trHeight w:val="33"/>
        </w:trPr>
        <w:tc>
          <w:tcPr>
            <w:tcW w:w="4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Noninterest Expense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88,892</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92,725</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185,204</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185,782</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w:t>
            </w:r>
          </w:p>
        </w:tc>
      </w:tr>
      <w:tr>
        <w:trPr>
          <w:trHeight w:val="20"/>
        </w:trPr>
        <w:tc>
          <w:tcPr>
            <w:tcW w:w="4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Total salaries and benefits expense decreased by $2.8 million or 5% in the second quarter of 2020 compared to the same period in 2019 primarily due to a $2.3 million decrease in incentive compensation coupled with a $0.3 million decrease in separation expense. Total salaries and benefits expense decreased by $4.9 million or 4% for the first six months of 2020 compared to the same period in 2019 primarily due to an $8.0 million decrease in incentive compensation coupled with a $1.8 million decrease in share-based compensation due to forfeiture of unvested restricted stock grants and with a lower number of restricted stock units being amortized. These decreases were partially offset by a $4.0 million increase in separation expense coupled with a $0.9 million increase in base salaries due to merit increases.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20"/>
          </w:cols>
          <w:pgMar w:left="320" w:top="130" w:right="359" w:bottom="1440" w:gutter="0" w:footer="0" w:header="0"/>
          <w:type w:val="continuous"/>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occupancy was relatively unchanged in the second quarter of 2020 compared to the same period in 2019. Net occupancy increased by $1.5 million or 10% for the first six months of 2020 compared to the same period in 2019. This increase was primarily due to a $0.6 million gain on sale of real estate property on the island of Oahu during the first quarter of 2019 coupled with a $0.4 million increase in net rental expense. In addition, depreciation and amortization increased by $0.4 million.</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equipment increased by $1.3 million or 19% in the second quarter of 2020 and by $2.9 million or 21% for the first six months of 2020 compared to the same periods in 2019. These increases were due to higher depreciation expense.</w:t>
      </w:r>
    </w:p>
    <w:p>
      <w:pPr>
        <w:spacing w:after="0" w:line="170"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Data processing decreased by $0.3 million or 7% in the second quarter of 2020 compared to the same period in 2019 due to decreased information technology projects. Data processing remained relatively unchanged for the first six months of 2020 compared to the same periods in 2019.</w:t>
      </w:r>
    </w:p>
    <w:p>
      <w:pPr>
        <w:spacing w:after="0" w:line="12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Professional fees increased by $0.9 million or 41% in the in the second quarter of 2020 and by $1.6 million or 35% for the first six months of 2020 compared to the same periods in 2019 primarily due to an increase in corporate risk and legal fees.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FDIC insurance increased by $0.3 million or 21% in the second quarter of 2020 and by $0.5 million or 18% for the first six months of 2020 compared to the same periods in 2019 due to an increase in FDIC assessment rates and assessment base.</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Total other expense decreased by $3.4 million or 22% in the second quarter of 2020 compared to the same period in 2019 due to decreases in reserve for unfunded commitments ($0.8 million), operating losses, which includes losses as a result of bank error, fraud, items processing, or theft ($0.7 million), business development and travel ($0.6 million), merchant transactions and card processing fees ($0.5 million), special events ($0.3 million), stationary and supplies ($0.2 million), and amortization of solar energy partnership investments ($0.2 million). Total other expense decreased by $2.2 million or 7% for the first six months of 2020 compared to the same period in 2019 due to a $1.0 million decrease in reserve for unfunded commitments, $0.7 million decrease in operating losses, and $0.7 million in business development and travel.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7 presents our provision for income taxes and effective tax 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 and Effective Tax Rates</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7</w:t>
            </w:r>
          </w:p>
        </w:tc>
      </w:tr>
      <w:tr>
        <w:trPr>
          <w:trHeight w:val="33"/>
        </w:trPr>
        <w:tc>
          <w:tcPr>
            <w:tcW w:w="5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r>
      <w:tr>
        <w:trPr>
          <w:trHeight w:val="209"/>
        </w:trPr>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2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w w:val="92"/>
              </w:rPr>
              <w:t>Three Months Ended</w:t>
            </w:r>
          </w:p>
        </w:tc>
        <w:tc>
          <w:tcPr>
            <w:tcW w:w="340" w:type="dxa"/>
            <w:vAlign w:val="bottom"/>
          </w:tcPr>
          <w:p>
            <w:pPr>
              <w:spacing w:after="0"/>
              <w:rPr>
                <w:sz w:val="18"/>
                <w:szCs w:val="18"/>
                <w:color w:val="auto"/>
              </w:rPr>
            </w:pPr>
          </w:p>
        </w:tc>
        <w:tc>
          <w:tcPr>
            <w:tcW w:w="220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left="399"/>
              <w:spacing w:after="0"/>
              <w:rPr>
                <w:sz w:val="20"/>
                <w:szCs w:val="20"/>
                <w:color w:val="auto"/>
              </w:rPr>
            </w:pPr>
            <w:r>
              <w:rPr>
                <w:rFonts w:ascii="Arial" w:cs="Arial" w:eastAsia="Arial" w:hAnsi="Arial"/>
                <w:sz w:val="16"/>
                <w:szCs w:val="16"/>
                <w:b w:val="1"/>
                <w:bCs w:val="1"/>
                <w:color w:val="auto"/>
                <w:w w:val="90"/>
              </w:rPr>
              <w:t>June 30,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left="439"/>
              <w:spacing w:after="0"/>
              <w:rPr>
                <w:sz w:val="20"/>
                <w:szCs w:val="20"/>
                <w:color w:val="auto"/>
              </w:rPr>
            </w:pPr>
            <w:r>
              <w:rPr>
                <w:rFonts w:ascii="Arial" w:cs="Arial" w:eastAsia="Arial" w:hAnsi="Arial"/>
                <w:sz w:val="16"/>
                <w:szCs w:val="16"/>
                <w:b w:val="1"/>
                <w:bCs w:val="1"/>
                <w:color w:val="auto"/>
                <w:w w:val="90"/>
              </w:rPr>
              <w:t>June 30,</w:t>
            </w:r>
          </w:p>
        </w:tc>
        <w:tc>
          <w:tcPr>
            <w:tcW w:w="820" w:type="dxa"/>
            <w:vAlign w:val="bottom"/>
          </w:tcPr>
          <w:p>
            <w:pPr>
              <w:spacing w:after="0"/>
              <w:rPr>
                <w:sz w:val="18"/>
                <w:szCs w:val="18"/>
                <w:color w:val="auto"/>
              </w:rPr>
            </w:pPr>
          </w:p>
        </w:tc>
      </w:tr>
      <w:tr>
        <w:trPr>
          <w:trHeight w:val="33"/>
        </w:trPr>
        <w:tc>
          <w:tcPr>
            <w:tcW w:w="5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9,759</w:t>
            </w:r>
          </w:p>
        </w:tc>
        <w:tc>
          <w:tcPr>
            <w:tcW w:w="4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15,903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17,220</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29,563</w:t>
            </w: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Effective Tax Rates</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20.05%</w:t>
            </w: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21.84%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18.95%</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20.35%</w:t>
            </w:r>
          </w:p>
        </w:tc>
      </w:tr>
    </w:tbl>
    <w:p>
      <w:pPr>
        <w:spacing w:after="0" w:line="23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provision for income taxes was $9.8 million in the second quarter of 2020, a decrease of $6.1 million or 39% compared to the same period in 2019. The effective tax rate for the second quarter of 2020 was 20.05%, down from 21.84% for the same period in 2019. The lower effective tax rate in the second quarter of 2020 compared to the same period in 2019 was primarily due to lower pretax book income relative to a similar amount of total tax adjustments in both years.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provision for income taxes was $17.2 million for the first six months of 2020, a decrease of $12.3 million or 42% compared to the same period in 2019. The effective tax rate for the first six months of 2020 was 18.95%, down from 20.35% for the same period in 2019. The lower effective tax rate for the first six months of 2020 compared to 2019 was primarily due to the aforementioned lower pretax book income compared to a consistent amount of tax adjustments.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30" w:right="3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carrying value of our investment securities portfolio was $6.0 billion and $5.7 billion as of June 30, 2020, and December 31, 2019, respectively. As of June 30, 2020, our investment securities portfolio was comprised of securities with an average base duration of approximately 3.1 years.</w:t>
      </w:r>
    </w:p>
    <w:p>
      <w:pPr>
        <w:spacing w:after="0" w:line="14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continually evaluate our investment securities portfolio in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and change the proportion of investments made into the available-for-sale and held-to-maturity investment categories.</w:t>
      </w:r>
    </w:p>
    <w:p>
      <w:pPr>
        <w:spacing w:after="0" w:line="18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Mortgage-backed securities issued by Ginnie Mae, Fannie Mae, and Freddie Mac are the largest concentration in our portfolio. As of June 30, 2020, our portfolio of Ginnie Mae, Fannie Mae, and Freddie Mac mortgage-backed securities were primarily comprised of securities issued in 2008 or later. As of June 30, 2020, these mortgage-backed securities were all AAA-rated, with a low probability of a change in their credit ratings in the near future. As of June 30, 2020, our available-for-sale investment securities portfolio was comprised of securities with an average base duration of approximately 2.9 years.</w:t>
      </w:r>
    </w:p>
    <w:p>
      <w:pPr>
        <w:spacing w:after="0" w:line="15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Gross unrealized gains in our investment securities portfolio were $179.8 million as of June 30, 2020, and $51.1 million as of December 31, 2019. Gross unrealized losses in our investment securities were $4.1 million as of June 30, 2020, and $19.2 million as of December 31, 2019. The overall increase in net unrealized gains was primarily due to the decrease in interest rates during 2020. The gross unrealized losses were due in part to our corporate bond portfolio consisting of debt securities issued by large multinational banks. The unrealized losses primarily resulted from an increase in credit spreads due to the economic uncertainty related to COVID-19. However, such credit spreads have tightened significantly from their widest levels experienced in the first quarter of 2020. In addition, such banks have built up substantial capital buffers since the financial crisis of 2008 which mitigates the likelihood of credit losses. As of June 30, 2020, there have been no payment defaults nor do we currently expect any future payment defaults. Furthermore, we do not intend to sell these securities, and it is not more likely than not that we will be required to sell the investment securities before recovery of their amortized cost basis, which may be at maturity.</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remainder of our debt securities in unrealized loss positions as of June 30, 2020, consisted of debt securities issued by U.S. government agencies or U.S. government-sponsored enterprises. These securities carry the explicit and/or implicit guarantee of the U.S. government, are widely recognized as “risk free,” and have a long history of zero credit loss. Total gross unrealized losses were primarily attributable to changes in interest rates, relative to when the investment securities were purchased, and not due to the credit quality of the investment securities. We do not intend to sell the investment securities that were in an unrealized loss position and it is not more likely than not that we will be required to sell the investment securities before recovery of their amortized cost basis, which may be at maturity.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130" w:right="35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8 presents the composition of our loan and lease portfolio by major categories.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Pr>
          <w:p>
            <w:pPr>
              <w:ind w:left="40"/>
              <w:spacing w:after="0"/>
              <w:rPr>
                <w:sz w:val="20"/>
                <w:szCs w:val="20"/>
                <w:color w:val="auto"/>
              </w:rPr>
            </w:pPr>
            <w:r>
              <w:rPr>
                <w:rFonts w:ascii="Arial" w:cs="Arial" w:eastAsia="Arial" w:hAnsi="Arial"/>
                <w:sz w:val="16"/>
                <w:szCs w:val="16"/>
                <w:b w:val="1"/>
                <w:bCs w:val="1"/>
                <w:color w:val="auto"/>
              </w:rPr>
              <w:t>Loan and Lease Portfolio Balances</w:t>
            </w: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8</w:t>
            </w:r>
          </w:p>
        </w:tc>
      </w:tr>
      <w:tr>
        <w:trPr>
          <w:trHeight w:val="33"/>
        </w:trPr>
        <w:tc>
          <w:tcPr>
            <w:tcW w:w="5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5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49"/>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22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32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1,956,939</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1,379,152</w:t>
            </w:r>
          </w:p>
        </w:tc>
      </w:tr>
      <w:tr>
        <w:trPr>
          <w:trHeight w:val="33"/>
        </w:trPr>
        <w:tc>
          <w:tcPr>
            <w:tcW w:w="52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3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2,707,534</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2,518,051</w:t>
            </w:r>
          </w:p>
        </w:tc>
      </w:tr>
      <w:tr>
        <w:trPr>
          <w:trHeight w:val="237"/>
        </w:trPr>
        <w:tc>
          <w:tcPr>
            <w:tcW w:w="522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3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245,099</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194,170</w:t>
            </w:r>
          </w:p>
        </w:tc>
      </w:tr>
      <w:tr>
        <w:trPr>
          <w:trHeight w:val="33"/>
        </w:trPr>
        <w:tc>
          <w:tcPr>
            <w:tcW w:w="52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3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113,187</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122,454</w:t>
            </w:r>
          </w:p>
        </w:tc>
      </w:tr>
      <w:tr>
        <w:trPr>
          <w:trHeight w:val="231"/>
        </w:trPr>
        <w:tc>
          <w:tcPr>
            <w:tcW w:w="5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5,022,759</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4,213,827</w:t>
            </w:r>
          </w:p>
        </w:tc>
      </w:tr>
      <w:tr>
        <w:trPr>
          <w:trHeight w:val="33"/>
        </w:trPr>
        <w:tc>
          <w:tcPr>
            <w:tcW w:w="5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22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3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3,989,393</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3,891,100</w:t>
            </w:r>
          </w:p>
        </w:tc>
      </w:tr>
      <w:tr>
        <w:trPr>
          <w:trHeight w:val="33"/>
        </w:trPr>
        <w:tc>
          <w:tcPr>
            <w:tcW w:w="52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3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1,640,887</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1,676,073</w:t>
            </w:r>
          </w:p>
        </w:tc>
      </w:tr>
      <w:tr>
        <w:trPr>
          <w:trHeight w:val="237"/>
        </w:trPr>
        <w:tc>
          <w:tcPr>
            <w:tcW w:w="522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3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700,702</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720,286</w:t>
            </w:r>
          </w:p>
        </w:tc>
      </w:tr>
      <w:tr>
        <w:trPr>
          <w:trHeight w:val="33"/>
        </w:trPr>
        <w:tc>
          <w:tcPr>
            <w:tcW w:w="52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2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451,629</w:t>
            </w: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489,606</w:t>
            </w:r>
          </w:p>
        </w:tc>
      </w:tr>
      <w:tr>
        <w:trPr>
          <w:trHeight w:val="231"/>
        </w:trPr>
        <w:tc>
          <w:tcPr>
            <w:tcW w:w="522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6,782,611</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6,777,065</w:t>
            </w:r>
          </w:p>
        </w:tc>
      </w:tr>
      <w:tr>
        <w:trPr>
          <w:trHeight w:val="33"/>
        </w:trPr>
        <w:tc>
          <w:tcPr>
            <w:tcW w:w="5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2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11,805,370</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10,990,892</w:t>
            </w:r>
          </w:p>
        </w:tc>
      </w:tr>
      <w:tr>
        <w:trPr>
          <w:trHeight w:val="20"/>
        </w:trPr>
        <w:tc>
          <w:tcPr>
            <w:tcW w:w="5220" w:type="dxa"/>
            <w:vAlign w:val="bottom"/>
            <w:tcBorders>
              <w:top w:val="single" w:sz="8" w:color="auto"/>
              <w:bottom w:val="single" w:sz="8" w:color="auto"/>
            </w:tcBorders>
          </w:tcPr>
          <w:p>
            <w:pPr>
              <w:spacing w:after="0" w:line="20" w:lineRule="exact"/>
              <w:rPr>
                <w:sz w:val="1"/>
                <w:szCs w:val="1"/>
                <w:color w:val="auto"/>
              </w:rPr>
            </w:pPr>
          </w:p>
        </w:tc>
        <w:tc>
          <w:tcPr>
            <w:tcW w:w="3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installment, and lease financing.</w:t>
      </w:r>
    </w:p>
    <w:p>
      <w:pPr>
        <w:spacing w:after="0" w:line="2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loans and leases as of June 30, 2020, increased by $814.5 million or 7% from December 31, 2019, primarily due to growth in our commercial lending portfolio.</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Commercial loans and leases as of June 30, 2020, increased by $808.9 million or 19% from December 31, 2019. Commercial and industrial loans increased by $577.8 million or 42% from December 31, 2019, primarily due to origination of new loans under the Paycheck Protection Program. As of June 30, 2020, the Company had 4,482 PPP loans outstanding, with an outstanding principal balance of $543.3 million. Commercial mortgage loans increased by $189.5 million or 8% from December 31, 2019, primarily due to continued demand from new and existing customers. Construction loans increased by $50.9 million or 26% from December 31, 2019, primarily due to an increase in construction activity in our market. Lease financing decreased by $9.3 million or 8% from December 31, 2019, primarily due to a lessee exercising its early buy-out option on a leveraged lease in the first quarter of 2020.</w:t>
      </w:r>
    </w:p>
    <w:p>
      <w:pPr>
        <w:spacing w:after="0" w:line="19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Consumer loans and leases as of June 30, 2020, increased by $5.5 million or less than 1% from December 31, 2019. Residential mortgage loans increased by $98.3 million or 3% from December 31, 2019, primarily due to higher loan originations, partially offset by an increase in payoff activity. Other consumer loans decreased by $38.0 million or 8% from December 31, 2019, primarily due to pay off activity in our installment loans. Home equity decreased by $35.2 million or 2% from December 31, 2019, as a result of reduced origination levels and elevated payoff activities. Automobile loans decreased by $19.6 million or 3% from December 31, 2019. Automobile loans decreased primarily as a result of COVID-19 shelter-in-place and safer-at-home order by the State of Hawaii and Guam resulting in dealership closures and limited automobile sales.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30"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6"/>
        </w:trPr>
        <w:tc>
          <w:tcPr>
            <w:tcW w:w="3140" w:type="dxa"/>
            <w:vAlign w:val="bottom"/>
          </w:tcPr>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24"/>
        </w:trPr>
        <w:tc>
          <w:tcPr>
            <w:tcW w:w="8360" w:type="dxa"/>
            <w:vAlign w:val="bottom"/>
            <w:gridSpan w:val="7"/>
          </w:tcPr>
          <w:p>
            <w:pPr>
              <w:spacing w:after="0"/>
              <w:rPr>
                <w:sz w:val="20"/>
                <w:szCs w:val="20"/>
                <w:color w:val="auto"/>
              </w:rPr>
            </w:pPr>
            <w:r>
              <w:rPr>
                <w:rFonts w:ascii="Arial" w:cs="Arial" w:eastAsia="Arial" w:hAnsi="Arial"/>
                <w:sz w:val="18"/>
                <w:szCs w:val="18"/>
                <w:color w:val="auto"/>
                <w:w w:val="96"/>
              </w:rPr>
              <w:t>Table 9 presents the composition of our loan and lease portfolio by geographic area and by major categories.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13"/>
        </w:trPr>
        <w:tc>
          <w:tcPr>
            <w:tcW w:w="438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Geographic Distribution of Loan and Lease Portfolio</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9</w:t>
            </w:r>
          </w:p>
        </w:tc>
      </w:tr>
      <w:tr>
        <w:trPr>
          <w:trHeight w:val="27"/>
        </w:trPr>
        <w:tc>
          <w:tcPr>
            <w:tcW w:w="3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2"/>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Hawaii</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 xml:space="preserve">U.S. Mainland </w:t>
            </w:r>
            <w:r>
              <w:rPr>
                <w:rFonts w:ascii="Arial" w:cs="Arial" w:eastAsia="Arial" w:hAnsi="Arial"/>
                <w:sz w:val="17"/>
                <w:szCs w:val="17"/>
                <w:b w:val="1"/>
                <w:bCs w:val="1"/>
                <w:color w:val="auto"/>
                <w:w w:val="95"/>
                <w:vertAlign w:val="superscript"/>
              </w:rPr>
              <w:t>1</w:t>
            </w: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Guam</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3"/>
              </w:rPr>
              <w:t>Pacific Islands</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5"/>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2020</w:t>
            </w:r>
          </w:p>
        </w:tc>
        <w:tc>
          <w:tcPr>
            <w:tcW w:w="1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1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3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and Industrial</w:t>
            </w:r>
          </w:p>
        </w:tc>
        <w:tc>
          <w:tcPr>
            <w:tcW w:w="12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1,681,407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157,738</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103,981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13,813</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1,956,939</w:t>
            </w:r>
          </w:p>
        </w:tc>
      </w:tr>
      <w:tr>
        <w:trPr>
          <w:trHeight w:val="237"/>
        </w:trPr>
        <w:tc>
          <w:tcPr>
            <w:tcW w:w="3140" w:type="dxa"/>
            <w:vAlign w:val="bottom"/>
          </w:tcPr>
          <w:p>
            <w:pPr>
              <w:ind w:left="380"/>
              <w:spacing w:after="0"/>
              <w:rPr>
                <w:sz w:val="20"/>
                <w:szCs w:val="20"/>
                <w:color w:val="auto"/>
              </w:rPr>
            </w:pPr>
            <w:r>
              <w:rPr>
                <w:rFonts w:ascii="Arial" w:cs="Arial" w:eastAsia="Arial" w:hAnsi="Arial"/>
                <w:sz w:val="16"/>
                <w:szCs w:val="16"/>
                <w:color w:val="auto"/>
              </w:rPr>
              <w:t>Commercial Mortgage</w:t>
            </w:r>
          </w:p>
        </w:tc>
        <w:tc>
          <w:tcPr>
            <w:tcW w:w="12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2,326,687</w:t>
            </w:r>
          </w:p>
        </w:tc>
        <w:tc>
          <w:tcPr>
            <w:tcW w:w="2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142,931</w:t>
            </w:r>
          </w:p>
        </w:tc>
        <w:tc>
          <w:tcPr>
            <w:tcW w:w="5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237,916</w:t>
            </w:r>
          </w:p>
        </w:tc>
        <w:tc>
          <w:tcPr>
            <w:tcW w:w="2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2,707,534</w:t>
            </w:r>
          </w:p>
        </w:tc>
      </w:tr>
      <w:tr>
        <w:trPr>
          <w:trHeight w:val="33"/>
        </w:trPr>
        <w:tc>
          <w:tcPr>
            <w:tcW w:w="3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Construction</w:t>
            </w:r>
          </w:p>
        </w:tc>
        <w:tc>
          <w:tcPr>
            <w:tcW w:w="1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245,099</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245,099</w:t>
            </w:r>
          </w:p>
        </w:tc>
      </w:tr>
      <w:tr>
        <w:trPr>
          <w:trHeight w:val="237"/>
        </w:trPr>
        <w:tc>
          <w:tcPr>
            <w:tcW w:w="3140" w:type="dxa"/>
            <w:vAlign w:val="bottom"/>
          </w:tcPr>
          <w:p>
            <w:pPr>
              <w:ind w:left="380"/>
              <w:spacing w:after="0"/>
              <w:rPr>
                <w:sz w:val="20"/>
                <w:szCs w:val="20"/>
                <w:color w:val="auto"/>
              </w:rPr>
            </w:pPr>
            <w:r>
              <w:rPr>
                <w:rFonts w:ascii="Arial" w:cs="Arial" w:eastAsia="Arial" w:hAnsi="Arial"/>
                <w:sz w:val="16"/>
                <w:szCs w:val="16"/>
                <w:color w:val="auto"/>
              </w:rPr>
              <w:t>Lease Financing</w:t>
            </w:r>
          </w:p>
        </w:tc>
        <w:tc>
          <w:tcPr>
            <w:tcW w:w="12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71,913</w:t>
            </w:r>
          </w:p>
        </w:tc>
        <w:tc>
          <w:tcPr>
            <w:tcW w:w="2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40,806</w:t>
            </w:r>
          </w:p>
        </w:tc>
        <w:tc>
          <w:tcPr>
            <w:tcW w:w="5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468</w:t>
            </w:r>
          </w:p>
        </w:tc>
        <w:tc>
          <w:tcPr>
            <w:tcW w:w="2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113,187</w:t>
            </w:r>
          </w:p>
        </w:tc>
      </w:tr>
      <w:tr>
        <w:trPr>
          <w:trHeight w:val="33"/>
        </w:trPr>
        <w:tc>
          <w:tcPr>
            <w:tcW w:w="3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1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4,325,106</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341,475</w:t>
            </w: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342,365</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13,813</w:t>
            </w: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5,022,759</w:t>
            </w:r>
          </w:p>
        </w:tc>
      </w:tr>
      <w:tr>
        <w:trPr>
          <w:trHeight w:val="231"/>
        </w:trPr>
        <w:tc>
          <w:tcPr>
            <w:tcW w:w="3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Consumer</w:t>
            </w:r>
          </w:p>
        </w:tc>
        <w:tc>
          <w:tcPr>
            <w:tcW w:w="1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3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1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3,918,978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69,432</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983</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3,989,393</w:t>
            </w:r>
          </w:p>
        </w:tc>
      </w:tr>
      <w:tr>
        <w:trPr>
          <w:trHeight w:val="237"/>
        </w:trPr>
        <w:tc>
          <w:tcPr>
            <w:tcW w:w="3140" w:type="dxa"/>
            <w:vAlign w:val="bottom"/>
          </w:tcPr>
          <w:p>
            <w:pPr>
              <w:ind w:left="380"/>
              <w:spacing w:after="0"/>
              <w:rPr>
                <w:sz w:val="20"/>
                <w:szCs w:val="20"/>
                <w:color w:val="auto"/>
              </w:rPr>
            </w:pPr>
            <w:r>
              <w:rPr>
                <w:rFonts w:ascii="Arial" w:cs="Arial" w:eastAsia="Arial" w:hAnsi="Arial"/>
                <w:sz w:val="16"/>
                <w:szCs w:val="16"/>
                <w:color w:val="auto"/>
              </w:rPr>
              <w:t>Home Equity</w:t>
            </w:r>
          </w:p>
        </w:tc>
        <w:tc>
          <w:tcPr>
            <w:tcW w:w="12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1,601,104</w:t>
            </w:r>
          </w:p>
        </w:tc>
        <w:tc>
          <w:tcPr>
            <w:tcW w:w="2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5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39,542</w:t>
            </w:r>
          </w:p>
        </w:tc>
        <w:tc>
          <w:tcPr>
            <w:tcW w:w="2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1,640,887</w:t>
            </w:r>
          </w:p>
        </w:tc>
      </w:tr>
      <w:tr>
        <w:trPr>
          <w:trHeight w:val="33"/>
        </w:trPr>
        <w:tc>
          <w:tcPr>
            <w:tcW w:w="3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1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537,619</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141,598</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21,485</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700,702</w:t>
            </w:r>
          </w:p>
        </w:tc>
      </w:tr>
      <w:tr>
        <w:trPr>
          <w:trHeight w:val="270"/>
        </w:trPr>
        <w:tc>
          <w:tcPr>
            <w:tcW w:w="3140" w:type="dxa"/>
            <w:vAlign w:val="bottom"/>
            <w:tcBorders>
              <w:bottom w:val="single" w:sz="8" w:color="auto"/>
            </w:tcBorders>
          </w:tcPr>
          <w:p>
            <w:pPr>
              <w:ind w:left="38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2</w:t>
            </w:r>
          </w:p>
        </w:tc>
        <w:tc>
          <w:tcPr>
            <w:tcW w:w="1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371,851</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55,223</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24,555</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451,629</w:t>
            </w:r>
          </w:p>
        </w:tc>
      </w:tr>
      <w:tr>
        <w:trPr>
          <w:trHeight w:val="268"/>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1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6,429,552</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305,795</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47,157</w:t>
            </w: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6,782,611</w:t>
            </w:r>
          </w:p>
        </w:tc>
      </w:tr>
      <w:tr>
        <w:trPr>
          <w:trHeight w:val="231"/>
        </w:trPr>
        <w:tc>
          <w:tcPr>
            <w:tcW w:w="31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12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10,754,658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341,582</w:t>
            </w:r>
          </w:p>
        </w:tc>
        <w:tc>
          <w:tcPr>
            <w:tcW w:w="5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648,160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60,970</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11,805,370</w:t>
            </w:r>
          </w:p>
        </w:tc>
      </w:tr>
      <w:tr>
        <w:trPr>
          <w:trHeight w:val="73"/>
        </w:trPr>
        <w:tc>
          <w:tcPr>
            <w:tcW w:w="31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51"/>
        </w:trPr>
        <w:tc>
          <w:tcPr>
            <w:tcW w:w="3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6"/>
                <w:szCs w:val="16"/>
                <w:b w:val="1"/>
                <w:bCs w:val="1"/>
                <w:color w:val="auto"/>
              </w:rPr>
              <w:t>December 31, 2019</w:t>
            </w:r>
          </w:p>
        </w:tc>
        <w:tc>
          <w:tcPr>
            <w:tcW w:w="1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3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1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69"/>
        </w:trPr>
        <w:tc>
          <w:tcPr>
            <w:tcW w:w="3140" w:type="dxa"/>
            <w:vAlign w:val="bottom"/>
          </w:tcPr>
          <w:p>
            <w:pPr>
              <w:ind w:left="380"/>
              <w:spacing w:after="0"/>
              <w:rPr>
                <w:sz w:val="20"/>
                <w:szCs w:val="20"/>
                <w:color w:val="auto"/>
              </w:rPr>
            </w:pPr>
            <w:r>
              <w:rPr>
                <w:rFonts w:ascii="Arial" w:cs="Arial" w:eastAsia="Arial" w:hAnsi="Arial"/>
                <w:sz w:val="16"/>
                <w:szCs w:val="16"/>
                <w:color w:val="auto"/>
              </w:rPr>
              <w:t xml:space="preserve">Commercial and Industrial </w:t>
            </w:r>
            <w:r>
              <w:rPr>
                <w:rFonts w:ascii="Arial" w:cs="Arial" w:eastAsia="Arial" w:hAnsi="Arial"/>
                <w:sz w:val="17"/>
                <w:szCs w:val="17"/>
                <w:color w:val="auto"/>
                <w:vertAlign w:val="superscript"/>
              </w:rPr>
              <w:t>3</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1,182,923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99,884</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87,101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9,244</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1,379,152</w:t>
            </w:r>
          </w:p>
        </w:tc>
      </w:tr>
      <w:tr>
        <w:trPr>
          <w:trHeight w:val="251"/>
        </w:trPr>
        <w:tc>
          <w:tcPr>
            <w:tcW w:w="3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Mortgage</w:t>
            </w:r>
          </w:p>
        </w:tc>
        <w:tc>
          <w:tcPr>
            <w:tcW w:w="1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2,144,627</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131,425</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241,531</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468</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2,518,051</w:t>
            </w:r>
          </w:p>
        </w:tc>
      </w:tr>
      <w:tr>
        <w:trPr>
          <w:trHeight w:val="237"/>
        </w:trPr>
        <w:tc>
          <w:tcPr>
            <w:tcW w:w="3140" w:type="dxa"/>
            <w:vAlign w:val="bottom"/>
          </w:tcPr>
          <w:p>
            <w:pPr>
              <w:ind w:left="380"/>
              <w:spacing w:after="0"/>
              <w:rPr>
                <w:sz w:val="20"/>
                <w:szCs w:val="20"/>
                <w:color w:val="auto"/>
              </w:rPr>
            </w:pPr>
            <w:r>
              <w:rPr>
                <w:rFonts w:ascii="Arial" w:cs="Arial" w:eastAsia="Arial" w:hAnsi="Arial"/>
                <w:sz w:val="16"/>
                <w:szCs w:val="16"/>
                <w:color w:val="auto"/>
              </w:rPr>
              <w:t>Construction</w:t>
            </w:r>
          </w:p>
        </w:tc>
        <w:tc>
          <w:tcPr>
            <w:tcW w:w="12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194,170</w:t>
            </w:r>
          </w:p>
        </w:tc>
        <w:tc>
          <w:tcPr>
            <w:tcW w:w="2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194,170</w:t>
            </w:r>
          </w:p>
        </w:tc>
      </w:tr>
      <w:tr>
        <w:trPr>
          <w:trHeight w:val="33"/>
        </w:trPr>
        <w:tc>
          <w:tcPr>
            <w:tcW w:w="3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9"/>
        </w:trPr>
        <w:tc>
          <w:tcPr>
            <w:tcW w:w="31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 xml:space="preserve">Lease Financing </w:t>
            </w:r>
            <w:r>
              <w:rPr>
                <w:rFonts w:ascii="Arial" w:cs="Arial" w:eastAsia="Arial" w:hAnsi="Arial"/>
                <w:sz w:val="17"/>
                <w:szCs w:val="17"/>
                <w:color w:val="auto"/>
                <w:vertAlign w:val="superscript"/>
              </w:rPr>
              <w:t>3</w:t>
            </w:r>
          </w:p>
        </w:tc>
        <w:tc>
          <w:tcPr>
            <w:tcW w:w="1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71,659</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50,225</w:t>
            </w:r>
          </w:p>
        </w:tc>
        <w:tc>
          <w:tcPr>
            <w:tcW w:w="5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570</w:t>
            </w: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122,454</w:t>
            </w:r>
          </w:p>
        </w:tc>
      </w:tr>
      <w:tr>
        <w:trPr>
          <w:trHeight w:val="232"/>
        </w:trPr>
        <w:tc>
          <w:tcPr>
            <w:tcW w:w="3140" w:type="dxa"/>
            <w:vAlign w:val="bottom"/>
          </w:tcPr>
          <w:p>
            <w:pPr>
              <w:ind w:left="40"/>
              <w:spacing w:after="0"/>
              <w:rPr>
                <w:sz w:val="20"/>
                <w:szCs w:val="20"/>
                <w:color w:val="auto"/>
              </w:rPr>
            </w:pPr>
            <w:r>
              <w:rPr>
                <w:rFonts w:ascii="Arial" w:cs="Arial" w:eastAsia="Arial" w:hAnsi="Arial"/>
                <w:sz w:val="16"/>
                <w:szCs w:val="16"/>
                <w:color w:val="auto"/>
              </w:rPr>
              <w:t>Total Commercial</w:t>
            </w:r>
          </w:p>
        </w:tc>
        <w:tc>
          <w:tcPr>
            <w:tcW w:w="12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3,593,379</w:t>
            </w:r>
          </w:p>
        </w:tc>
        <w:tc>
          <w:tcPr>
            <w:tcW w:w="2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281,534</w:t>
            </w:r>
          </w:p>
        </w:tc>
        <w:tc>
          <w:tcPr>
            <w:tcW w:w="5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329,202</w:t>
            </w:r>
          </w:p>
        </w:tc>
        <w:tc>
          <w:tcPr>
            <w:tcW w:w="2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9,712</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4,213,827</w:t>
            </w:r>
          </w:p>
        </w:tc>
      </w:tr>
      <w:tr>
        <w:trPr>
          <w:trHeight w:val="33"/>
        </w:trPr>
        <w:tc>
          <w:tcPr>
            <w:tcW w:w="3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1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3140" w:type="dxa"/>
            <w:vAlign w:val="bottom"/>
          </w:tcPr>
          <w:p>
            <w:pPr>
              <w:ind w:left="380"/>
              <w:spacing w:after="0"/>
              <w:rPr>
                <w:sz w:val="20"/>
                <w:szCs w:val="20"/>
                <w:color w:val="auto"/>
              </w:rPr>
            </w:pPr>
            <w:r>
              <w:rPr>
                <w:rFonts w:ascii="Arial" w:cs="Arial" w:eastAsia="Arial" w:hAnsi="Arial"/>
                <w:sz w:val="16"/>
                <w:szCs w:val="16"/>
                <w:color w:val="auto"/>
              </w:rPr>
              <w:t>Residential Mortgage</w:t>
            </w:r>
          </w:p>
        </w:tc>
        <w:tc>
          <w:tcPr>
            <w:tcW w:w="12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3,818,529</w:t>
            </w:r>
          </w:p>
        </w:tc>
        <w:tc>
          <w:tcPr>
            <w:tcW w:w="2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71,493</w:t>
            </w:r>
          </w:p>
        </w:tc>
        <w:tc>
          <w:tcPr>
            <w:tcW w:w="2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1,078</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3,891,100</w:t>
            </w:r>
          </w:p>
        </w:tc>
      </w:tr>
      <w:tr>
        <w:trPr>
          <w:trHeight w:val="33"/>
        </w:trPr>
        <w:tc>
          <w:tcPr>
            <w:tcW w:w="3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Home Equity</w:t>
            </w:r>
          </w:p>
        </w:tc>
        <w:tc>
          <w:tcPr>
            <w:tcW w:w="1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1,636,627</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38,999</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1,676,073</w:t>
            </w:r>
          </w:p>
        </w:tc>
      </w:tr>
      <w:tr>
        <w:trPr>
          <w:trHeight w:val="237"/>
        </w:trPr>
        <w:tc>
          <w:tcPr>
            <w:tcW w:w="3140" w:type="dxa"/>
            <w:vAlign w:val="bottom"/>
          </w:tcPr>
          <w:p>
            <w:pPr>
              <w:ind w:left="380"/>
              <w:spacing w:after="0"/>
              <w:rPr>
                <w:sz w:val="20"/>
                <w:szCs w:val="20"/>
                <w:color w:val="auto"/>
              </w:rPr>
            </w:pPr>
            <w:r>
              <w:rPr>
                <w:rFonts w:ascii="Arial" w:cs="Arial" w:eastAsia="Arial" w:hAnsi="Arial"/>
                <w:sz w:val="16"/>
                <w:szCs w:val="16"/>
                <w:color w:val="auto"/>
              </w:rPr>
              <w:t>Automobile</w:t>
            </w:r>
          </w:p>
        </w:tc>
        <w:tc>
          <w:tcPr>
            <w:tcW w:w="12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553,388</w:t>
            </w:r>
          </w:p>
        </w:tc>
        <w:tc>
          <w:tcPr>
            <w:tcW w:w="2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147,790</w:t>
            </w:r>
          </w:p>
        </w:tc>
        <w:tc>
          <w:tcPr>
            <w:tcW w:w="2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19,108</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720,286</w:t>
            </w:r>
          </w:p>
        </w:tc>
      </w:tr>
      <w:tr>
        <w:trPr>
          <w:trHeight w:val="33"/>
        </w:trPr>
        <w:tc>
          <w:tcPr>
            <w:tcW w:w="3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9"/>
        </w:trPr>
        <w:tc>
          <w:tcPr>
            <w:tcW w:w="31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2</w:t>
            </w:r>
          </w:p>
        </w:tc>
        <w:tc>
          <w:tcPr>
            <w:tcW w:w="1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404,262</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59,250</w:t>
            </w: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26,094</w:t>
            </w: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489,606</w:t>
            </w:r>
          </w:p>
        </w:tc>
      </w:tr>
      <w:tr>
        <w:trPr>
          <w:trHeight w:val="232"/>
        </w:trPr>
        <w:tc>
          <w:tcPr>
            <w:tcW w:w="314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12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6,412,806</w:t>
            </w:r>
          </w:p>
        </w:tc>
        <w:tc>
          <w:tcPr>
            <w:tcW w:w="2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5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317,532</w:t>
            </w:r>
          </w:p>
        </w:tc>
        <w:tc>
          <w:tcPr>
            <w:tcW w:w="2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46,605</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6,777,065</w:t>
            </w:r>
          </w:p>
        </w:tc>
      </w:tr>
      <w:tr>
        <w:trPr>
          <w:trHeight w:val="33"/>
        </w:trPr>
        <w:tc>
          <w:tcPr>
            <w:tcW w:w="3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12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10,006,185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281,656</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646,734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56,317</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10,990,892</w:t>
            </w:r>
          </w:p>
        </w:tc>
      </w:tr>
      <w:tr>
        <w:trPr>
          <w:trHeight w:val="20"/>
        </w:trPr>
        <w:tc>
          <w:tcPr>
            <w:tcW w:w="3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20" w:hanging="172"/>
        <w:spacing w:after="0" w:line="250" w:lineRule="auto"/>
        <w:tabs>
          <w:tab w:leader="none" w:pos="180" w:val="left"/>
        </w:tabs>
        <w:numPr>
          <w:ilvl w:val="0"/>
          <w:numId w:val="44"/>
        </w:numPr>
        <w:rPr>
          <w:rFonts w:ascii="Arial" w:cs="Arial" w:eastAsia="Arial" w:hAnsi="Arial"/>
          <w:sz w:val="9"/>
          <w:szCs w:val="9"/>
          <w:color w:val="auto"/>
        </w:rPr>
      </w:pPr>
      <w:r>
        <w:rPr>
          <w:rFonts w:ascii="Arial" w:cs="Arial" w:eastAsia="Arial" w:hAnsi="Arial"/>
          <w:sz w:val="14"/>
          <w:szCs w:val="14"/>
          <w:color w:val="auto"/>
        </w:rPr>
        <w:t>For secured loans and leases, classification as U.S. Mainland is made based on where the collateral is located. For unsecured loans and leases, classification as U.S. Mainland is made based on the location where the majority of the borrower’s business operations are conducted.</w:t>
      </w:r>
    </w:p>
    <w:p>
      <w:pPr>
        <w:spacing w:after="0" w:line="1"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9"/>
          <w:szCs w:val="9"/>
          <w:color w:val="auto"/>
        </w:rPr>
      </w:pPr>
      <w:r>
        <w:rPr>
          <w:rFonts w:ascii="Arial" w:cs="Arial" w:eastAsia="Arial" w:hAnsi="Arial"/>
          <w:sz w:val="14"/>
          <w:szCs w:val="14"/>
          <w:color w:val="auto"/>
        </w:rPr>
        <w:t>Certain prior period information has been reclassified to conform to current presentation</w:t>
      </w:r>
    </w:p>
    <w:p>
      <w:pPr>
        <w:spacing w:after="0" w:line="15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commercial and consumer lending activities are concentrated primarily in Hawaii and the Pacific Islands. Our commercial loan and lease portfolio to borrowers based on the U.S. Mainland includes legacy lease financing and participation in shared national credits for customers whose operations and assets extend beyond Hawaii.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Hawaii loan and lease portfolio increased by $748.5 million or 7% from December 31,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30" w:right="3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10 presents the major components of other assets.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2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10</w:t>
            </w:r>
          </w:p>
        </w:tc>
      </w:tr>
      <w:tr>
        <w:trPr>
          <w:trHeight w:val="33"/>
        </w:trPr>
        <w:tc>
          <w:tcPr>
            <w:tcW w:w="60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0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and Federal Reserve Bank Stock</w:t>
            </w:r>
          </w:p>
        </w:tc>
        <w:tc>
          <w:tcPr>
            <w:tcW w:w="2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33,236</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34,093</w:t>
            </w: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Derivative Financial Instruments</w:t>
            </w:r>
          </w:p>
        </w:tc>
        <w:tc>
          <w:tcPr>
            <w:tcW w:w="25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109,640</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28,931</w:t>
            </w:r>
          </w:p>
        </w:tc>
      </w:tr>
      <w:tr>
        <w:trPr>
          <w:trHeight w:val="33"/>
        </w:trPr>
        <w:tc>
          <w:tcPr>
            <w:tcW w:w="60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Low-Income Housing and Other Equity Investments</w:t>
            </w:r>
          </w:p>
        </w:tc>
        <w:tc>
          <w:tcPr>
            <w:tcW w:w="2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95,810</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84,618</w:t>
            </w: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Deferred Compensation Plan Assets</w:t>
            </w:r>
          </w:p>
        </w:tc>
        <w:tc>
          <w:tcPr>
            <w:tcW w:w="25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43,461</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41,464</w:t>
            </w:r>
          </w:p>
        </w:tc>
      </w:tr>
      <w:tr>
        <w:trPr>
          <w:trHeight w:val="33"/>
        </w:trPr>
        <w:tc>
          <w:tcPr>
            <w:tcW w:w="60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2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17,148</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15,140</w:t>
            </w: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5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13,431</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20,180</w:t>
            </w:r>
          </w:p>
        </w:tc>
      </w:tr>
      <w:tr>
        <w:trPr>
          <w:trHeight w:val="33"/>
        </w:trPr>
        <w:tc>
          <w:tcPr>
            <w:tcW w:w="60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5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61,172</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48,248</w:t>
            </w:r>
          </w:p>
        </w:tc>
      </w:tr>
      <w:tr>
        <w:trPr>
          <w:trHeight w:val="231"/>
        </w:trPr>
        <w:tc>
          <w:tcPr>
            <w:tcW w:w="60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Other Assets</w:t>
            </w:r>
          </w:p>
        </w:tc>
        <w:tc>
          <w:tcPr>
            <w:tcW w:w="25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373,898</w:t>
            </w: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272,674</w:t>
            </w:r>
          </w:p>
        </w:tc>
      </w:tr>
      <w:tr>
        <w:trPr>
          <w:trHeight w:val="33"/>
        </w:trPr>
        <w:tc>
          <w:tcPr>
            <w:tcW w:w="60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Total other assets increased by $101.2 million or 37% from December 31, 2019. The increase was due to an $80.7 million increase in derivative financial instruments, which was primarily due to fair value increases of our interest rate swap agreement assets, which are impacted by prevailing interest rates. Other assets increased by $12.9 million primarily due to an increase in collateral pledged on our uncleared interest rate swap agreements in liability positions due to the lower rate environment. Low-income housing and other equity investments increased by $11.2 million due to additional funding of existing projects.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11 presents the composition of our deposits by major customer categories.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Deposits</w:t>
            </w:r>
          </w:p>
        </w:tc>
        <w:tc>
          <w:tcPr>
            <w:tcW w:w="3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11</w:t>
            </w:r>
          </w:p>
        </w:tc>
      </w:tr>
      <w:tr>
        <w:trPr>
          <w:trHeight w:val="33"/>
        </w:trPr>
        <w:tc>
          <w:tcPr>
            <w:tcW w:w="47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7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8,766,885</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8,118,494</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37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7,295,033</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6,324,214</w:t>
            </w:r>
          </w:p>
        </w:tc>
      </w:tr>
      <w:tr>
        <w:trPr>
          <w:trHeight w:val="33"/>
        </w:trPr>
        <w:tc>
          <w:tcPr>
            <w:tcW w:w="47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Public and Other</w:t>
            </w:r>
          </w:p>
        </w:tc>
        <w:tc>
          <w:tcPr>
            <w:tcW w:w="3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1,361,237</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1,341,774</w:t>
            </w:r>
          </w:p>
        </w:tc>
      </w:tr>
      <w:tr>
        <w:trPr>
          <w:trHeight w:val="230"/>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Deposits</w:t>
            </w:r>
          </w:p>
        </w:tc>
        <w:tc>
          <w:tcPr>
            <w:tcW w:w="37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17,423,155</w:t>
            </w: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15,784,482</w:t>
            </w:r>
          </w:p>
        </w:tc>
      </w:tr>
      <w:tr>
        <w:trPr>
          <w:trHeight w:val="33"/>
        </w:trPr>
        <w:tc>
          <w:tcPr>
            <w:tcW w:w="47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Total deposits were $17.4 billion as of June 30, 2020, an increase of $1.6 billion or 10% from December 31, 2019. This increase was primarily due to an increase in commercial and consumer deposits. Commercial deposits increased by $970.8 million or 15% primarily due to a $980.3 million increase in core deposits offset by a $9.5 million decrease in time deposits. Consumer deposits increased by $648.4 million due to an increase in core deposits of $664.0 million which was offset by a decrease in time deposits of $15.6 million. In addition, public and other deposits increased by $19.5 million or 1% due to an increase in public demand deposits of $118.0 million and offset by a decrease in time deposits of $98.5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Table 12 presents the composition of our savings deposits.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Savings Deposits</w:t>
            </w:r>
          </w:p>
        </w:tc>
        <w:tc>
          <w:tcPr>
            <w:tcW w:w="3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12</w:t>
            </w:r>
          </w:p>
        </w:tc>
      </w:tr>
      <w:tr>
        <w:trPr>
          <w:trHeight w:val="33"/>
        </w:trPr>
        <w:tc>
          <w:tcPr>
            <w:tcW w:w="48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8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Money Market</w:t>
            </w:r>
          </w:p>
        </w:tc>
        <w:tc>
          <w:tcPr>
            <w:tcW w:w="36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2,732,169</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2,519,414</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Regular Savings</w:t>
            </w:r>
          </w:p>
        </w:tc>
        <w:tc>
          <w:tcPr>
            <w:tcW w:w="366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4,089,541</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3,845,907</w:t>
            </w:r>
          </w:p>
        </w:tc>
      </w:tr>
      <w:tr>
        <w:trPr>
          <w:trHeight w:val="33"/>
        </w:trPr>
        <w:tc>
          <w:tcPr>
            <w:tcW w:w="48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Savings Deposits</w:t>
            </w:r>
          </w:p>
        </w:tc>
        <w:tc>
          <w:tcPr>
            <w:tcW w:w="36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6,821,710</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6,365,321</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30" w:right="3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13 presents the composition of our securities sold under agreements to repurchase.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80" w:type="dxa"/>
            <w:vAlign w:val="bottom"/>
          </w:tcPr>
          <w:p>
            <w:pPr>
              <w:ind w:left="40"/>
              <w:spacing w:after="0"/>
              <w:rPr>
                <w:sz w:val="20"/>
                <w:szCs w:val="20"/>
                <w:color w:val="auto"/>
              </w:rPr>
            </w:pPr>
            <w:r>
              <w:rPr>
                <w:rFonts w:ascii="Arial" w:cs="Arial" w:eastAsia="Arial" w:hAnsi="Arial"/>
                <w:sz w:val="16"/>
                <w:szCs w:val="16"/>
                <w:b w:val="1"/>
                <w:bCs w:val="1"/>
                <w:color w:val="auto"/>
              </w:rPr>
              <w:t>Securities Sold Under Agreements to Repurchase</w:t>
            </w:r>
          </w:p>
        </w:tc>
        <w:tc>
          <w:tcPr>
            <w:tcW w:w="2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13</w:t>
            </w:r>
          </w:p>
        </w:tc>
      </w:tr>
      <w:tr>
        <w:trPr>
          <w:trHeight w:val="33"/>
        </w:trPr>
        <w:tc>
          <w:tcPr>
            <w:tcW w:w="59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Private Institutions</w:t>
            </w:r>
          </w:p>
        </w:tc>
        <w:tc>
          <w:tcPr>
            <w:tcW w:w="25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600,000</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600,000</w:t>
            </w:r>
          </w:p>
        </w:tc>
      </w:tr>
      <w:tr>
        <w:trPr>
          <w:trHeight w:val="237"/>
        </w:trPr>
        <w:tc>
          <w:tcPr>
            <w:tcW w:w="5980" w:type="dxa"/>
            <w:vAlign w:val="bottom"/>
          </w:tcPr>
          <w:p>
            <w:pPr>
              <w:ind w:left="40"/>
              <w:spacing w:after="0"/>
              <w:rPr>
                <w:sz w:val="20"/>
                <w:szCs w:val="20"/>
                <w:color w:val="auto"/>
              </w:rPr>
            </w:pPr>
            <w:r>
              <w:rPr>
                <w:rFonts w:ascii="Arial" w:cs="Arial" w:eastAsia="Arial" w:hAnsi="Arial"/>
                <w:sz w:val="16"/>
                <w:szCs w:val="16"/>
                <w:color w:val="auto"/>
              </w:rPr>
              <w:t>Government Entities</w:t>
            </w:r>
          </w:p>
        </w:tc>
        <w:tc>
          <w:tcPr>
            <w:tcW w:w="256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3,206</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4,306</w:t>
            </w:r>
          </w:p>
        </w:tc>
      </w:tr>
      <w:tr>
        <w:trPr>
          <w:trHeight w:val="33"/>
        </w:trPr>
        <w:tc>
          <w:tcPr>
            <w:tcW w:w="59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Securities Sold Under Agreements to Repurchase</w:t>
            </w:r>
          </w:p>
        </w:tc>
        <w:tc>
          <w:tcPr>
            <w:tcW w:w="25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603,206</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604,306</w:t>
            </w: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Securities sold under agreements to repurchase was $603.2 million as of June 30, 2020, relatively unchanged from December 31, 2019. As of June 30, 2020, the weighted-average maturity was 328 days for our repurchase agreements with government entities and 3.5 years for our repurchase agreements with private institutions. Some 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2.9 years. As of June 30, 2020, the weighted-average interest rate for outstanding agreements with government entities and private institutions was 1.27% and 2.68%, respectively, with all rates being fixed. Each of our repurchase agreements is accounted for as a collateralized financing arrangement (i.e., a secured borrowing) and not as a sale and subsequent repurchase of securities.</w:t>
      </w:r>
    </w:p>
    <w:p>
      <w:pPr>
        <w:spacing w:after="0" w:line="19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July 2020, we terminated three of our repurchase agreements, with an aggregate total of $200.0 million, with one private institution. These repurchase agreements were scheduled to mature in June 2022 and had a weighted-average interest rate of 2.742%. These terminated repurchase agreements were replaced with one $200.0 million repurchase agreement with the same private institution. The new repurchase agreement matures in July 2025 and has an interest rate of 1.835%.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14 presents the composition of our other debt.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Pr>
          <w:p>
            <w:pPr>
              <w:ind w:left="40"/>
              <w:spacing w:after="0"/>
              <w:rPr>
                <w:sz w:val="20"/>
                <w:szCs w:val="20"/>
                <w:color w:val="auto"/>
              </w:rPr>
            </w:pPr>
            <w:r>
              <w:rPr>
                <w:rFonts w:ascii="Arial" w:cs="Arial" w:eastAsia="Arial" w:hAnsi="Arial"/>
                <w:sz w:val="16"/>
                <w:szCs w:val="16"/>
                <w:b w:val="1"/>
                <w:bCs w:val="1"/>
                <w:color w:val="auto"/>
              </w:rPr>
              <w:t>Other Debt</w:t>
            </w:r>
          </w:p>
        </w:tc>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14</w:t>
            </w:r>
          </w:p>
        </w:tc>
      </w:tr>
      <w:tr>
        <w:trPr>
          <w:trHeight w:val="33"/>
        </w:trPr>
        <w:tc>
          <w:tcPr>
            <w:tcW w:w="53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5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June 30,</w:t>
            </w:r>
          </w:p>
        </w:tc>
        <w:tc>
          <w:tcPr>
            <w:tcW w:w="32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5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Advances</w:t>
            </w:r>
          </w:p>
        </w:tc>
        <w:tc>
          <w:tcPr>
            <w:tcW w:w="33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50,000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75,000</w:t>
            </w: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Capital Lease Obligations</w:t>
            </w:r>
          </w:p>
        </w:tc>
        <w:tc>
          <w:tcPr>
            <w:tcW w:w="332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10,524</w:t>
            </w:r>
          </w:p>
        </w:tc>
        <w:tc>
          <w:tcPr>
            <w:tcW w:w="3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10,565</w:t>
            </w:r>
          </w:p>
        </w:tc>
      </w:tr>
      <w:tr>
        <w:trPr>
          <w:trHeight w:val="33"/>
        </w:trPr>
        <w:tc>
          <w:tcPr>
            <w:tcW w:w="53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8"/>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3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60,524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85,565</w:t>
            </w:r>
          </w:p>
        </w:tc>
      </w:tr>
      <w:tr>
        <w:trPr>
          <w:trHeight w:val="20"/>
        </w:trPr>
        <w:tc>
          <w:tcPr>
            <w:tcW w:w="5320" w:type="dxa"/>
            <w:vAlign w:val="bottom"/>
            <w:tcBorders>
              <w:top w:val="single" w:sz="8" w:color="auto"/>
              <w:bottom w:val="single" w:sz="8" w:color="auto"/>
            </w:tcBorders>
          </w:tcPr>
          <w:p>
            <w:pPr>
              <w:spacing w:after="0" w:line="20" w:lineRule="exact"/>
              <w:rPr>
                <w:sz w:val="1"/>
                <w:szCs w:val="1"/>
                <w:color w:val="auto"/>
              </w:rPr>
            </w:pPr>
          </w:p>
        </w:tc>
        <w:tc>
          <w:tcPr>
            <w:tcW w:w="3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debt was $60.5 million as of June 30, 2020, a decrease of $25.0 million or 29% from December 31, 2019. This decrease was primarily due to a $25.0 million FHLB advance which matured during the first quarter of 2020. As of June 30, 2020, our FHLB advances had a weighted-average interest rate of 1.19% with maturity dates during 2024. These advances were primarily for asset/liability management purposes. As of June 30, 2020, our remaining unused line of credit with the FHLB was $2.9 billion.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30" w:right="3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Business Segments</w:t>
      </w:r>
    </w:p>
    <w:p>
      <w:pPr>
        <w:spacing w:after="0" w:line="22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Our business segments are defined as Consumer Banking, Commercial Banking, and Treasury and Other. Effective January 1, 2020, we changed our segments based on management structure and strategic focus which is placing a greater emphasis on customer segment vs. product type.</w:t>
      </w:r>
    </w:p>
    <w:p>
      <w:pPr>
        <w:spacing w:after="0" w:line="12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Table 15 summarizes net income from our business segments. Additional information about segment performance is presented in Note 10 to the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ind w:left="40"/>
              <w:spacing w:after="0"/>
              <w:rPr>
                <w:sz w:val="20"/>
                <w:szCs w:val="20"/>
                <w:color w:val="auto"/>
              </w:rPr>
            </w:pPr>
            <w:r>
              <w:rPr>
                <w:rFonts w:ascii="Arial" w:cs="Arial" w:eastAsia="Arial" w:hAnsi="Arial"/>
                <w:sz w:val="16"/>
                <w:szCs w:val="16"/>
                <w:b w:val="1"/>
                <w:bCs w:val="1"/>
                <w:color w:val="auto"/>
              </w:rPr>
              <w:t>Business Segment Net Income</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15</w:t>
            </w:r>
          </w:p>
        </w:tc>
      </w:tr>
      <w:tr>
        <w:trPr>
          <w:trHeight w:val="33"/>
        </w:trPr>
        <w:tc>
          <w:tcPr>
            <w:tcW w:w="4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4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Six Months Ended</w:t>
            </w:r>
          </w:p>
        </w:tc>
        <w:tc>
          <w:tcPr>
            <w:tcW w:w="880" w:type="dxa"/>
            <w:vAlign w:val="bottom"/>
          </w:tcPr>
          <w:p>
            <w:pPr>
              <w:spacing w:after="0"/>
              <w:rPr>
                <w:sz w:val="18"/>
                <w:szCs w:val="18"/>
                <w:color w:val="auto"/>
              </w:rPr>
            </w:pPr>
          </w:p>
        </w:tc>
      </w:tr>
      <w:tr>
        <w:trPr>
          <w:trHeight w:val="210"/>
        </w:trPr>
        <w:tc>
          <w:tcPr>
            <w:tcW w:w="4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2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4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8"/>
                <w:szCs w:val="18"/>
                <w:color w:val="auto"/>
              </w:rPr>
            </w:pPr>
          </w:p>
        </w:tc>
      </w:tr>
      <w:tr>
        <w:trPr>
          <w:trHeight w:val="33"/>
        </w:trPr>
        <w:tc>
          <w:tcPr>
            <w:tcW w:w="4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1"/>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5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9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8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Banking</w:t>
            </w: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18,832</w:t>
            </w:r>
          </w:p>
        </w:tc>
        <w:tc>
          <w:tcPr>
            <w:tcW w:w="96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31,556</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42,909</w:t>
            </w:r>
          </w:p>
        </w:tc>
        <w:tc>
          <w:tcPr>
            <w:tcW w:w="8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60,901</w:t>
            </w: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Commercial Banking</w:t>
            </w:r>
          </w:p>
        </w:tc>
        <w:tc>
          <w:tcPr>
            <w:tcW w:w="54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33,604</w:t>
            </w:r>
          </w:p>
        </w:tc>
        <w:tc>
          <w:tcPr>
            <w:tcW w:w="9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23,611</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63,386</w:t>
            </w:r>
          </w:p>
        </w:tc>
        <w:tc>
          <w:tcPr>
            <w:tcW w:w="8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49,559</w:t>
            </w:r>
          </w:p>
        </w:tc>
      </w:tr>
      <w:tr>
        <w:trPr>
          <w:trHeight w:val="33"/>
        </w:trPr>
        <w:tc>
          <w:tcPr>
            <w:tcW w:w="4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52,436</w:t>
            </w: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55,167</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106,295</w:t>
            </w:r>
          </w:p>
        </w:tc>
        <w:tc>
          <w:tcPr>
            <w:tcW w:w="8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110,460</w:t>
            </w: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Treasury and Other</w:t>
            </w:r>
          </w:p>
        </w:tc>
        <w:tc>
          <w:tcPr>
            <w:tcW w:w="5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(13,528)</w:t>
            </w:r>
          </w:p>
        </w:tc>
        <w:tc>
          <w:tcPr>
            <w:tcW w:w="9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1,752</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(32,645)</w:t>
            </w:r>
          </w:p>
        </w:tc>
        <w:tc>
          <w:tcPr>
            <w:tcW w:w="8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5,258</w:t>
            </w:r>
          </w:p>
        </w:tc>
      </w:tr>
      <w:tr>
        <w:trPr>
          <w:trHeight w:val="33"/>
        </w:trPr>
        <w:tc>
          <w:tcPr>
            <w:tcW w:w="4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8"/>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Total</w:t>
            </w: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38,908</w:t>
            </w:r>
          </w:p>
        </w:tc>
        <w:tc>
          <w:tcPr>
            <w:tcW w:w="96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56,919</w:t>
            </w:r>
          </w:p>
        </w:tc>
        <w:tc>
          <w:tcPr>
            <w:tcW w:w="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73,650</w:t>
            </w:r>
          </w:p>
        </w:tc>
        <w:tc>
          <w:tcPr>
            <w:tcW w:w="8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115,718</w:t>
            </w:r>
          </w:p>
        </w:tc>
      </w:tr>
      <w:tr>
        <w:trPr>
          <w:trHeight w:val="20"/>
        </w:trPr>
        <w:tc>
          <w:tcPr>
            <w:tcW w:w="4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Banking</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Net income decreased by $12.7 million or 40% in the second quarter of 2020 compared to the same period in 2019 primarily due to decreases in noninterest income, net interest income, and an increase in the Provision. The decrease in noninterest income was primarily due to the temporary suspension of various ATM fees in the second quarter of 2020, as well as from volume-based decreases in overdraft income, annuity and life insurance income, merchant income, credit card income, and debit card income, due to lower transaction volume. The decrease in net interest income was primarily due to lower average rates in the segment’s deposit portfolio, partially offset by higher average balances in the deposit portfolio. The increase in the Provision was primarily due to higher net charge-offs in our auto loan, installment loan, home equity loan, and auto lease portfolios.</w:t>
      </w:r>
    </w:p>
    <w:p>
      <w:pPr>
        <w:spacing w:after="0" w:line="16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Net income decreased by $18.0 million or 30% in the first six months of 2020 compared to the same period in 2019 primarily due to decreases in noninterest income and net interest income and an increase in the Provision. The decrease in noninterest income was primarily due to the temporary suspension of various ATM fees in the second quarter of 2020, as well as from volume-based reductions in overdraft income, annuity and life insurance income, merchant income, credit card income, and debit card income due to lower transaction volume. In addition, the segment received a one-time commission in the first quarter of 2019 related to insurance products offered through a third-party administrator. The decrease in net interest income was primarily due to lower average rates in the segment’s deposit portfolio, partially offset by higher average balances in the deposit portfolio. The increase in the Provision was primarily due to higher net charge-offs in our auto loan, installment loan, personal line of credit, and auto lease portfolios.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income increased by $10.0 million or 42% in the second quarter of 2020 compared to the same period in 2019 primarily due to an increase in net interest income and decrease in noninterest expense. The increase in net interest income was due to growth in the segment’s loan portfolio. The decrease in noninterest expense was primarily due to lower allocated expenses.</w:t>
      </w:r>
    </w:p>
    <w:p>
      <w:pPr>
        <w:spacing w:after="0" w:line="18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Net income increased by $13.8 million or 28% for the first six months of 2020 compared to the same period in 2019 primarily due to an increase in noninterest income, net interest income, and a decrease in noninterest expense. This was partially offset by an increase in the provision for income taxes. The increase in noninterest income was due to higher fees related to our customer interest rate swap derivative program. The increase in net interest income was primarily due to growth in the segment’s loan portfolio. The decrease in noninterest expense was primarily due to lower allocated expenses. The increase in the provision for income taxes was mainly due to the higher pretax income in the segment.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30" w:right="3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Net income decreased by $15.3 million in the second quarter of 2020 compared to the same period in 2019 primarily due to an increase in the Provision, offset by higher noninterest income and lower provision for income taxes. The increase in the Provision was due to management’s best estimate of losses over the life of loans in our portfolio in accordance with the CECL approach, given the economic outlook and forecasts for COVID-19 pandemic driven market changes, as well as the impact of unprecedented intervention of fiscal, monetary and regulatory programs. The increase in noninterest income was due mainly to a gain of $14.2 million related to a sale of Visa Class B shares in the second quarter of 2020. The provision for income taxes in this business segment represents the residual amount to arrive at the total income tax expense for the Company. The overall effective tax rate decreased to 20.05% in the second quarter of 2020 compared to 21.84% in the second quarter of 2019.</w:t>
      </w:r>
    </w:p>
    <w:p>
      <w:pPr>
        <w:spacing w:after="0" w:line="17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Net income decreased by $37.9 million for the first six months of 2020 compared to the same period in 2019 primarily due to an increase in the Provision, partially offset by an increase in noninterest income and a decrease in provision for income taxes. The increase in the Provision was due to management’s best estimate of losses over the life of loans in our portfolio in accordance with the CECL approach, given the economic outlook and forecasts for COVID-19 pandemic driven market changes, as well as the impact of unprecedented intervention of fiscal, monetary and regulatory programs. The increase in non-interest income was due to the sale of Visa Class B shares in the 2nd quarter of 2020. The provision for income taxes in this business segment represents the residual amount to arrive at the total income tax expense for the Company. The overall effective tax rate decreased to 18.95% in the first six months of 2020 compared to 20.35% in the same period in 2019.</w:t>
      </w:r>
    </w:p>
    <w:p>
      <w:pPr>
        <w:spacing w:after="0" w:line="17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included in Treasury and Other provide a wide range of support to the Company's other income earning segments. Expenses incurred by these support units are charged to the business segments through an internal cost allocation process.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80"/>
          </w:cols>
          <w:pgMar w:left="320" w:top="130" w:right="39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Risk Profile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of June 30, 2020, our overall credit risk profile was affected by the economic downturn resulting from the COVID-19 pandemic. Despite the current challenges facing the Hawaii economy, the underlying risk profile of our lending portfolio continued to remain strong during the first six months of 2020.</w:t>
      </w:r>
    </w:p>
    <w:p>
      <w:pPr>
        <w:spacing w:after="0" w:line="12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actively manage exposures with deteriorating asset quality to reduce levels of potential loss exposure and closely monitor our reserves and capital to address both anticipated and unforeseen issues. Risk management activities include detailed analysis of portfolio segments and stress tests of certain segments to ensure that reserve and capital levels are appropriate. We perform frequent loan and lease-level risk monitoring and risk rating reviews, which provide opportunities for early interventions to allow for credit exits or restructuring, loan and lease sales, and voluntary workouts and liquidations.</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80"/>
          </w:cols>
          <w:pgMar w:left="320" w:top="130" w:right="39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 and Accruing Loans and Leases Past Due 90 Days or More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16 presents information on non-performing assets (“NPAs”) and accruing loans and leases past due 90 days or more.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Non-Performing Assets and Accruing Loans and Leases Past Due 90 Days or More</w:t>
            </w: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16</w:t>
            </w:r>
          </w:p>
        </w:tc>
      </w:tr>
      <w:tr>
        <w:trPr>
          <w:trHeight w:val="27"/>
        </w:trPr>
        <w:tc>
          <w:tcPr>
            <w:tcW w:w="7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7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720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118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rPr>
              <w:t>2019</w:t>
            </w:r>
          </w:p>
        </w:tc>
      </w:tr>
      <w:tr>
        <w:trPr>
          <w:trHeight w:val="33"/>
        </w:trPr>
        <w:tc>
          <w:tcPr>
            <w:tcW w:w="7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Non-Performing Assets</w:t>
            </w:r>
          </w:p>
        </w:tc>
        <w:tc>
          <w:tcPr>
            <w:tcW w:w="1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Non-Accrual Loans and Leases</w:t>
            </w: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6"/>
        </w:trPr>
        <w:tc>
          <w:tcPr>
            <w:tcW w:w="7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w:t>
            </w:r>
          </w:p>
        </w:tc>
        <w:tc>
          <w:tcPr>
            <w:tcW w:w="1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7200" w:type="dxa"/>
            <w:vAlign w:val="bottom"/>
          </w:tcPr>
          <w:p>
            <w:pPr>
              <w:ind w:left="820"/>
              <w:spacing w:after="0"/>
              <w:rPr>
                <w:sz w:val="20"/>
                <w:szCs w:val="20"/>
                <w:color w:val="auto"/>
              </w:rPr>
            </w:pPr>
            <w:r>
              <w:rPr>
                <w:rFonts w:ascii="Arial" w:cs="Arial" w:eastAsia="Arial" w:hAnsi="Arial"/>
                <w:sz w:val="16"/>
                <w:szCs w:val="16"/>
                <w:color w:val="auto"/>
              </w:rPr>
              <w:t>Commercial and Industrial</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459</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830</w:t>
            </w:r>
          </w:p>
        </w:tc>
      </w:tr>
      <w:tr>
        <w:trPr>
          <w:trHeight w:val="33"/>
        </w:trPr>
        <w:tc>
          <w:tcPr>
            <w:tcW w:w="7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7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Commercial Mortgage</w:t>
            </w:r>
          </w:p>
        </w:tc>
        <w:tc>
          <w:tcPr>
            <w:tcW w:w="1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8,672</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9,244</w:t>
            </w:r>
          </w:p>
        </w:tc>
      </w:tr>
      <w:tr>
        <w:trPr>
          <w:trHeight w:val="217"/>
        </w:trPr>
        <w:tc>
          <w:tcPr>
            <w:tcW w:w="720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 Commercial</w:t>
            </w:r>
          </w:p>
        </w:tc>
        <w:tc>
          <w:tcPr>
            <w:tcW w:w="1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9,131</w:t>
            </w:r>
          </w:p>
        </w:tc>
        <w:tc>
          <w:tcPr>
            <w:tcW w:w="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10,074</w:t>
            </w:r>
          </w:p>
        </w:tc>
      </w:tr>
      <w:tr>
        <w:trPr>
          <w:trHeight w:val="46"/>
        </w:trPr>
        <w:tc>
          <w:tcPr>
            <w:tcW w:w="7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1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4"/>
        </w:trPr>
        <w:tc>
          <w:tcPr>
            <w:tcW w:w="7200" w:type="dxa"/>
            <w:vAlign w:val="bottom"/>
          </w:tcPr>
          <w:p>
            <w:pPr>
              <w:ind w:left="820"/>
              <w:spacing w:after="0"/>
              <w:rPr>
                <w:sz w:val="20"/>
                <w:szCs w:val="20"/>
                <w:color w:val="auto"/>
              </w:rPr>
            </w:pPr>
            <w:r>
              <w:rPr>
                <w:rFonts w:ascii="Arial" w:cs="Arial" w:eastAsia="Arial" w:hAnsi="Arial"/>
                <w:sz w:val="16"/>
                <w:szCs w:val="16"/>
                <w:color w:val="auto"/>
              </w:rPr>
              <w:t>Residential Mortgage</w:t>
            </w:r>
          </w:p>
        </w:tc>
        <w:tc>
          <w:tcPr>
            <w:tcW w:w="118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5,888</w:t>
            </w:r>
          </w:p>
        </w:tc>
        <w:tc>
          <w:tcPr>
            <w:tcW w:w="46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4,125</w:t>
            </w:r>
          </w:p>
        </w:tc>
      </w:tr>
      <w:tr>
        <w:trPr>
          <w:trHeight w:val="46"/>
        </w:trPr>
        <w:tc>
          <w:tcPr>
            <w:tcW w:w="7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75"/>
        </w:trPr>
        <w:tc>
          <w:tcPr>
            <w:tcW w:w="7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Home Equity</w:t>
            </w:r>
          </w:p>
        </w:tc>
        <w:tc>
          <w:tcPr>
            <w:tcW w:w="1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5,176</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3,181</w:t>
            </w:r>
          </w:p>
        </w:tc>
      </w:tr>
      <w:tr>
        <w:trPr>
          <w:trHeight w:val="217"/>
        </w:trPr>
        <w:tc>
          <w:tcPr>
            <w:tcW w:w="720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 Consumer</w:t>
            </w:r>
          </w:p>
        </w:tc>
        <w:tc>
          <w:tcPr>
            <w:tcW w:w="1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11,064</w:t>
            </w:r>
          </w:p>
        </w:tc>
        <w:tc>
          <w:tcPr>
            <w:tcW w:w="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7,306</w:t>
            </w:r>
          </w:p>
        </w:tc>
      </w:tr>
      <w:tr>
        <w:trPr>
          <w:trHeight w:val="47"/>
        </w:trPr>
        <w:tc>
          <w:tcPr>
            <w:tcW w:w="7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68"/>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Non-Accrual Loans and Leases</w:t>
            </w:r>
          </w:p>
        </w:tc>
        <w:tc>
          <w:tcPr>
            <w:tcW w:w="1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20,195</w:t>
            </w:r>
          </w:p>
        </w:tc>
        <w:tc>
          <w:tcPr>
            <w:tcW w:w="4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17,380</w:t>
            </w:r>
          </w:p>
        </w:tc>
      </w:tr>
      <w:tr>
        <w:trPr>
          <w:trHeight w:val="217"/>
        </w:trPr>
        <w:tc>
          <w:tcPr>
            <w:tcW w:w="7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Foreclosed Real Estate</w:t>
            </w:r>
          </w:p>
        </w:tc>
        <w:tc>
          <w:tcPr>
            <w:tcW w:w="1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2,506</w:t>
            </w:r>
          </w:p>
        </w:tc>
        <w:tc>
          <w:tcPr>
            <w:tcW w:w="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2,737</w:t>
            </w:r>
          </w:p>
        </w:tc>
      </w:tr>
      <w:tr>
        <w:trPr>
          <w:trHeight w:val="47"/>
        </w:trPr>
        <w:tc>
          <w:tcPr>
            <w:tcW w:w="7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68"/>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Non-Performing Assets</w:t>
            </w:r>
          </w:p>
        </w:tc>
        <w:tc>
          <w:tcPr>
            <w:tcW w:w="11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22,701</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20,117</w:t>
            </w:r>
          </w:p>
        </w:tc>
      </w:tr>
      <w:tr>
        <w:trPr>
          <w:trHeight w:val="20"/>
        </w:trPr>
        <w:tc>
          <w:tcPr>
            <w:tcW w:w="7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7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Accruing Loans and Leases Past Due 90 Days or More</w:t>
            </w:r>
          </w:p>
        </w:tc>
        <w:tc>
          <w:tcPr>
            <w:tcW w:w="1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Consumer</w:t>
            </w: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6"/>
        </w:trPr>
        <w:tc>
          <w:tcPr>
            <w:tcW w:w="7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11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4,937</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1,839</w:t>
            </w:r>
          </w:p>
        </w:tc>
      </w:tr>
      <w:tr>
        <w:trPr>
          <w:trHeight w:val="223"/>
        </w:trPr>
        <w:tc>
          <w:tcPr>
            <w:tcW w:w="7200" w:type="dxa"/>
            <w:vAlign w:val="bottom"/>
          </w:tcPr>
          <w:p>
            <w:pPr>
              <w:ind w:left="380"/>
              <w:spacing w:after="0"/>
              <w:rPr>
                <w:sz w:val="20"/>
                <w:szCs w:val="20"/>
                <w:color w:val="auto"/>
              </w:rPr>
            </w:pPr>
            <w:r>
              <w:rPr>
                <w:rFonts w:ascii="Arial" w:cs="Arial" w:eastAsia="Arial" w:hAnsi="Arial"/>
                <w:sz w:val="16"/>
                <w:szCs w:val="16"/>
                <w:color w:val="auto"/>
              </w:rPr>
              <w:t>Home Equity</w:t>
            </w:r>
          </w:p>
        </w:tc>
        <w:tc>
          <w:tcPr>
            <w:tcW w:w="118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3,519</w:t>
            </w:r>
          </w:p>
        </w:tc>
        <w:tc>
          <w:tcPr>
            <w:tcW w:w="46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4,125</w:t>
            </w:r>
          </w:p>
        </w:tc>
      </w:tr>
      <w:tr>
        <w:trPr>
          <w:trHeight w:val="47"/>
        </w:trPr>
        <w:tc>
          <w:tcPr>
            <w:tcW w:w="7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1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133</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949</w:t>
            </w:r>
          </w:p>
        </w:tc>
      </w:tr>
      <w:tr>
        <w:trPr>
          <w:trHeight w:val="270"/>
        </w:trPr>
        <w:tc>
          <w:tcPr>
            <w:tcW w:w="7200" w:type="dxa"/>
            <w:vAlign w:val="bottom"/>
            <w:tcBorders>
              <w:bottom w:val="single" w:sz="8" w:color="auto"/>
            </w:tcBorders>
          </w:tcPr>
          <w:p>
            <w:pPr>
              <w:ind w:left="38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296</w:t>
            </w:r>
          </w:p>
        </w:tc>
        <w:tc>
          <w:tcPr>
            <w:tcW w:w="4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1,493</w:t>
            </w:r>
          </w:p>
        </w:tc>
      </w:tr>
      <w:tr>
        <w:trPr>
          <w:trHeight w:val="268"/>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1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8,885</w:t>
            </w:r>
          </w:p>
        </w:tc>
        <w:tc>
          <w:tcPr>
            <w:tcW w:w="4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8,406</w:t>
            </w:r>
          </w:p>
        </w:tc>
      </w:tr>
      <w:tr>
        <w:trPr>
          <w:trHeight w:val="230"/>
        </w:trPr>
        <w:tc>
          <w:tcPr>
            <w:tcW w:w="72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Accruing Loans and Leases Past Due 90 Days or More</w:t>
            </w:r>
          </w:p>
        </w:tc>
        <w:tc>
          <w:tcPr>
            <w:tcW w:w="11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8,885</w:t>
            </w:r>
          </w:p>
        </w:tc>
        <w:tc>
          <w:tcPr>
            <w:tcW w:w="4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8,406</w:t>
            </w:r>
          </w:p>
        </w:tc>
      </w:tr>
      <w:tr>
        <w:trPr>
          <w:trHeight w:val="73"/>
        </w:trPr>
        <w:tc>
          <w:tcPr>
            <w:tcW w:w="7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5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Restructured Loans on Accrual Status and Not Past Due 90 Days or More</w:t>
            </w:r>
          </w:p>
        </w:tc>
        <w:tc>
          <w:tcPr>
            <w:tcW w:w="11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59,713</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63,103</w:t>
            </w:r>
          </w:p>
        </w:tc>
      </w:tr>
      <w:tr>
        <w:trPr>
          <w:trHeight w:val="20"/>
        </w:trPr>
        <w:tc>
          <w:tcPr>
            <w:tcW w:w="7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200" w:type="dxa"/>
            <w:vAlign w:val="bottom"/>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11,805,370</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10,990,892</w:t>
            </w:r>
          </w:p>
        </w:tc>
      </w:tr>
      <w:tr>
        <w:trPr>
          <w:trHeight w:val="73"/>
        </w:trPr>
        <w:tc>
          <w:tcPr>
            <w:tcW w:w="7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5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 of Non-Accrual Loans and Leases to Total Loans and Leases</w:t>
            </w:r>
          </w:p>
        </w:tc>
        <w:tc>
          <w:tcPr>
            <w:tcW w:w="1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r>
      <w:tr>
        <w:trPr>
          <w:trHeight w:val="230"/>
        </w:trPr>
        <w:tc>
          <w:tcPr>
            <w:tcW w:w="7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Ratio of Non-Performing Assets to Total Loans and Leases and Foreclosed Real Estate</w:t>
            </w:r>
          </w:p>
        </w:tc>
        <w:tc>
          <w:tcPr>
            <w:tcW w:w="1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0.18%</w:t>
            </w:r>
          </w:p>
        </w:tc>
      </w:tr>
      <w:tr>
        <w:trPr>
          <w:trHeight w:val="33"/>
        </w:trPr>
        <w:tc>
          <w:tcPr>
            <w:tcW w:w="7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3"/>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Commercial Non-Performing Assets to Total Commercial Loans and Leases</w:t>
            </w: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4"/>
        </w:trPr>
        <w:tc>
          <w:tcPr>
            <w:tcW w:w="7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and Commercial Foreclosed Real Estate</w:t>
            </w:r>
          </w:p>
        </w:tc>
        <w:tc>
          <w:tcPr>
            <w:tcW w:w="1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r>
      <w:tr>
        <w:trPr>
          <w:trHeight w:val="213"/>
        </w:trPr>
        <w:tc>
          <w:tcPr>
            <w:tcW w:w="7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Ratio of Consumer Non-Performing Assets to Total Consumer Loans and Leases</w:t>
            </w:r>
          </w:p>
        </w:tc>
        <w:tc>
          <w:tcPr>
            <w:tcW w:w="1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06"/>
        </w:trPr>
        <w:tc>
          <w:tcPr>
            <w:tcW w:w="7200" w:type="dxa"/>
            <w:vAlign w:val="bottom"/>
          </w:tcPr>
          <w:p>
            <w:pPr>
              <w:ind w:left="160"/>
              <w:spacing w:after="0"/>
              <w:rPr>
                <w:sz w:val="20"/>
                <w:szCs w:val="20"/>
                <w:color w:val="auto"/>
              </w:rPr>
            </w:pPr>
            <w:r>
              <w:rPr>
                <w:rFonts w:ascii="Arial" w:cs="Arial" w:eastAsia="Arial" w:hAnsi="Arial"/>
                <w:sz w:val="16"/>
                <w:szCs w:val="16"/>
                <w:color w:val="auto"/>
              </w:rPr>
              <w:t>and Consumer Foreclosed Real Estate</w:t>
            </w:r>
          </w:p>
        </w:tc>
        <w:tc>
          <w:tcPr>
            <w:tcW w:w="1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0.20%</w:t>
            </w:r>
          </w:p>
        </w:tc>
        <w:tc>
          <w:tcPr>
            <w:tcW w:w="4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0.15%</w:t>
            </w:r>
          </w:p>
        </w:tc>
      </w:tr>
      <w:tr>
        <w:trPr>
          <w:trHeight w:val="33"/>
        </w:trPr>
        <w:tc>
          <w:tcPr>
            <w:tcW w:w="7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3"/>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Non-Performing Assets and Accruing Loans and Leases Past Due 90 Days</w:t>
            </w: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4"/>
        </w:trPr>
        <w:tc>
          <w:tcPr>
            <w:tcW w:w="7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or More to Total Loans and Leases and Foreclosed Real Estate</w:t>
            </w:r>
          </w:p>
        </w:tc>
        <w:tc>
          <w:tcPr>
            <w:tcW w:w="1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0.26%</w:t>
            </w:r>
          </w:p>
        </w:tc>
      </w:tr>
      <w:tr>
        <w:trPr>
          <w:trHeight w:val="230"/>
        </w:trPr>
        <w:tc>
          <w:tcPr>
            <w:tcW w:w="72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Changes in Non-Performing Assets</w:t>
            </w:r>
          </w:p>
        </w:tc>
        <w:tc>
          <w:tcPr>
            <w:tcW w:w="1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7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2019</w:t>
            </w:r>
          </w:p>
        </w:tc>
        <w:tc>
          <w:tcPr>
            <w:tcW w:w="11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20,117</w:t>
            </w: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3"/>
        </w:trPr>
        <w:tc>
          <w:tcPr>
            <w:tcW w:w="7200" w:type="dxa"/>
            <w:vAlign w:val="bottom"/>
          </w:tcPr>
          <w:p>
            <w:pPr>
              <w:ind w:left="40"/>
              <w:spacing w:after="0"/>
              <w:rPr>
                <w:sz w:val="20"/>
                <w:szCs w:val="20"/>
                <w:color w:val="auto"/>
              </w:rPr>
            </w:pPr>
            <w:r>
              <w:rPr>
                <w:rFonts w:ascii="Arial" w:cs="Arial" w:eastAsia="Arial" w:hAnsi="Arial"/>
                <w:sz w:val="16"/>
                <w:szCs w:val="16"/>
                <w:color w:val="auto"/>
              </w:rPr>
              <w:t>Additions</w:t>
            </w:r>
          </w:p>
        </w:tc>
        <w:tc>
          <w:tcPr>
            <w:tcW w:w="118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7,610</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7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Reductions</w:t>
            </w:r>
          </w:p>
        </w:tc>
        <w:tc>
          <w:tcPr>
            <w:tcW w:w="1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3"/>
        </w:trPr>
        <w:tc>
          <w:tcPr>
            <w:tcW w:w="7200" w:type="dxa"/>
            <w:vAlign w:val="bottom"/>
          </w:tcPr>
          <w:p>
            <w:pPr>
              <w:ind w:left="380"/>
              <w:spacing w:after="0"/>
              <w:rPr>
                <w:sz w:val="20"/>
                <w:szCs w:val="20"/>
                <w:color w:val="auto"/>
              </w:rPr>
            </w:pPr>
            <w:r>
              <w:rPr>
                <w:rFonts w:ascii="Arial" w:cs="Arial" w:eastAsia="Arial" w:hAnsi="Arial"/>
                <w:sz w:val="16"/>
                <w:szCs w:val="16"/>
                <w:color w:val="auto"/>
              </w:rPr>
              <w:t>Payments</w:t>
            </w:r>
          </w:p>
        </w:tc>
        <w:tc>
          <w:tcPr>
            <w:tcW w:w="118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(3,051)</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7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Return to Accrual Status</w:t>
            </w:r>
          </w:p>
        </w:tc>
        <w:tc>
          <w:tcPr>
            <w:tcW w:w="1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(1,259)</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3"/>
        </w:trPr>
        <w:tc>
          <w:tcPr>
            <w:tcW w:w="7200" w:type="dxa"/>
            <w:vAlign w:val="bottom"/>
          </w:tcPr>
          <w:p>
            <w:pPr>
              <w:ind w:left="380"/>
              <w:spacing w:after="0"/>
              <w:rPr>
                <w:sz w:val="20"/>
                <w:szCs w:val="20"/>
                <w:color w:val="auto"/>
              </w:rPr>
            </w:pPr>
            <w:r>
              <w:rPr>
                <w:rFonts w:ascii="Arial" w:cs="Arial" w:eastAsia="Arial" w:hAnsi="Arial"/>
                <w:sz w:val="16"/>
                <w:szCs w:val="16"/>
                <w:color w:val="auto"/>
              </w:rPr>
              <w:t>Sales of Foreclosed Real Estate</w:t>
            </w:r>
          </w:p>
        </w:tc>
        <w:tc>
          <w:tcPr>
            <w:tcW w:w="118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(231)</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7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Charge-offs/Write-downs</w:t>
            </w:r>
          </w:p>
        </w:tc>
        <w:tc>
          <w:tcPr>
            <w:tcW w:w="1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r>
      <w:tr>
        <w:trPr>
          <w:trHeight w:val="217"/>
        </w:trPr>
        <w:tc>
          <w:tcPr>
            <w:tcW w:w="7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Reductions</w:t>
            </w:r>
          </w:p>
        </w:tc>
        <w:tc>
          <w:tcPr>
            <w:tcW w:w="1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(5,026)</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7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June 30, 2020</w:t>
            </w:r>
          </w:p>
        </w:tc>
        <w:tc>
          <w:tcPr>
            <w:tcW w:w="11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22,701</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
        </w:trPr>
        <w:tc>
          <w:tcPr>
            <w:tcW w:w="7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ectPr>
          <w:pgSz w:w="11900" w:h="16838" w:orient="portrait"/>
          <w:cols w:equalWidth="0" w:num="1">
            <w:col w:w="11240"/>
          </w:cols>
          <w:pgMar w:left="320" w:top="130"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40"/>
          </w:cols>
          <w:pgMar w:left="320" w:top="130" w:right="339" w:bottom="1440" w:gutter="0" w:footer="0" w:header="0"/>
          <w:type w:val="continuous"/>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NPAs consist of non-accrual loans and leases, and foreclosed real estate. Changes in the level of non-accrual loans and leases typically represent increases for loans and leases that reach a specified past due status, offset by reductions for loans and leases that are charged-off, paid down, sold, transferred to foreclosed real estate, or are no longer classified as non-accrual because they have returned to accrual status.</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Total NPAs were $22.7 million as of June 30, 2020, an increase of $2.6 million or 13% from December 31, 2019. The ratio of our NPAs to total loans and leases and foreclosed real estate was 0.19% as of June 30, 2020, and 0.18% as of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Commercial mortgage non-accrual loans were $8.7 million as of June 30, 2020, a decrease of $0.6 million or 6% from December 31, 2019.</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Residential mortgage non-accrual loans were $5.9 million as of June 30, 2020, an increase of $1.8 million or 43% from December 31, 2019, primarily due to the addition of $2.3 million of loans partially offset by returns to accrual status and payoffs. As of June 30, 2020, our residential mortgage non-accrual loans were comprised of 11 loans with a weighted average current loan-to-value ratio of 67%.</w:t>
      </w:r>
    </w:p>
    <w:p>
      <w:pPr>
        <w:spacing w:after="0" w:line="184" w:lineRule="exact"/>
        <w:rPr>
          <w:sz w:val="20"/>
          <w:szCs w:val="20"/>
          <w:color w:val="auto"/>
        </w:rPr>
      </w:pPr>
    </w:p>
    <w:p>
      <w:pPr>
        <w:jc w:val="both"/>
        <w:ind w:right="700"/>
        <w:spacing w:after="0" w:line="311" w:lineRule="auto"/>
        <w:rPr>
          <w:sz w:val="20"/>
          <w:szCs w:val="20"/>
          <w:color w:val="auto"/>
        </w:rPr>
      </w:pPr>
      <w:r>
        <w:rPr>
          <w:rFonts w:ascii="Arial" w:cs="Arial" w:eastAsia="Arial" w:hAnsi="Arial"/>
          <w:sz w:val="16"/>
          <w:szCs w:val="16"/>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decreased by $0.2 million or 8% from December 31, 2019, due to the sale of one residential property.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 Past Due 90 Days or More and Still Accruing Interest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and leases in this category are 90 days or more past due, as to principal or interest, and are still accruing interest because they are well secured and in the process of collection. Loans and leases past due 90 days or more and still accruing interest were $8.9 million as of June 30, 2020, a $0.5 million or 6% increase from December 31, 2019. The increase was primarily in residential mortgage loans, which was offset by a decrease in other, automobile, and home equity loans portfolios.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130" w:right="35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Table 17 presents information on loans with terms that have been modified in a TDR.</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ind w:left="40"/>
              <w:spacing w:after="0"/>
              <w:rPr>
                <w:sz w:val="20"/>
                <w:szCs w:val="20"/>
                <w:color w:val="auto"/>
              </w:rPr>
            </w:pPr>
            <w:r>
              <w:rPr>
                <w:rFonts w:ascii="Arial" w:cs="Arial" w:eastAsia="Arial" w:hAnsi="Arial"/>
                <w:sz w:val="16"/>
                <w:szCs w:val="16"/>
                <w:b w:val="1"/>
                <w:bCs w:val="1"/>
                <w:color w:val="auto"/>
              </w:rPr>
              <w:t>Loans Modified in a Troubled Debt Restructuring</w:t>
            </w:r>
          </w:p>
        </w:tc>
        <w:tc>
          <w:tcPr>
            <w:tcW w:w="2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17</w:t>
            </w:r>
          </w:p>
        </w:tc>
      </w:tr>
      <w:tr>
        <w:trPr>
          <w:trHeight w:val="33"/>
        </w:trPr>
        <w:tc>
          <w:tcPr>
            <w:tcW w:w="58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8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7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2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80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27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20,628</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21,278</w:t>
            </w:r>
          </w:p>
        </w:tc>
      </w:tr>
      <w:tr>
        <w:trPr>
          <w:trHeight w:val="33"/>
        </w:trPr>
        <w:tc>
          <w:tcPr>
            <w:tcW w:w="58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2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6,643</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6,830</w:t>
            </w:r>
          </w:p>
        </w:tc>
      </w:tr>
      <w:tr>
        <w:trPr>
          <w:trHeight w:val="237"/>
        </w:trPr>
        <w:tc>
          <w:tcPr>
            <w:tcW w:w="580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27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1,152</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1,190</w:t>
            </w:r>
          </w:p>
        </w:tc>
      </w:tr>
      <w:tr>
        <w:trPr>
          <w:trHeight w:val="33"/>
        </w:trPr>
        <w:tc>
          <w:tcPr>
            <w:tcW w:w="58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27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28,423</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29,298</w:t>
            </w:r>
          </w:p>
        </w:tc>
      </w:tr>
      <w:tr>
        <w:trPr>
          <w:trHeight w:val="231"/>
        </w:trPr>
        <w:tc>
          <w:tcPr>
            <w:tcW w:w="58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Consumer</w:t>
            </w:r>
          </w:p>
        </w:tc>
        <w:tc>
          <w:tcPr>
            <w:tcW w:w="2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33"/>
        </w:trPr>
        <w:tc>
          <w:tcPr>
            <w:tcW w:w="58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Residential Mortgage</w:t>
            </w:r>
          </w:p>
        </w:tc>
        <w:tc>
          <w:tcPr>
            <w:tcW w:w="2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17,085</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17,939</w:t>
            </w:r>
          </w:p>
        </w:tc>
      </w:tr>
      <w:tr>
        <w:trPr>
          <w:trHeight w:val="237"/>
        </w:trPr>
        <w:tc>
          <w:tcPr>
            <w:tcW w:w="5800" w:type="dxa"/>
            <w:vAlign w:val="bottom"/>
          </w:tcPr>
          <w:p>
            <w:pPr>
              <w:ind w:left="280"/>
              <w:spacing w:after="0"/>
              <w:rPr>
                <w:sz w:val="20"/>
                <w:szCs w:val="20"/>
                <w:color w:val="auto"/>
              </w:rPr>
            </w:pPr>
            <w:r>
              <w:rPr>
                <w:rFonts w:ascii="Arial" w:cs="Arial" w:eastAsia="Arial" w:hAnsi="Arial"/>
                <w:sz w:val="16"/>
                <w:szCs w:val="16"/>
                <w:color w:val="auto"/>
              </w:rPr>
              <w:t>Home Equity</w:t>
            </w:r>
          </w:p>
        </w:tc>
        <w:tc>
          <w:tcPr>
            <w:tcW w:w="27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3,056</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3,085</w:t>
            </w:r>
          </w:p>
        </w:tc>
      </w:tr>
      <w:tr>
        <w:trPr>
          <w:trHeight w:val="33"/>
        </w:trPr>
        <w:tc>
          <w:tcPr>
            <w:tcW w:w="58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Automobile</w:t>
            </w:r>
          </w:p>
        </w:tc>
        <w:tc>
          <w:tcPr>
            <w:tcW w:w="2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14,965</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17,086</w:t>
            </w:r>
          </w:p>
        </w:tc>
      </w:tr>
      <w:tr>
        <w:trPr>
          <w:trHeight w:val="270"/>
        </w:trPr>
        <w:tc>
          <w:tcPr>
            <w:tcW w:w="58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7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1,437</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1,650</w:t>
            </w:r>
          </w:p>
        </w:tc>
      </w:tr>
      <w:tr>
        <w:trPr>
          <w:trHeight w:val="268"/>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27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36,543</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39,760</w:t>
            </w:r>
          </w:p>
        </w:tc>
      </w:tr>
      <w:tr>
        <w:trPr>
          <w:trHeight w:val="231"/>
        </w:trPr>
        <w:tc>
          <w:tcPr>
            <w:tcW w:w="58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7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64,966</w:t>
            </w: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69,058</w:t>
            </w:r>
          </w:p>
        </w:tc>
      </w:tr>
      <w:tr>
        <w:trPr>
          <w:trHeight w:val="33"/>
        </w:trPr>
        <w:tc>
          <w:tcPr>
            <w:tcW w:w="58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installment, and lease financing.</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Loans modified in a TDR decreased by $4.1 million or 6% from December 31, 2019. Commercial and industrial remains our largest TDR loan class.</w:t>
      </w:r>
    </w:p>
    <w:p>
      <w:pPr>
        <w:spacing w:after="0" w:line="23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 began offering short-term loan and lease modifications to assist borrowers during the COVID-19 national emergency. The CARES Act, along with a joint agency statement issued by banking agencies, provide that short-term modifications made in response to COVID-19 do not need to be accounted for as a TDR. Accordingly, the Company does not account for such loan modifications as TDRs.</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As of June 30, 2020, these COVID-19 related short-term loan and lease concessions totaled $1.1 billion (886 loans and leases) for the commercial segment and $795.5 million (16,414 loans and leases) for the consumer segment. See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4 </w:t>
      </w:r>
      <w:r>
        <w:rPr>
          <w:rFonts w:ascii="Arial" w:cs="Arial" w:eastAsia="Arial" w:hAnsi="Arial"/>
          <w:sz w:val="18"/>
          <w:szCs w:val="18"/>
          <w:i w:val="1"/>
          <w:iCs w:val="1"/>
          <w:color w:val="auto"/>
        </w:rPr>
        <w:t>Loans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Leases and the Allowance for Credit Losses </w:t>
      </w:r>
      <w:r>
        <w:rPr>
          <w:rFonts w:ascii="Arial" w:cs="Arial" w:eastAsia="Arial" w:hAnsi="Arial"/>
          <w:sz w:val="18"/>
          <w:szCs w:val="18"/>
          <w:color w:val="auto"/>
        </w:rPr>
        <w:t>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30" w:right="3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Credit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18 presents the activity in our reserve for credit losses.</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Reserve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4"/>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920" w:type="dxa"/>
            <w:vAlign w:val="bottom"/>
          </w:tcPr>
          <w:p>
            <w:pPr>
              <w:spacing w:after="0"/>
              <w:rPr>
                <w:sz w:val="18"/>
                <w:szCs w:val="18"/>
                <w:color w:val="auto"/>
              </w:rPr>
            </w:pPr>
          </w:p>
        </w:tc>
      </w:tr>
      <w:tr>
        <w:trPr>
          <w:trHeight w:val="270"/>
        </w:trPr>
        <w:tc>
          <w:tcPr>
            <w:tcW w:w="4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2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920" w:type="dxa"/>
            <w:vAlign w:val="bottom"/>
          </w:tcPr>
          <w:p>
            <w:pPr>
              <w:spacing w:after="0"/>
              <w:rPr>
                <w:sz w:val="23"/>
                <w:szCs w:val="23"/>
                <w:color w:val="auto"/>
              </w:rPr>
            </w:pPr>
          </w:p>
        </w:tc>
      </w:tr>
      <w:tr>
        <w:trPr>
          <w:trHeight w:val="33"/>
        </w:trPr>
        <w:tc>
          <w:tcPr>
            <w:tcW w:w="4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8"/>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141,467</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112,845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116,849</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113,515</w:t>
            </w:r>
          </w:p>
        </w:tc>
      </w:tr>
      <w:tr>
        <w:trPr>
          <w:trHeight w:val="135"/>
        </w:trPr>
        <w:tc>
          <w:tcPr>
            <w:tcW w:w="4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CECL Adoption (Day 1) Impact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(5,072)</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135"/>
        </w:trPr>
        <w:tc>
          <w:tcPr>
            <w:tcW w:w="4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and Leases Charged-Off</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380"/>
              <w:spacing w:after="0"/>
              <w:rPr>
                <w:sz w:val="20"/>
                <w:szCs w:val="20"/>
                <w:color w:val="auto"/>
              </w:rPr>
            </w:pPr>
            <w:r>
              <w:rPr>
                <w:rFonts w:ascii="Arial" w:cs="Arial" w:eastAsia="Arial" w:hAnsi="Arial"/>
                <w:sz w:val="16"/>
                <w:szCs w:val="16"/>
                <w:color w:val="auto"/>
              </w:rPr>
              <w:t>Commercial</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and Industrial</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(656)</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(1,349)</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w:t>
            </w:r>
          </w:p>
        </w:tc>
      </w:tr>
      <w:tr>
        <w:trPr>
          <w:trHeight w:val="237"/>
        </w:trPr>
        <w:tc>
          <w:tcPr>
            <w:tcW w:w="4840" w:type="dxa"/>
            <w:vAlign w:val="bottom"/>
          </w:tcPr>
          <w:p>
            <w:pPr>
              <w:ind w:left="500"/>
              <w:spacing w:after="0"/>
              <w:rPr>
                <w:sz w:val="20"/>
                <w:szCs w:val="20"/>
                <w:color w:val="auto"/>
              </w:rPr>
            </w:pPr>
            <w:r>
              <w:rPr>
                <w:rFonts w:ascii="Arial" w:cs="Arial" w:eastAsia="Arial" w:hAnsi="Arial"/>
                <w:sz w:val="16"/>
                <w:szCs w:val="16"/>
                <w:color w:val="auto"/>
              </w:rPr>
              <w:t>Commercial Mortgage</w:t>
            </w:r>
          </w:p>
        </w:tc>
        <w:tc>
          <w:tcPr>
            <w:tcW w:w="36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(1,616)</w:t>
            </w:r>
          </w:p>
        </w:tc>
      </w:tr>
      <w:tr>
        <w:trPr>
          <w:trHeight w:val="33"/>
        </w:trPr>
        <w:tc>
          <w:tcPr>
            <w:tcW w:w="4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(64)</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(84)</w:t>
            </w:r>
          </w:p>
        </w:tc>
        <w:tc>
          <w:tcPr>
            <w:tcW w:w="6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4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(273)</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(273)</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w:t>
            </w:r>
          </w:p>
        </w:tc>
      </w:tr>
      <w:tr>
        <w:trPr>
          <w:trHeight w:val="237"/>
        </w:trPr>
        <w:tc>
          <w:tcPr>
            <w:tcW w:w="484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(3,114)</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(1,691)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(5,614)</w:t>
            </w:r>
          </w:p>
        </w:tc>
        <w:tc>
          <w:tcPr>
            <w:tcW w:w="6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(3,444)</w:t>
            </w:r>
          </w:p>
        </w:tc>
      </w:tr>
      <w:tr>
        <w:trPr>
          <w:trHeight w:val="33"/>
        </w:trPr>
        <w:tc>
          <w:tcPr>
            <w:tcW w:w="4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40" w:type="dxa"/>
            <w:vAlign w:val="bottom"/>
            <w:tcBorders>
              <w:bottom w:val="single" w:sz="8" w:color="auto"/>
            </w:tcBorders>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(4,176)</w:t>
            </w: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(3,036)</w:t>
            </w:r>
          </w:p>
        </w:tc>
        <w:tc>
          <w:tcPr>
            <w:tcW w:w="2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(8,140)</w:t>
            </w:r>
          </w:p>
        </w:tc>
        <w:tc>
          <w:tcPr>
            <w:tcW w:w="6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(5,826)</w:t>
            </w:r>
          </w:p>
        </w:tc>
      </w:tr>
      <w:tr>
        <w:trPr>
          <w:trHeight w:val="231"/>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Total Loans and Leases Charged-Off</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(8,283)</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(5,129)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(15,460)</w:t>
            </w:r>
          </w:p>
        </w:tc>
        <w:tc>
          <w:tcPr>
            <w:tcW w:w="6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(11,957)</w:t>
            </w:r>
          </w:p>
        </w:tc>
      </w:tr>
      <w:tr>
        <w:trPr>
          <w:trHeight w:val="33"/>
        </w:trPr>
        <w:tc>
          <w:tcPr>
            <w:tcW w:w="4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Recoveries on Loans and Leases Previously Charged-Off</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380"/>
              <w:spacing w:after="0"/>
              <w:rPr>
                <w:sz w:val="20"/>
                <w:szCs w:val="20"/>
                <w:color w:val="auto"/>
              </w:rPr>
            </w:pPr>
            <w:r>
              <w:rPr>
                <w:rFonts w:ascii="Arial" w:cs="Arial" w:eastAsia="Arial" w:hAnsi="Arial"/>
                <w:sz w:val="16"/>
                <w:szCs w:val="16"/>
                <w:color w:val="auto"/>
              </w:rPr>
              <w:t>Commercial</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and Industrial</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1,524</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401</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1,813</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902</w:t>
            </w:r>
          </w:p>
        </w:tc>
      </w:tr>
      <w:tr>
        <w:trPr>
          <w:trHeight w:val="237"/>
        </w:trPr>
        <w:tc>
          <w:tcPr>
            <w:tcW w:w="4840" w:type="dxa"/>
            <w:vAlign w:val="bottom"/>
          </w:tcPr>
          <w:p>
            <w:pPr>
              <w:ind w:left="500"/>
              <w:spacing w:after="0"/>
              <w:rPr>
                <w:sz w:val="20"/>
                <w:szCs w:val="20"/>
                <w:color w:val="auto"/>
              </w:rPr>
            </w:pPr>
            <w:r>
              <w:rPr>
                <w:rFonts w:ascii="Arial" w:cs="Arial" w:eastAsia="Arial" w:hAnsi="Arial"/>
                <w:sz w:val="16"/>
                <w:szCs w:val="16"/>
                <w:color w:val="auto"/>
              </w:rPr>
              <w:t>Commercial Mortgage</w:t>
            </w:r>
          </w:p>
        </w:tc>
        <w:tc>
          <w:tcPr>
            <w:tcW w:w="36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40</w:t>
            </w:r>
          </w:p>
        </w:tc>
        <w:tc>
          <w:tcPr>
            <w:tcW w:w="6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4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36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118</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381</w:t>
            </w:r>
          </w:p>
        </w:tc>
        <w:tc>
          <w:tcPr>
            <w:tcW w:w="6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579</w:t>
            </w:r>
          </w:p>
        </w:tc>
      </w:tr>
      <w:tr>
        <w:trPr>
          <w:trHeight w:val="33"/>
        </w:trPr>
        <w:tc>
          <w:tcPr>
            <w:tcW w:w="4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321</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746</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1,297</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1,334</w:t>
            </w:r>
          </w:p>
        </w:tc>
      </w:tr>
      <w:tr>
        <w:trPr>
          <w:trHeight w:val="237"/>
        </w:trPr>
        <w:tc>
          <w:tcPr>
            <w:tcW w:w="484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36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547</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908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1,552</w:t>
            </w:r>
          </w:p>
        </w:tc>
        <w:tc>
          <w:tcPr>
            <w:tcW w:w="6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1,789</w:t>
            </w:r>
          </w:p>
        </w:tc>
      </w:tr>
      <w:tr>
        <w:trPr>
          <w:trHeight w:val="33"/>
        </w:trPr>
        <w:tc>
          <w:tcPr>
            <w:tcW w:w="4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40" w:type="dxa"/>
            <w:vAlign w:val="bottom"/>
            <w:tcBorders>
              <w:bottom w:val="single" w:sz="8" w:color="auto"/>
            </w:tcBorders>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662</w:t>
            </w: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628</w:t>
            </w:r>
          </w:p>
        </w:tc>
        <w:tc>
          <w:tcPr>
            <w:tcW w:w="2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1,526</w:t>
            </w:r>
          </w:p>
        </w:tc>
        <w:tc>
          <w:tcPr>
            <w:tcW w:w="6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1,332</w:t>
            </w:r>
          </w:p>
        </w:tc>
      </w:tr>
      <w:tr>
        <w:trPr>
          <w:trHeight w:val="230"/>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w w:val="99"/>
              </w:rPr>
              <w:t>Total Recoveries on Loans and Leases Previously Charged-Off</w:t>
            </w:r>
          </w:p>
        </w:tc>
        <w:tc>
          <w:tcPr>
            <w:tcW w:w="36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3,172</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2,778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6,609</w:t>
            </w:r>
          </w:p>
        </w:tc>
        <w:tc>
          <w:tcPr>
            <w:tcW w:w="6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5,936</w:t>
            </w:r>
          </w:p>
        </w:tc>
      </w:tr>
      <w:tr>
        <w:trPr>
          <w:trHeight w:val="33"/>
        </w:trPr>
        <w:tc>
          <w:tcPr>
            <w:tcW w:w="4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Loans and Leases Charged-Off</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(5,111)</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(2,351)</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(8,851)</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(6,021)</w:t>
            </w: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36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40,400</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4,000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74,000</w:t>
            </w:r>
          </w:p>
        </w:tc>
        <w:tc>
          <w:tcPr>
            <w:tcW w:w="6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7,000</w:t>
            </w:r>
          </w:p>
        </w:tc>
      </w:tr>
      <w:tr>
        <w:trPr>
          <w:trHeight w:val="33"/>
        </w:trPr>
        <w:tc>
          <w:tcPr>
            <w:tcW w:w="4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Unfunded Commitments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(798)</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(968)</w:t>
            </w:r>
          </w:p>
        </w:tc>
        <w:tc>
          <w:tcPr>
            <w:tcW w:w="6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303"/>
        </w:trPr>
        <w:tc>
          <w:tcPr>
            <w:tcW w:w="4840" w:type="dxa"/>
            <w:vAlign w:val="bottom"/>
            <w:tcBorders>
              <w:top w:val="single" w:sz="8" w:color="auto"/>
              <w:bottom w:val="single" w:sz="8" w:color="auto"/>
            </w:tcBorders>
          </w:tcPr>
          <w:p>
            <w:pPr>
              <w:ind w:left="40"/>
              <w:spacing w:after="0" w:line="263" w:lineRule="exact"/>
              <w:rPr>
                <w:sz w:val="20"/>
                <w:szCs w:val="20"/>
                <w:color w:val="auto"/>
              </w:rPr>
            </w:pPr>
            <w:r>
              <w:rPr>
                <w:rFonts w:ascii="Arial" w:cs="Arial" w:eastAsia="Arial" w:hAnsi="Arial"/>
                <w:sz w:val="18"/>
                <w:szCs w:val="18"/>
                <w:color w:val="auto"/>
              </w:rPr>
              <w:t xml:space="preserve">Balance at End of Period </w:t>
            </w:r>
            <w:r>
              <w:rPr>
                <w:rFonts w:ascii="Arial" w:cs="Arial" w:eastAsia="Arial" w:hAnsi="Arial"/>
                <w:sz w:val="25"/>
                <w:szCs w:val="25"/>
                <w:color w:val="auto"/>
                <w:vertAlign w:val="superscript"/>
              </w:rPr>
              <w:t>2</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175,958</w:t>
            </w:r>
          </w:p>
        </w:tc>
        <w:tc>
          <w:tcPr>
            <w:tcW w:w="4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114,494</w:t>
            </w:r>
          </w:p>
        </w:tc>
        <w:tc>
          <w:tcPr>
            <w:tcW w:w="2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175,958</w:t>
            </w:r>
          </w:p>
        </w:tc>
        <w:tc>
          <w:tcPr>
            <w:tcW w:w="6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114,494</w:t>
            </w:r>
          </w:p>
        </w:tc>
      </w:tr>
      <w:tr>
        <w:trPr>
          <w:trHeight w:val="115"/>
        </w:trPr>
        <w:tc>
          <w:tcPr>
            <w:tcW w:w="48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Components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Credit Losses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173,439</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107,672</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173,439</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107,672</w:t>
            </w: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color w:val="auto"/>
              </w:rPr>
              <w:t>Reserve for Unfunded Commitments</w:t>
            </w:r>
          </w:p>
        </w:tc>
        <w:tc>
          <w:tcPr>
            <w:tcW w:w="36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2,519</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6,822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2,519</w:t>
            </w:r>
          </w:p>
        </w:tc>
        <w:tc>
          <w:tcPr>
            <w:tcW w:w="6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6,822</w:t>
            </w:r>
          </w:p>
        </w:tc>
      </w:tr>
      <w:tr>
        <w:trPr>
          <w:trHeight w:val="33"/>
        </w:trPr>
        <w:tc>
          <w:tcPr>
            <w:tcW w:w="4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8"/>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Reserve for Credit Losses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175,958</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114,494</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175,958</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114,494</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4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75"/>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Loans and Leases Outstanding</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11,727,649</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10,631,558</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11,394,178</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2"/>
              </w:rPr>
              <w:t>10,549,893</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4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2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Net Loans and Leases Charged-Off to</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Average Loans and Leases Outstanding (annualized)</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4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0.16%</w:t>
            </w:r>
          </w:p>
        </w:tc>
        <w:tc>
          <w:tcPr>
            <w:tcW w:w="6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r>
      <w:tr>
        <w:trPr>
          <w:trHeight w:val="220"/>
        </w:trPr>
        <w:tc>
          <w:tcPr>
            <w:tcW w:w="4840" w:type="dxa"/>
            <w:vAlign w:val="bottom"/>
          </w:tcPr>
          <w:p>
            <w:pPr>
              <w:ind w:left="40"/>
              <w:spacing w:after="0"/>
              <w:rPr>
                <w:sz w:val="20"/>
                <w:szCs w:val="20"/>
                <w:color w:val="auto"/>
              </w:rPr>
            </w:pPr>
            <w:r>
              <w:rPr>
                <w:rFonts w:ascii="Arial" w:cs="Arial" w:eastAsia="Arial" w:hAnsi="Arial"/>
                <w:sz w:val="16"/>
                <w:szCs w:val="16"/>
                <w:color w:val="auto"/>
              </w:rPr>
              <w:t>Ratio of Allowance for Credit Losses to</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840" w:type="dxa"/>
            <w:vAlign w:val="bottom"/>
          </w:tcPr>
          <w:p>
            <w:pPr>
              <w:ind w:left="160"/>
              <w:spacing w:after="0"/>
              <w:rPr>
                <w:sz w:val="20"/>
                <w:szCs w:val="20"/>
                <w:color w:val="auto"/>
              </w:rPr>
            </w:pPr>
            <w:r>
              <w:rPr>
                <w:rFonts w:ascii="Arial" w:cs="Arial" w:eastAsia="Arial" w:hAnsi="Arial"/>
                <w:sz w:val="16"/>
                <w:szCs w:val="16"/>
                <w:color w:val="auto"/>
              </w:rPr>
              <w:t>Loans and Leases Outstanding</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1.47%</w:t>
            </w: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1.47%</w:t>
            </w:r>
          </w:p>
        </w:tc>
        <w:tc>
          <w:tcPr>
            <w:tcW w:w="6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w:t>
            </w:r>
          </w:p>
        </w:tc>
      </w:tr>
    </w:tbl>
    <w:p>
      <w:pPr>
        <w:spacing w:after="0" w:line="68" w:lineRule="exact"/>
        <w:rPr>
          <w:sz w:val="20"/>
          <w:szCs w:val="20"/>
          <w:color w:val="auto"/>
        </w:rPr>
      </w:pPr>
    </w:p>
    <w:p>
      <w:pPr>
        <w:ind w:left="260" w:hanging="171"/>
        <w:spacing w:after="0"/>
        <w:tabs>
          <w:tab w:leader="none" w:pos="260" w:val="left"/>
        </w:tabs>
        <w:numPr>
          <w:ilvl w:val="0"/>
          <w:numId w:val="48"/>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260" w:hanging="171"/>
        <w:spacing w:after="0"/>
        <w:tabs>
          <w:tab w:leader="none" w:pos="260" w:val="left"/>
        </w:tabs>
        <w:numPr>
          <w:ilvl w:val="0"/>
          <w:numId w:val="49"/>
        </w:numPr>
        <w:rPr>
          <w:rFonts w:ascii="Arial" w:cs="Arial" w:eastAsia="Arial" w:hAnsi="Arial"/>
          <w:sz w:val="8"/>
          <w:szCs w:val="8"/>
          <w:color w:val="auto"/>
        </w:rPr>
      </w:pPr>
      <w:r>
        <w:rPr>
          <w:rFonts w:ascii="Arial" w:cs="Arial" w:eastAsia="Arial" w:hAnsi="Arial"/>
          <w:sz w:val="13"/>
          <w:szCs w:val="13"/>
          <w:color w:val="auto"/>
        </w:rPr>
        <w:t>Included in this analysis is activity related to the Company’s reserve for unfunded commitments, which is separately recorded in other liabilities in the consolidated statements of condition.</w:t>
      </w:r>
    </w:p>
    <w:p>
      <w:pPr>
        <w:sectPr>
          <w:pgSz w:w="11900" w:h="16838" w:orient="portrait"/>
          <w:cols w:equalWidth="0" w:num="1">
            <w:col w:w="11240"/>
          </w:cols>
          <w:pgMar w:left="320" w:top="130" w:right="3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40"/>
          </w:cols>
          <w:pgMar w:left="320" w:top="130" w:right="339" w:bottom="1440" w:gutter="0" w:footer="0" w:header="0"/>
          <w:type w:val="continuous"/>
        </w:sectPr>
      </w:pPr>
    </w:p>
    <w:bookmarkStart w:id="85" w:name="page86"/>
    <w:bookmarkEnd w:id="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maintain a reserve for credit losses that consists of two components, the Allowance and a reserve for unfunded commitments (the “Unfunded Reserve”). The reserve for credit losses provides for the risk of credit losses expected in the loan and lease portfolio and is based on loss estimates derived from a comprehensive quarterly evaluation. The evaluation reflects analyses of individual borrowers for impairment coupled with analysis of historical loss experience in various loan pools that have been grouped based on similar risk characteristics, supplemented as necessary by credit judgment that considers observable trends, conditions, reasonable and supportable forecasts, and other relevant environmental and economic factors. The level of the Allowance is adjusted by recording an expense or recovery through the Provision. The level of the Unfunded Reserve is adjusted by recording an expense or recovery in other noninterest expense. See Note 1 to the Consolidated Financial Statements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CECL Adoption</w:t>
      </w:r>
    </w:p>
    <w:p>
      <w:pPr>
        <w:spacing w:after="0" w:line="225"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Upon adoption of CECL, the Company recorded a $1.7 million decrease to the Allowance on January 1, 2020. This “Day 1” adjustment decreased the Allowance as of January 1, 2020, to $108.3 million or 0.99% of total loans and leases outstanding, compared with an Allowance of $110.0 million or</w:t>
      </w:r>
    </w:p>
    <w:p>
      <w:pPr>
        <w:spacing w:after="0" w:line="270" w:lineRule="auto"/>
        <w:rPr>
          <w:sz w:val="20"/>
          <w:szCs w:val="20"/>
          <w:color w:val="auto"/>
        </w:rPr>
      </w:pPr>
      <w:r>
        <w:rPr>
          <w:rFonts w:ascii="Arial" w:cs="Arial" w:eastAsia="Arial" w:hAnsi="Arial"/>
          <w:sz w:val="17"/>
          <w:szCs w:val="17"/>
          <w:color w:val="auto"/>
        </w:rPr>
        <w:t>1.00% of total loans and leases outstanding as of December 31, 2019. This decrease was primarily due to an $18.8 million decrease to the Allowance of the commercial portfolio. This decrease was largely the result of the Company’s use of updated historical loss rates with refined segmentation based on portfolio class (commercial &amp; industrial, commercial mortgage, construction and lease financing) in calculating the Allowance baseline, compared to the loss rate factors used in the incurred approach. The decrease to the Allowance of the commercial portfolio was largely offset by a $17.1 million increase to the Allowance of the consumer portfolio, which was primarily due to the impact of longer duration portfolio segments. Our one-year reasonable and supportable forecast reflected a generally stable asset quality and economic outlook.</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Upon adoption of CECL, the Company recorded a $3.3 million decrease to the Unfunded Reserve. This “Day 1” adjustment decreased the Unfunded Reserve as of January 1, 2020, to $3.5 million, compared to $6.8 million as of December 31, 2019. The decrease was primarily reflected in the commercial portfolio, due largely to the same reasons explained for the decrease in the Allowance for the commercial portfolio.</w:t>
      </w:r>
    </w:p>
    <w:p>
      <w:pPr>
        <w:spacing w:after="0" w:line="16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Going forward, the impact of utilizing the CECL approach to calculate the reserve for credit losses will be significantly influenced by the composition, characteristics and credit risk in the loan portfolio, the prevailing economic conditions and forecasts utilized, and other external and internal factors. Material changes to these and other relevant factors may result in greater volatility to the reserve for credit losses, and therefore, greater volatility to our reported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June 30, 2020, the Allowance was $173.4 million or 1.47% of total loans and leases outstanding (1.53% excluding PPP loans), compared with an Allowance of $108.3 million or 0.99% of total loans and leases outstanding as of January 1, 2020, (after the CECL Day 1 adjustment). The increase in the Allowance and the ratio of Allowance to loans and leases outstanding was primarily due to management’s best estimate of losses over the life of loans in our portfolio in accordance with the CECL approach, given the economic outlook and forecasts for COVID-19 pandemic driven market changes, as well as the impact of unprecedented intervention of fiscal, monetary and regulatory programs. The CECL approach requires an estimate of the credit losses expected over the life of an exposure (or pool of exposures). It removes the incurred loss approach’s threshold that delayed the recognition of a credit loss until it was probable a loss event was incurred.</w:t>
      </w:r>
    </w:p>
    <w:p>
      <w:pPr>
        <w:spacing w:after="0" w:line="17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Net charge-offs on loans and leases were $5.1 million or 0.18% of total average loans and leases, on an annualized basis, in the second quarter of 2020 compared to net charge-offs of $2.4 million or 0.09% of total average loans and leases, on an annualized basis, in the second quarter of 2019. Net charge-offs in our consumer portfolios were $9.4 million for the first six months of 2020 compared to $4.7 million for the same period in 2019. Net recoveries in our commercial portfolios were $0.5 million for the first six months of 2020 compared to net charge-offs of $1.3 million for the same period in 2019.</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Although we determine the amount of each component of the Allowance separately, the Allowance as a whole was considered appropriate by management as of June 30, 2020, based on our ongoing analysis of expected credit losses, credit risk profiles, economic conditions, coverage ratios, and other relevant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Reserve for Unfunded Commitments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Unfunded Reserve was $2.5 million as of June 30, 2020, a decrease of $1.0 million or 28% from January 1, 2020, (after the CECL Day 1 adjustment) due to the updated historical loss rates and segmentation.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320" w:top="130" w:right="37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statements of income and condition. In this management process, market risks are balanced with expected returns in an effort to enhance earnings performance, while limiting volatility.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primary market risk exposure is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objective of our interest rate risk management process is to maximize net interest income while operating within acceptable limits established for interest rate risk and maintaining adequate levels of funding and liquidity. The potential cash flows, sales, or replacement value of many of our assets and liabilities, especially those that earn or pay interest, are sensitive to changes in the general level of interest rates. This interest rate risk arises primarily from our core business activities of extending loans and accepting deposits. Our investment securities portfolio is also subject to significant interest rate risk.</w:t>
      </w:r>
    </w:p>
    <w:p>
      <w:pPr>
        <w:spacing w:after="0" w:line="188"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Many factors affect our exposure to changes in interest rates such as general economic and financial conditions, customer preferences, historical pricing relationships, and repricing characteristics of financial instruments. Our earnings are affected not only by general economic conditions but also by the monetary and fiscal policies of the U.S. and its agencies, particularly the Federal Reserve Bank (the “FRB”). The monetary policies of the FRB can influence the overall growth of loans, investment securities, and deposits and the level of interest rates earned on assets and paid for liabilities.</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managing interest rate risk, we, through the Asset/Liability Management Committee (“ALCO”), measure short and long-term sensitivities to changes in interest rates. The ALCO, which is comprised of members of executive management, utilizes several techniques to manage interest rate risk, which include:</w:t>
      </w:r>
    </w:p>
    <w:p>
      <w:pPr>
        <w:spacing w:after="0" w:line="184"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adjusting the balance sheet mix or altering the interest rate characteristics of assets and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changing product pricing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modifying characteristics of the investment securities portfolio;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using derivative financial instruments.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use of derivative financial instruments, as detailed in Note 12 to the Consolidated Financial Statements, has generally been limited. This is due to natural on-balance sheet hedges arising out of offsetting interest rate exposures from loans and investment securities with deposits and other interest-bearing liabilities. In particular, the investment securities portfolio is utilized to manage the interest rate exposure and sensitivity to within the guidelines and limits established by the ALCO. We utilize natural and offsetting economic hedges in an effort to reduce the need to employ off-balance sheet derivative financial instruments to hedge interest rate risk exposures. Expected movements in interest rates are also considered in managing interest rate risk. Thus, as interest rates change, we may use different techniques to manage interest rate risk.</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 key element in our ongoing process to measure and monitor interest rate risk is the utilization of an asset/liability simulation model that attempts to capture the dynamic nature of the statement of condition. The model is used to estimate and measure the statement of condition sensitivity to changes in interest rates. These estimates are based on assumptions about the behavior of loan and deposit pricing, prepayment rates on mortgage-based assets, and principal amortization and maturities on other financial instruments. The model’s analytics include the effects of standard prepayment options on mortgages and customer withdrawal options for deposits. While such assumptions are inherently uncertain, we believe that our assumptions are reasonable.</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60"/>
          </w:cols>
          <w:pgMar w:left="320" w:top="130" w:right="41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utilize net interest income simulations to analyze short-term income sensitivities to changes in interest rates. Table 19 presents, for the twelve months subsequent to June 30, 2020, and December 31, 2019, an estimate of the change in net interest income that would result from a gradual and immediate change in interest rates, moving in a parallel fashion over the entire yield curve, relative to the measured base case scenario. The base case scenario assumes the statement of condition and interest rates are generally unchanged. Based on our net interest income simulation as of June 30, 2020, net interest income is expected to increase as interest rates rise. This is due in part to our strategy to maintain a relatively short investment portfolio duration. In addition, rising interest rates would drive higher rates on loans and investment securities, as well as induce a slower pace of premium amortization on certain securities within our investment portfolio. However, lower interest rates would likely cause a decline in net interest income as lower rates would lead to lower yields on loans and investment securities, as well as drive higher premium amortization on existing investment securities. Based on our net interest income simulation as of June 30, 2020, net interest income sensitivity to changes in interest rates for the twelve months subsequent to June 30, 2020, was slightly more sensitive in comparison to the sensitivity profile for the twelve months subsequent to December 31, 2019.</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Net Interest Income Sensitivity Profile</w:t>
            </w: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b w:val="1"/>
                <w:bCs w:val="1"/>
                <w:color w:val="auto"/>
                <w:w w:val="90"/>
              </w:rPr>
              <w:t>Table 19</w:t>
            </w:r>
          </w:p>
        </w:tc>
      </w:tr>
      <w:tr>
        <w:trPr>
          <w:trHeight w:val="33"/>
        </w:trPr>
        <w:tc>
          <w:tcPr>
            <w:tcW w:w="4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gridSpan w:val="4"/>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4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4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Impact on Future Annual Net Interest Income</w:t>
            </w:r>
          </w:p>
        </w:tc>
        <w:tc>
          <w:tcPr>
            <w:tcW w:w="800" w:type="dxa"/>
            <w:vAlign w:val="bottom"/>
          </w:tcPr>
          <w:p>
            <w:pPr>
              <w:spacing w:after="0"/>
              <w:rPr>
                <w:sz w:val="18"/>
                <w:szCs w:val="18"/>
                <w:color w:val="auto"/>
              </w:rPr>
            </w:pPr>
          </w:p>
        </w:tc>
      </w:tr>
      <w:tr>
        <w:trPr>
          <w:trHeight w:val="33"/>
        </w:trPr>
        <w:tc>
          <w:tcPr>
            <w:tcW w:w="49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8"/>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June 30, 2020</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2019</w:t>
            </w:r>
          </w:p>
        </w:tc>
        <w:tc>
          <w:tcPr>
            <w:tcW w:w="800" w:type="dxa"/>
            <w:vAlign w:val="bottom"/>
            <w:tcBorders>
              <w:bottom w:val="single" w:sz="8" w:color="auto"/>
            </w:tcBorders>
          </w:tcPr>
          <w:p>
            <w:pPr>
              <w:spacing w:after="0"/>
              <w:rPr>
                <w:sz w:val="22"/>
                <w:szCs w:val="2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Gradual Change in Interest Rates (basis points)</w:t>
            </w:r>
          </w:p>
        </w:tc>
        <w:tc>
          <w:tcPr>
            <w:tcW w:w="4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+200</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899"/>
              <w:spacing w:after="0"/>
              <w:rPr>
                <w:sz w:val="20"/>
                <w:szCs w:val="20"/>
                <w:color w:val="auto"/>
              </w:rPr>
            </w:pPr>
            <w:r>
              <w:rPr>
                <w:rFonts w:ascii="Arial" w:cs="Arial" w:eastAsia="Arial" w:hAnsi="Arial"/>
                <w:sz w:val="16"/>
                <w:szCs w:val="16"/>
                <w:color w:val="auto"/>
              </w:rPr>
              <w:t>24,234</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5.0 %</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879"/>
              <w:spacing w:after="0"/>
              <w:rPr>
                <w:sz w:val="20"/>
                <w:szCs w:val="20"/>
                <w:color w:val="auto"/>
              </w:rPr>
            </w:pPr>
            <w:r>
              <w:rPr>
                <w:rFonts w:ascii="Arial" w:cs="Arial" w:eastAsia="Arial" w:hAnsi="Arial"/>
                <w:sz w:val="16"/>
                <w:szCs w:val="16"/>
                <w:color w:val="auto"/>
              </w:rPr>
              <w:t>17,560</w:t>
            </w:r>
          </w:p>
        </w:tc>
        <w:tc>
          <w:tcPr>
            <w:tcW w:w="800" w:type="dxa"/>
            <w:vAlign w:val="bottom"/>
          </w:tcPr>
          <w:p>
            <w:pPr>
              <w:jc w:val="right"/>
              <w:spacing w:after="0"/>
              <w:rPr>
                <w:sz w:val="20"/>
                <w:szCs w:val="20"/>
                <w:color w:val="auto"/>
              </w:rPr>
            </w:pPr>
            <w:r>
              <w:rPr>
                <w:rFonts w:ascii="Arial" w:cs="Arial" w:eastAsia="Arial" w:hAnsi="Arial"/>
                <w:sz w:val="16"/>
                <w:szCs w:val="16"/>
                <w:color w:val="auto"/>
              </w:rPr>
              <w:t>3.4 %</w:t>
            </w:r>
          </w:p>
        </w:tc>
      </w:tr>
      <w:tr>
        <w:trPr>
          <w:trHeight w:val="33"/>
        </w:trPr>
        <w:tc>
          <w:tcPr>
            <w:tcW w:w="4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4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12,128</w:t>
            </w:r>
          </w:p>
        </w:tc>
        <w:tc>
          <w:tcPr>
            <w:tcW w:w="9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2.5</w:t>
            </w:r>
          </w:p>
        </w:tc>
        <w:tc>
          <w:tcPr>
            <w:tcW w:w="5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8,869</w:t>
            </w: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w:t>
            </w:r>
          </w:p>
        </w:tc>
      </w:tr>
      <w:tr>
        <w:trPr>
          <w:trHeight w:val="223"/>
        </w:trPr>
        <w:tc>
          <w:tcPr>
            <w:tcW w:w="4960" w:type="dxa"/>
            <w:vAlign w:val="bottom"/>
          </w:tcPr>
          <w:p>
            <w:pPr>
              <w:ind w:left="40"/>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19"/>
                <w:szCs w:val="19"/>
                <w:color w:val="auto"/>
              </w:rPr>
            </w:pPr>
          </w:p>
        </w:tc>
        <w:tc>
          <w:tcPr>
            <w:tcW w:w="1780" w:type="dxa"/>
            <w:vAlign w:val="bottom"/>
          </w:tcPr>
          <w:p>
            <w:pPr>
              <w:jc w:val="right"/>
              <w:ind w:right="859"/>
              <w:spacing w:after="0"/>
              <w:rPr>
                <w:sz w:val="20"/>
                <w:szCs w:val="20"/>
                <w:color w:val="auto"/>
              </w:rPr>
            </w:pPr>
            <w:r>
              <w:rPr>
                <w:rFonts w:ascii="Arial" w:cs="Arial" w:eastAsia="Arial" w:hAnsi="Arial"/>
                <w:sz w:val="16"/>
                <w:szCs w:val="16"/>
                <w:color w:val="auto"/>
              </w:rPr>
              <w:t>(2,926)</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(0.6)</w:t>
            </w:r>
          </w:p>
        </w:tc>
        <w:tc>
          <w:tcPr>
            <w:tcW w:w="580" w:type="dxa"/>
            <w:vAlign w:val="bottom"/>
          </w:tcPr>
          <w:p>
            <w:pPr>
              <w:spacing w:after="0"/>
              <w:rPr>
                <w:sz w:val="19"/>
                <w:szCs w:val="19"/>
                <w:color w:val="auto"/>
              </w:rPr>
            </w:pPr>
          </w:p>
        </w:tc>
        <w:tc>
          <w:tcPr>
            <w:tcW w:w="1760" w:type="dxa"/>
            <w:vAlign w:val="bottom"/>
          </w:tcPr>
          <w:p>
            <w:pPr>
              <w:jc w:val="right"/>
              <w:ind w:right="819"/>
              <w:spacing w:after="0"/>
              <w:rPr>
                <w:sz w:val="20"/>
                <w:szCs w:val="20"/>
                <w:color w:val="auto"/>
              </w:rPr>
            </w:pPr>
            <w:r>
              <w:rPr>
                <w:rFonts w:ascii="Arial" w:cs="Arial" w:eastAsia="Arial" w:hAnsi="Arial"/>
                <w:sz w:val="16"/>
                <w:szCs w:val="16"/>
                <w:color w:val="auto"/>
              </w:rPr>
              <w:t>(9,311)</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(1.8)</w:t>
            </w:r>
          </w:p>
        </w:tc>
      </w:tr>
      <w:tr>
        <w:trPr>
          <w:trHeight w:val="47"/>
        </w:trPr>
        <w:tc>
          <w:tcPr>
            <w:tcW w:w="4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70"/>
        </w:trPr>
        <w:tc>
          <w:tcPr>
            <w:tcW w:w="49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23"/>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Immediate Change in Interest Rates (basis points)</w:t>
            </w:r>
          </w:p>
        </w:tc>
        <w:tc>
          <w:tcPr>
            <w:tcW w:w="4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7"/>
        </w:trPr>
        <w:tc>
          <w:tcPr>
            <w:tcW w:w="4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+200</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60,828</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12.5 %</w:t>
            </w:r>
          </w:p>
        </w:tc>
        <w:tc>
          <w:tcPr>
            <w:tcW w:w="5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41,827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8.2 %</w:t>
            </w:r>
          </w:p>
        </w:tc>
      </w:tr>
      <w:tr>
        <w:trPr>
          <w:trHeight w:val="223"/>
        </w:trPr>
        <w:tc>
          <w:tcPr>
            <w:tcW w:w="4960" w:type="dxa"/>
            <w:vAlign w:val="bottom"/>
          </w:tcPr>
          <w:p>
            <w:pPr>
              <w:ind w:left="40"/>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19"/>
                <w:szCs w:val="19"/>
                <w:color w:val="auto"/>
              </w:rPr>
            </w:pPr>
          </w:p>
        </w:tc>
        <w:tc>
          <w:tcPr>
            <w:tcW w:w="1780" w:type="dxa"/>
            <w:vAlign w:val="bottom"/>
          </w:tcPr>
          <w:p>
            <w:pPr>
              <w:jc w:val="right"/>
              <w:ind w:right="899"/>
              <w:spacing w:after="0"/>
              <w:rPr>
                <w:sz w:val="20"/>
                <w:szCs w:val="20"/>
                <w:color w:val="auto"/>
              </w:rPr>
            </w:pPr>
            <w:r>
              <w:rPr>
                <w:rFonts w:ascii="Arial" w:cs="Arial" w:eastAsia="Arial" w:hAnsi="Arial"/>
                <w:sz w:val="16"/>
                <w:szCs w:val="16"/>
                <w:color w:val="auto"/>
              </w:rPr>
              <w:t>32,162</w:t>
            </w: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6.6</w:t>
            </w:r>
          </w:p>
        </w:tc>
        <w:tc>
          <w:tcPr>
            <w:tcW w:w="580" w:type="dxa"/>
            <w:vAlign w:val="bottom"/>
          </w:tcPr>
          <w:p>
            <w:pPr>
              <w:spacing w:after="0"/>
              <w:rPr>
                <w:sz w:val="19"/>
                <w:szCs w:val="19"/>
                <w:color w:val="auto"/>
              </w:rPr>
            </w:pPr>
          </w:p>
        </w:tc>
        <w:tc>
          <w:tcPr>
            <w:tcW w:w="1760" w:type="dxa"/>
            <w:vAlign w:val="bottom"/>
          </w:tcPr>
          <w:p>
            <w:pPr>
              <w:jc w:val="right"/>
              <w:ind w:right="879"/>
              <w:spacing w:after="0"/>
              <w:rPr>
                <w:sz w:val="20"/>
                <w:szCs w:val="20"/>
                <w:color w:val="auto"/>
              </w:rPr>
            </w:pPr>
            <w:r>
              <w:rPr>
                <w:rFonts w:ascii="Arial" w:cs="Arial" w:eastAsia="Arial" w:hAnsi="Arial"/>
                <w:sz w:val="16"/>
                <w:szCs w:val="16"/>
                <w:color w:val="auto"/>
              </w:rPr>
              <w:t>23,594</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4.6</w:t>
            </w:r>
          </w:p>
        </w:tc>
      </w:tr>
      <w:tr>
        <w:trPr>
          <w:trHeight w:val="47"/>
        </w:trPr>
        <w:tc>
          <w:tcPr>
            <w:tcW w:w="4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23"/>
        </w:trPr>
        <w:tc>
          <w:tcPr>
            <w:tcW w:w="4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44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(7,967)</w:t>
            </w: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w:t>
            </w:r>
          </w:p>
        </w:tc>
        <w:tc>
          <w:tcPr>
            <w:tcW w:w="5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(30,034)</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w:t>
            </w:r>
          </w:p>
        </w:tc>
      </w:tr>
      <w:tr>
        <w:trPr>
          <w:trHeight w:val="47"/>
        </w:trPr>
        <w:tc>
          <w:tcPr>
            <w:tcW w:w="496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78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76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r>
    </w:tbl>
    <w:p>
      <w:pPr>
        <w:spacing w:after="0" w:line="20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To analyze the impact of changes in interest rates in a more realistic manner, non-parallel interest rate scenarios are also simulated. These non-parallel interest rate scenarios indicate that net interest income may decrease from the base case scenario should the yield curve flatten or become inverted for a period of time. Conversely, if the yield curve were to steepen, net interest income may increase.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 Risks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to interest rate risk, we are exposed to other forms of market risk in our normal business transactions. Foreign currency and foreign exchange contracts expose us to a small degree of foreign currency risk. These transactions are primarily executed on behalf of customers. Our trust and asset management income are at risk to fluctuations in the market values of underlying assets, particularly debt and equity securities. Also, our share-based compensation expense is dependent on the fair value of our stock options, restricted stock units, and restricted stock at the date of grant. The fair value of stock options, restricted stock units, and restricted stock is impacted by the market price of the Parent’s common stock on the date of grant and is at risk to changes in equity markets, general economic conditions, and other factors.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30" w:right="33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Management</w:t>
      </w:r>
    </w:p>
    <w:p>
      <w:pPr>
        <w:spacing w:after="0" w:line="229"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The objective of our liquidity risk management process is to manage cash flow and liquidity in an effort to provide continuous access to sufficient, reasonably priced funds. Funding requirements are impacted by loan originations and refinancings, deposit balance changes, liability issuances and settlements, and off-balance sheet funding commitments. We consider and comply with various regulatory guidelines regarding required liquidity levels and periodically monitor our liquidity position in light of the changing economic environment and customer activity. Based on periodic liquidity assessments, we may alter our asset, liability, and off-balance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an effort to satisfy our liquidity needs, we actively manage our assets and liabilities. We have access to immediate liquid resources in the form of cash which is primarily on deposit with the FRB. Potential sources of liquidity also include investment securities in our available-for-sale securities portfolio and our ability to sell loans in the secondary market. Our held-to-maturity securities, while not intended for sale, may also be utilized in repurchase agreements to obtain funding. Our core deposits have historically provided us with a long-term source of stable and relatively lower cost source of funding. Additional funding is available through the issuance of long-term debt or equity.</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Maturities and payments on outstanding loans and investment securities also provide a steady flow of funds. Liquidity is further enhanced by our ability to pledge loans to access secured borrowings from the FHLB and FRB. As of June 30, 2020, we had additional borrowing capacity of $2.9 billion from the FHLB and $1.5 billion from the FRB based on the amount of collateral pledged.</w:t>
      </w:r>
    </w:p>
    <w:p>
      <w:pPr>
        <w:spacing w:after="0" w:line="18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continued our focus on maintaining a strong liquidity position throughout the first six months of 2020. As of June 30, 2020, cash and cash equivalents were $1.0 billion, the carrying value of our available-for-sale investment securities was $2.7 billion, and total deposits were $17.4 billion. As of June 30, 2020, our available-for-sale investment securities portfolio was comprised of securities with an average base duration of approximately 2.9 years.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229"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actively manage capital, commensurate with our risk profile,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8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 and the Bank are each subject to regulatory capital requirements administered by the federal banking agencies.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June 30, 2020, the Company and the Bank were considered “well-capitalized” under this regulatory framework. The Company’s regulatory capital ratios are presented in Table 20 below. There have been no conditions or events since June 30, 2020, that management believes have changed either the Company’s or the Bank’s capital classifications.</w:t>
      </w:r>
    </w:p>
    <w:p>
      <w:pPr>
        <w:spacing w:after="0" w:line="17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June 30, 2020, shareholders’ equity was $1.4 billion, an increase of $65.3 million or 5% from December 31, 2019. For the first six months of 2020, net income of $73.7 million, common stock issuances of $5.7 million, share-based compensation of $3.7 million, and other comprehensive income of $50.0 million were partially offset by cash dividends paid of $53.7 million and common stock repurchased of $17.8 million. In the first six months of 2020, we repurchased 156,358 shares under our share repurchase program. These shares were repurchased at an average cost per share of $89.32 and a total cost of $14.0 million. From the beginning of our share repurchase program in July 2001 through June 30, 2020, we repurchased a total of 57.1 million shares of common stock and returned a total of $2.3 billion to our shareholders at an average cost of $40.51 per share.</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Remaining buyback authority under our share repurchase program was $113.1 million as of June 30, 2020. In March 2020, we suspended share repurchases in light of the COVID-19 pandemic. We believe the suspension, while conservative, is prudent given uncertainty regarding the length and severity of the COVID-19 pandemic. The actual amount and timing of future share repurchases, if any, will depend on market and economic conditions, regulatory rules, applicable SEC rules, and various other factors.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30" w:right="33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July 2020, the Parent’s Board of Directors declared a quarterly cash dividend of $0.67 per share on the Parent’s outstanding shares. The dividend will be payable on September 14, 2020, to shareholders of record at the close of business on August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Table 20 presents our regulatory capital and ratios as of June 30, 2020, and December 31, 2019.</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6080" w:type="dxa"/>
            <w:vAlign w:val="bottom"/>
            <w:gridSpan w:val="4"/>
          </w:tcPr>
          <w:p>
            <w:pPr>
              <w:spacing w:after="0"/>
              <w:rPr>
                <w:sz w:val="20"/>
                <w:szCs w:val="20"/>
                <w:color w:val="auto"/>
              </w:rPr>
            </w:pPr>
            <w:r>
              <w:rPr>
                <w:rFonts w:ascii="Arial" w:cs="Arial" w:eastAsia="Arial" w:hAnsi="Arial"/>
                <w:sz w:val="16"/>
                <w:szCs w:val="16"/>
                <w:b w:val="1"/>
                <w:bCs w:val="1"/>
                <w:color w:val="auto"/>
              </w:rPr>
              <w:t>Regulatory Capital and Ratios</w:t>
            </w:r>
          </w:p>
        </w:tc>
        <w:tc>
          <w:tcPr>
            <w:tcW w:w="2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Table 20</w:t>
            </w:r>
          </w:p>
        </w:tc>
      </w:tr>
      <w:tr>
        <w:trPr>
          <w:trHeight w:val="33"/>
        </w:trPr>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52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December 31,</w:t>
            </w:r>
          </w:p>
        </w:tc>
        <w:tc>
          <w:tcPr>
            <w:tcW w:w="220" w:type="dxa"/>
            <w:vAlign w:val="bottom"/>
          </w:tcPr>
          <w:p>
            <w:pPr>
              <w:spacing w:after="0"/>
              <w:rPr>
                <w:sz w:val="18"/>
                <w:szCs w:val="18"/>
                <w:color w:val="auto"/>
              </w:rPr>
            </w:pPr>
          </w:p>
        </w:tc>
      </w:tr>
      <w:tr>
        <w:trPr>
          <w:trHeight w:val="237"/>
        </w:trPr>
        <w:tc>
          <w:tcPr>
            <w:tcW w:w="4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(dollars in thousands)</w:t>
            </w:r>
          </w:p>
        </w:tc>
        <w:tc>
          <w:tcPr>
            <w:tcW w:w="20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20"/>
                <w:szCs w:val="20"/>
                <w:color w:val="auto"/>
              </w:rPr>
            </w:pPr>
          </w:p>
        </w:tc>
      </w:tr>
      <w:tr>
        <w:trPr>
          <w:trHeight w:val="202"/>
        </w:trPr>
        <w:tc>
          <w:tcPr>
            <w:tcW w:w="40" w:type="dxa"/>
            <w:vAlign w:val="bottom"/>
            <w:shd w:val="clear" w:color="auto" w:fill="CCEEFF"/>
          </w:tcPr>
          <w:p>
            <w:pPr>
              <w:spacing w:after="0"/>
              <w:rPr>
                <w:sz w:val="17"/>
                <w:szCs w:val="17"/>
                <w:color w:val="auto"/>
              </w:rPr>
            </w:pPr>
          </w:p>
        </w:tc>
        <w:tc>
          <w:tcPr>
            <w:tcW w:w="60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Regulatory Capital</w:t>
            </w:r>
          </w:p>
        </w:tc>
        <w:tc>
          <w:tcPr>
            <w:tcW w:w="20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96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37"/>
        </w:trPr>
        <w:tc>
          <w:tcPr>
            <w:tcW w:w="40" w:type="dxa"/>
            <w:vAlign w:val="bottom"/>
          </w:tcPr>
          <w:p>
            <w:pPr>
              <w:spacing w:after="0"/>
              <w:rPr>
                <w:sz w:val="20"/>
                <w:szCs w:val="20"/>
                <w:color w:val="auto"/>
              </w:rPr>
            </w:pPr>
          </w:p>
        </w:tc>
        <w:tc>
          <w:tcPr>
            <w:tcW w:w="6080" w:type="dxa"/>
            <w:vAlign w:val="bottom"/>
            <w:gridSpan w:val="4"/>
          </w:tcPr>
          <w:p>
            <w:pPr>
              <w:spacing w:after="0"/>
              <w:rPr>
                <w:sz w:val="20"/>
                <w:szCs w:val="20"/>
                <w:color w:val="auto"/>
              </w:rPr>
            </w:pPr>
            <w:r>
              <w:rPr>
                <w:rFonts w:ascii="Arial" w:cs="Arial" w:eastAsia="Arial" w:hAnsi="Arial"/>
                <w:sz w:val="16"/>
                <w:szCs w:val="16"/>
                <w:color w:val="auto"/>
              </w:rPr>
              <w:t>Shareholders’ Equity</w:t>
            </w:r>
          </w:p>
        </w:tc>
        <w:tc>
          <w:tcPr>
            <w:tcW w:w="20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1,352,082</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1,286,832</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Add:</w:t>
            </w:r>
          </w:p>
        </w:tc>
        <w:tc>
          <w:tcPr>
            <w:tcW w:w="5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CECL Transitional Amount</w:t>
            </w:r>
          </w:p>
        </w:tc>
        <w:tc>
          <w:tcPr>
            <w:tcW w:w="20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12,413</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Arial" w:cs="Arial" w:eastAsia="Arial" w:hAnsi="Arial"/>
                <w:sz w:val="16"/>
                <w:szCs w:val="16"/>
                <w:color w:val="auto"/>
              </w:rPr>
              <w:t>Less:</w:t>
            </w:r>
          </w:p>
        </w:tc>
        <w:tc>
          <w:tcPr>
            <w:tcW w:w="5580" w:type="dxa"/>
            <w:vAlign w:val="bottom"/>
            <w:gridSpan w:val="3"/>
          </w:tcPr>
          <w:p>
            <w:pPr>
              <w:ind w:left="18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1</w:t>
            </w:r>
          </w:p>
        </w:tc>
        <w:tc>
          <w:tcPr>
            <w:tcW w:w="2020" w:type="dxa"/>
            <w:vAlign w:val="bottom"/>
          </w:tcPr>
          <w:p>
            <w:pPr>
              <w:spacing w:after="0"/>
              <w:rPr>
                <w:sz w:val="23"/>
                <w:szCs w:val="23"/>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28,718</w:t>
            </w:r>
          </w:p>
        </w:tc>
        <w:tc>
          <w:tcPr>
            <w:tcW w:w="52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28,718</w:t>
            </w:r>
          </w:p>
        </w:tc>
        <w:tc>
          <w:tcPr>
            <w:tcW w:w="220" w:type="dxa"/>
            <w:vAlign w:val="bottom"/>
          </w:tcPr>
          <w:p>
            <w:pPr>
              <w:spacing w:after="0"/>
              <w:rPr>
                <w:sz w:val="23"/>
                <w:szCs w:val="2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Postretirement Benefit Liability Adjustments</w:t>
            </w:r>
          </w:p>
        </w:tc>
        <w:tc>
          <w:tcPr>
            <w:tcW w:w="20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(38,009)</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(38,757)</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580" w:type="dxa"/>
            <w:vAlign w:val="bottom"/>
            <w:gridSpan w:val="3"/>
          </w:tcPr>
          <w:p>
            <w:pPr>
              <w:ind w:left="180"/>
              <w:spacing w:after="0"/>
              <w:rPr>
                <w:sz w:val="20"/>
                <w:szCs w:val="20"/>
                <w:color w:val="auto"/>
              </w:rPr>
            </w:pPr>
            <w:r>
              <w:rPr>
                <w:rFonts w:ascii="Arial" w:cs="Arial" w:eastAsia="Arial" w:hAnsi="Arial"/>
                <w:sz w:val="16"/>
                <w:szCs w:val="16"/>
                <w:color w:val="auto"/>
              </w:rPr>
              <w:t xml:space="preserve">Net Unrealized Gains (Losses) on Investment Securities </w:t>
            </w:r>
            <w:r>
              <w:rPr>
                <w:rFonts w:ascii="Arial" w:cs="Arial" w:eastAsia="Arial" w:hAnsi="Arial"/>
                <w:sz w:val="21"/>
                <w:szCs w:val="21"/>
                <w:color w:val="auto"/>
                <w:vertAlign w:val="superscript"/>
              </w:rPr>
              <w:t>2</w:t>
            </w:r>
          </w:p>
        </w:tc>
        <w:tc>
          <w:tcPr>
            <w:tcW w:w="2020" w:type="dxa"/>
            <w:vAlign w:val="bottom"/>
          </w:tcPr>
          <w:p>
            <w:pPr>
              <w:spacing w:after="0"/>
              <w:rPr>
                <w:sz w:val="23"/>
                <w:szCs w:val="23"/>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56,934</w:t>
            </w:r>
          </w:p>
        </w:tc>
        <w:tc>
          <w:tcPr>
            <w:tcW w:w="52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7,645</w:t>
            </w:r>
          </w:p>
        </w:tc>
        <w:tc>
          <w:tcPr>
            <w:tcW w:w="220" w:type="dxa"/>
            <w:vAlign w:val="bottom"/>
          </w:tcPr>
          <w:p>
            <w:pPr>
              <w:spacing w:after="0"/>
              <w:rPr>
                <w:sz w:val="23"/>
                <w:szCs w:val="23"/>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0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31"/>
        </w:trPr>
        <w:tc>
          <w:tcPr>
            <w:tcW w:w="40" w:type="dxa"/>
            <w:vAlign w:val="bottom"/>
            <w:tcBorders>
              <w:top w:val="single" w:sz="8" w:color="auto"/>
            </w:tcBorders>
          </w:tcPr>
          <w:p>
            <w:pPr>
              <w:spacing w:after="0"/>
              <w:rPr>
                <w:sz w:val="20"/>
                <w:szCs w:val="20"/>
                <w:color w:val="auto"/>
              </w:rPr>
            </w:pPr>
          </w:p>
        </w:tc>
        <w:tc>
          <w:tcPr>
            <w:tcW w:w="608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Common Equity Tier 1 Capital</w:t>
            </w:r>
          </w:p>
        </w:tc>
        <w:tc>
          <w:tcPr>
            <w:tcW w:w="20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1,317,050</w:t>
            </w: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1,289,424</w:t>
            </w:r>
          </w:p>
        </w:tc>
        <w:tc>
          <w:tcPr>
            <w:tcW w:w="220" w:type="dxa"/>
            <w:vAlign w:val="bottom"/>
            <w:tcBorders>
              <w:top w:val="single" w:sz="8" w:color="auto"/>
            </w:tcBorders>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69"/>
        </w:trPr>
        <w:tc>
          <w:tcPr>
            <w:tcW w:w="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3960" w:type="dxa"/>
            <w:vAlign w:val="bottom"/>
            <w:tcBorders>
              <w:bottom w:val="single" w:sz="8" w:color="auto"/>
            </w:tcBorders>
            <w:shd w:val="clear" w:color="auto" w:fill="CCEEFF"/>
          </w:tcPr>
          <w:p>
            <w:pPr>
              <w:spacing w:after="0"/>
              <w:rPr>
                <w:sz w:val="14"/>
                <w:szCs w:val="14"/>
                <w:color w:val="auto"/>
              </w:rPr>
            </w:pPr>
          </w:p>
        </w:tc>
        <w:tc>
          <w:tcPr>
            <w:tcW w:w="20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r>
      <w:tr>
        <w:trPr>
          <w:trHeight w:val="231"/>
        </w:trPr>
        <w:tc>
          <w:tcPr>
            <w:tcW w:w="40" w:type="dxa"/>
            <w:vAlign w:val="bottom"/>
          </w:tcPr>
          <w:p>
            <w:pPr>
              <w:spacing w:after="0"/>
              <w:rPr>
                <w:sz w:val="20"/>
                <w:szCs w:val="20"/>
                <w:color w:val="auto"/>
              </w:rPr>
            </w:pPr>
          </w:p>
        </w:tc>
        <w:tc>
          <w:tcPr>
            <w:tcW w:w="6080" w:type="dxa"/>
            <w:vAlign w:val="bottom"/>
            <w:gridSpan w:val="4"/>
          </w:tcPr>
          <w:p>
            <w:pPr>
              <w:spacing w:after="0"/>
              <w:rPr>
                <w:sz w:val="20"/>
                <w:szCs w:val="20"/>
                <w:color w:val="auto"/>
              </w:rPr>
            </w:pPr>
            <w:r>
              <w:rPr>
                <w:rFonts w:ascii="Arial" w:cs="Arial" w:eastAsia="Arial" w:hAnsi="Arial"/>
                <w:sz w:val="16"/>
                <w:szCs w:val="16"/>
                <w:color w:val="auto"/>
              </w:rPr>
              <w:t>Tier 1 Capital</w:t>
            </w:r>
          </w:p>
        </w:tc>
        <w:tc>
          <w:tcPr>
            <w:tcW w:w="202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1,317,050</w:t>
            </w:r>
          </w:p>
        </w:tc>
        <w:tc>
          <w:tcPr>
            <w:tcW w:w="5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1,289,424</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60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Allowable Reserve for Credit Losses</w:t>
            </w:r>
          </w:p>
        </w:tc>
        <w:tc>
          <w:tcPr>
            <w:tcW w:w="20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137,122</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116,849</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31"/>
        </w:trPr>
        <w:tc>
          <w:tcPr>
            <w:tcW w:w="40" w:type="dxa"/>
            <w:vAlign w:val="bottom"/>
            <w:tcBorders>
              <w:top w:val="single" w:sz="8" w:color="auto"/>
            </w:tcBorders>
          </w:tcPr>
          <w:p>
            <w:pPr>
              <w:spacing w:after="0"/>
              <w:rPr>
                <w:sz w:val="20"/>
                <w:szCs w:val="20"/>
                <w:color w:val="auto"/>
              </w:rPr>
            </w:pPr>
          </w:p>
        </w:tc>
        <w:tc>
          <w:tcPr>
            <w:tcW w:w="6080" w:type="dxa"/>
            <w:vAlign w:val="bottom"/>
            <w:tcBorders>
              <w:top w:val="single" w:sz="8" w:color="auto"/>
            </w:tcBorders>
            <w:gridSpan w:val="4"/>
          </w:tcPr>
          <w:p>
            <w:pPr>
              <w:spacing w:after="0"/>
              <w:rPr>
                <w:sz w:val="20"/>
                <w:szCs w:val="20"/>
                <w:color w:val="auto"/>
              </w:rPr>
            </w:pPr>
            <w:r>
              <w:rPr>
                <w:rFonts w:ascii="Arial" w:cs="Arial" w:eastAsia="Arial" w:hAnsi="Arial"/>
                <w:sz w:val="16"/>
                <w:szCs w:val="16"/>
                <w:b w:val="1"/>
                <w:bCs w:val="1"/>
                <w:color w:val="auto"/>
              </w:rPr>
              <w:t>Total Regulatory Capital</w:t>
            </w:r>
          </w:p>
        </w:tc>
        <w:tc>
          <w:tcPr>
            <w:tcW w:w="2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1,454,172</w:t>
            </w:r>
          </w:p>
        </w:tc>
        <w:tc>
          <w:tcPr>
            <w:tcW w:w="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1,406,273</w:t>
            </w:r>
          </w:p>
        </w:tc>
        <w:tc>
          <w:tcPr>
            <w:tcW w:w="220" w:type="dxa"/>
            <w:vAlign w:val="bottom"/>
            <w:tcBorders>
              <w:top w:val="single" w:sz="8" w:color="auto"/>
            </w:tcBorders>
          </w:tcPr>
          <w:p>
            <w:pPr>
              <w:spacing w:after="0"/>
              <w:rPr>
                <w:sz w:val="20"/>
                <w:szCs w:val="20"/>
                <w:color w:val="auto"/>
              </w:rPr>
            </w:pPr>
          </w:p>
        </w:tc>
      </w:tr>
      <w:tr>
        <w:trPr>
          <w:trHeight w:val="73"/>
        </w:trPr>
        <w:tc>
          <w:tcPr>
            <w:tcW w:w="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96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r>
      <w:tr>
        <w:trPr>
          <w:trHeight w:val="250"/>
        </w:trPr>
        <w:tc>
          <w:tcPr>
            <w:tcW w:w="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396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r>
      <w:tr>
        <w:trPr>
          <w:trHeight w:val="231"/>
        </w:trPr>
        <w:tc>
          <w:tcPr>
            <w:tcW w:w="40" w:type="dxa"/>
            <w:vAlign w:val="bottom"/>
          </w:tcPr>
          <w:p>
            <w:pPr>
              <w:spacing w:after="0"/>
              <w:rPr>
                <w:sz w:val="20"/>
                <w:szCs w:val="20"/>
                <w:color w:val="auto"/>
              </w:rPr>
            </w:pPr>
          </w:p>
        </w:tc>
        <w:tc>
          <w:tcPr>
            <w:tcW w:w="6080" w:type="dxa"/>
            <w:vAlign w:val="bottom"/>
            <w:gridSpan w:val="4"/>
          </w:tcPr>
          <w:p>
            <w:pPr>
              <w:spacing w:after="0"/>
              <w:rPr>
                <w:sz w:val="20"/>
                <w:szCs w:val="20"/>
                <w:color w:val="auto"/>
              </w:rPr>
            </w:pPr>
            <w:r>
              <w:rPr>
                <w:rFonts w:ascii="Arial" w:cs="Arial" w:eastAsia="Arial" w:hAnsi="Arial"/>
                <w:sz w:val="16"/>
                <w:szCs w:val="16"/>
                <w:b w:val="1"/>
                <w:bCs w:val="1"/>
                <w:color w:val="auto"/>
              </w:rPr>
              <w:t>Risk-Weighted Assets</w:t>
            </w:r>
          </w:p>
        </w:tc>
        <w:tc>
          <w:tcPr>
            <w:tcW w:w="20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10,941,894</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10,589,061</w:t>
            </w:r>
          </w:p>
        </w:tc>
        <w:tc>
          <w:tcPr>
            <w:tcW w:w="220" w:type="dxa"/>
            <w:vAlign w:val="bottom"/>
          </w:tcPr>
          <w:p>
            <w:pPr>
              <w:spacing w:after="0"/>
              <w:rPr>
                <w:sz w:val="20"/>
                <w:szCs w:val="20"/>
                <w:color w:val="auto"/>
              </w:rPr>
            </w:pPr>
          </w:p>
        </w:tc>
      </w:tr>
      <w:tr>
        <w:trPr>
          <w:trHeight w:val="73"/>
        </w:trPr>
        <w:tc>
          <w:tcPr>
            <w:tcW w:w="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96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r>
      <w:tr>
        <w:trPr>
          <w:trHeight w:val="251"/>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9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6080" w:type="dxa"/>
            <w:vAlign w:val="bottom"/>
            <w:gridSpan w:val="4"/>
          </w:tcPr>
          <w:p>
            <w:pPr>
              <w:spacing w:after="0"/>
              <w:rPr>
                <w:sz w:val="20"/>
                <w:szCs w:val="20"/>
                <w:color w:val="auto"/>
              </w:rPr>
            </w:pPr>
            <w:r>
              <w:rPr>
                <w:rFonts w:ascii="Arial" w:cs="Arial" w:eastAsia="Arial" w:hAnsi="Arial"/>
                <w:sz w:val="16"/>
                <w:szCs w:val="16"/>
                <w:b w:val="1"/>
                <w:bCs w:val="1"/>
                <w:color w:val="auto"/>
              </w:rPr>
              <w:t>Key Regulatory Capital Ratios</w:t>
            </w:r>
          </w:p>
        </w:tc>
        <w:tc>
          <w:tcPr>
            <w:tcW w:w="2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39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60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Common Equity Tier 1 Capital Ratio</w:t>
            </w:r>
          </w:p>
        </w:tc>
        <w:tc>
          <w:tcPr>
            <w:tcW w:w="20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12.04</w:t>
            </w:r>
          </w:p>
        </w:tc>
        <w:tc>
          <w:tcPr>
            <w:tcW w:w="5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0" w:type="dxa"/>
            <w:vAlign w:val="bottom"/>
          </w:tcPr>
          <w:p>
            <w:pPr>
              <w:spacing w:after="0"/>
              <w:rPr>
                <w:sz w:val="20"/>
                <w:szCs w:val="20"/>
                <w:color w:val="auto"/>
              </w:rPr>
            </w:pPr>
          </w:p>
        </w:tc>
        <w:tc>
          <w:tcPr>
            <w:tcW w:w="6080" w:type="dxa"/>
            <w:vAlign w:val="bottom"/>
            <w:gridSpan w:val="4"/>
          </w:tcPr>
          <w:p>
            <w:pPr>
              <w:spacing w:after="0"/>
              <w:rPr>
                <w:sz w:val="20"/>
                <w:szCs w:val="20"/>
                <w:color w:val="auto"/>
              </w:rPr>
            </w:pPr>
            <w:r>
              <w:rPr>
                <w:rFonts w:ascii="Arial" w:cs="Arial" w:eastAsia="Arial" w:hAnsi="Arial"/>
                <w:sz w:val="16"/>
                <w:szCs w:val="16"/>
                <w:color w:val="auto"/>
              </w:rPr>
              <w:t>Tier 1 Capital Ratio</w:t>
            </w:r>
          </w:p>
        </w:tc>
        <w:tc>
          <w:tcPr>
            <w:tcW w:w="202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12.04</w:t>
            </w:r>
          </w:p>
        </w:tc>
        <w:tc>
          <w:tcPr>
            <w:tcW w:w="5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12.18</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Total Capital Ratio</w:t>
            </w:r>
          </w:p>
        </w:tc>
        <w:tc>
          <w:tcPr>
            <w:tcW w:w="20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13.29</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13.28</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6080" w:type="dxa"/>
            <w:vAlign w:val="bottom"/>
            <w:gridSpan w:val="4"/>
          </w:tcPr>
          <w:p>
            <w:pPr>
              <w:spacing w:after="0"/>
              <w:rPr>
                <w:sz w:val="20"/>
                <w:szCs w:val="20"/>
                <w:color w:val="auto"/>
              </w:rPr>
            </w:pPr>
            <w:r>
              <w:rPr>
                <w:rFonts w:ascii="Arial" w:cs="Arial" w:eastAsia="Arial" w:hAnsi="Arial"/>
                <w:sz w:val="16"/>
                <w:szCs w:val="16"/>
                <w:color w:val="auto"/>
              </w:rPr>
              <w:t>Tier 1 Leverage Ratio</w:t>
            </w:r>
          </w:p>
        </w:tc>
        <w:tc>
          <w:tcPr>
            <w:tcW w:w="202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6.90</w:t>
            </w:r>
          </w:p>
        </w:tc>
        <w:tc>
          <w:tcPr>
            <w:tcW w:w="5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7.25</w:t>
            </w:r>
          </w:p>
        </w:tc>
        <w:tc>
          <w:tcPr>
            <w:tcW w:w="220" w:type="dxa"/>
            <w:vAlign w:val="bottom"/>
          </w:tcPr>
          <w:p>
            <w:pPr>
              <w:spacing w:after="0"/>
              <w:rPr>
                <w:sz w:val="20"/>
                <w:szCs w:val="20"/>
                <w:color w:val="auto"/>
              </w:rPr>
            </w:pPr>
          </w:p>
        </w:tc>
      </w:tr>
    </w:tbl>
    <w:p>
      <w:pPr>
        <w:spacing w:after="0" w:line="122" w:lineRule="exact"/>
        <w:rPr>
          <w:sz w:val="20"/>
          <w:szCs w:val="20"/>
          <w:color w:val="auto"/>
        </w:rPr>
      </w:pPr>
    </w:p>
    <w:p>
      <w:pPr>
        <w:ind w:left="80" w:hanging="72"/>
        <w:spacing w:after="0"/>
        <w:tabs>
          <w:tab w:leader="none" w:pos="80" w:val="left"/>
        </w:tabs>
        <w:numPr>
          <w:ilvl w:val="0"/>
          <w:numId w:val="51"/>
        </w:numPr>
        <w:rPr>
          <w:rFonts w:ascii="Arial" w:cs="Arial" w:eastAsia="Arial" w:hAnsi="Arial"/>
          <w:sz w:val="9"/>
          <w:szCs w:val="9"/>
          <w:color w:val="auto"/>
        </w:rPr>
      </w:pPr>
      <w:r>
        <w:rPr>
          <w:rFonts w:ascii="Arial" w:cs="Arial" w:eastAsia="Arial" w:hAnsi="Arial"/>
          <w:sz w:val="14"/>
          <w:szCs w:val="14"/>
          <w:color w:val="auto"/>
        </w:rPr>
        <w:t>Calculated net of deferred tax liabilities.</w:t>
      </w:r>
    </w:p>
    <w:p>
      <w:pPr>
        <w:spacing w:after="0" w:line="13" w:lineRule="exact"/>
        <w:rPr>
          <w:sz w:val="20"/>
          <w:szCs w:val="20"/>
          <w:color w:val="auto"/>
        </w:rPr>
      </w:pPr>
    </w:p>
    <w:p>
      <w:pPr>
        <w:ind w:left="80" w:hanging="72"/>
        <w:spacing w:after="0"/>
        <w:tabs>
          <w:tab w:leader="none" w:pos="80" w:val="left"/>
        </w:tabs>
        <w:numPr>
          <w:ilvl w:val="0"/>
          <w:numId w:val="52"/>
        </w:numPr>
        <w:rPr>
          <w:rFonts w:ascii="Arial" w:cs="Arial" w:eastAsia="Arial" w:hAnsi="Arial"/>
          <w:sz w:val="9"/>
          <w:szCs w:val="9"/>
          <w:color w:val="auto"/>
        </w:rPr>
      </w:pPr>
      <w:r>
        <w:rPr>
          <w:rFonts w:ascii="Arial" w:cs="Arial" w:eastAsia="Arial" w:hAnsi="Arial"/>
          <w:sz w:val="14"/>
          <w:szCs w:val="14"/>
          <w:color w:val="auto"/>
        </w:rPr>
        <w:t>Includes unrealized gains and losses related to the Company’s reclassification of available-for-sale investment securities to the held-to-maturity category.</w:t>
      </w:r>
    </w:p>
    <w:p>
      <w:pPr>
        <w:spacing w:after="0" w:line="15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have elected to apply the modified transition provision related to the impact of the CECL accounting standard on regulatory capital, as provided by the US banking agencies’ March 2020 interim final rule. Under the modified CECL transition provision, the regulatory capital impact of the Day 1 adjustment to the allowance for credit losses (after-tax), upon the January 1, 2020, CECL adoption date, has been deferred, and will phase in to regulatory capital at 25% per year commencing January 1, 2022. For the ongoing impact of CECL, we are allowed to defer the regulatory capital impact of the allowance for credit losses in an amount equal to 25% of the change in the allowance for credit losses (pre-tax) recognized through earnings for each period between January 1, 2020, and December 31, 2021. The cumulative adjustment to the allowance for credit losses between January 1, 2020, and December 31, 2021, will also phase in to regulatory capital at 25% per year commencing 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30" w:right="33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Initiatives Affecting the Banking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Basel III</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Under final FRB and FDIC approved rules implementing the Basel Committee on Banking Supervision’s capital guidelines for U.S. banks minimum requirements increased for both the quantity and quality of capital held by the Company. The Basel III capital standards substantially revised the risk based capital requirements applicable to bank holding companies and their depository institution subsidiaries, including the definitions and the components of Tier 1 capital and total capital, the method of evaluating risk-weighted assets, institutions of a capital conservation buffer, and other matters affecting regulatory capital ratios. Strict eligibility criteria for regulatory capital instruments were also implemented under the rules.</w:t>
      </w:r>
    </w:p>
    <w:p>
      <w:pPr>
        <w:spacing w:after="0" w:line="1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phase-in period for the final rules became effective for the Company on January 1, 2015, with full compliance with all of the final rules’ requirements phased in over a multi-year schedule, which was fully phased in on January 1, 2019. As of June 30, 2020, the Company’s capital levels remained characterized as “well-capitalized” under the new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monitor regulatory developments and their potential impact to the Company’s liquidity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Stress Testing</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Enactment of the Economic Growth, Regulatory Relief, and Consumer Protection Act in May 2018 significantly altered several provisions of the Dodd-Frank Act, including how stress tests are run. Bank holding companies with assets of less than $100 billion, such as the Company, are no longer subject to company-run stress testing requirements in section 165(i)(2) of the Dodd-Frank Act, including publishing a summary of results. At this time, the Company continues to run internal stress tests as a component of our comprehensive risk management and capital planning process.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27, 2020, President Trump signed the Coronavirus Aid, Relief, and Economic Security (“CARES”) Act into law. The CARES Act established several new temporary U.S. Small Business Administration (“SBA”) loan programs to assist U.S. small businesses through the COVID-19 pandemic. One of the new loan programs is the Paycheck Protection Program, an expansion of the SBA’s 7(a) loan program and the Economic Injury Disaster Loan Program.</w:t>
      </w:r>
    </w:p>
    <w:p>
      <w:pPr>
        <w:spacing w:after="0" w:line="18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PPP provides loans to small businesses who were affected by economic conditions as a result of COVID-19 to provide cash-flow assistance to employers who maintain their payroll (including healthcare and certain related expenses), mortgage interest, rent, leases, utilities and interest on existing debt during this emergency. Eligible borrowers need to make a good faith certification that the uncertainty of current economic conditions make requesting assistance necessary to support ongoing operations. Pursuant to the provisions of Section 1106 of the CARES Act, borrowers may apply to the Bank for loan forgiveness of all or a portion of the loan, subject to certain eligibility requirements and conditions.</w:t>
      </w:r>
    </w:p>
    <w:p>
      <w:pPr>
        <w:spacing w:after="0" w:line="1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Bank is an SBA lender and began accepting applications under the CARES Act via its online application process on April 3, 2020. Through July 29, 2020, the Bank originated over 4,500 PPP loans totaling approximately $560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Operating Risk Committee (the “ORC”) provides oversight and assesses the most significant operational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and Risk Committee of the Board of Directors.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30" w:right="33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Credit Commitments,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hold interests in several unconsolidated VIEs. These unconsolidated VIEs are primarily low-income housing partnerships and solar energy partnerships.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 See Note 1 to the Consolidated Financial Statements for more information. See Note 1 to the Consolidated Financial Statements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Contractual Obligations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credit commitments and contractual obligations have not changed materially since previously reported in our Annual Report on Form 10-K for the year ended December 31, 2019.</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Application of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Pending Adoption</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This ASU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Finally, it clarifies that single-member limited liability companies and similar disregarded entities that are not subject to income tax are not required to recognize an allocation of consolidated income tax expense in their separate financial statements, but they could elect to do so. ASU 2019-12 is effective for interim and annual reporting periods beginning after December 15, 2020, early adoption is permitted. The Company is currently evaluating this ASU to determine any potential impact to the Company’s Consolidated Financial Statements.</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“Facilitation of the Effects of Reference Rate Reform on Financial Reporting.”</w:t>
      </w:r>
      <w:r>
        <w:rPr>
          <w:rFonts w:ascii="Arial" w:cs="Arial" w:eastAsia="Arial" w:hAnsi="Arial"/>
          <w:sz w:val="17"/>
          <w:szCs w:val="17"/>
          <w:color w:val="auto"/>
        </w:rPr>
        <w:t xml:space="preserve"> This ASU provides temporary optional expedients and exceptions to GAAP guidance on contract modifications and hedge accounting to ease the financial reporting burdens of the expected market transition from LIBOR and other interbank offered rates to alternative reference rates, such as SOFR. For instance, entities can (1) elect not to apply certain modification accounting requirements to contracts affected by reference rate reform, if certain criteria are met. An entity that makes this election would not have to remeasure the contracts at the modification date or reassess a previous accounting determination. Entities can also (2) elect various optional expedients that would allow them to continue applying hedge accounting for hedging relationships affected by reference rate reform, if certain criteria are met. Finally, entities can (3) make a one-time election to sell and/or reclassify held-to-maturity (“HTM”) debt securities that reference an interest rate affected by reference rate reform. ASU 2020-04 is effective March 12, 2020, through December 31, 2022. The Company will elect (1) above for all contract modifications that meet the stated criteria. As the Company currently does not utilize hedge accounting, (2) above is currently not applicable. The Company currently does not have HTM debt securities that reference an interest rate, such as LIBOR, affected by reference rate reform, and therefore, (3) above is currently not applicable.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Consolidated Financial Statements for the accounting standards adopted in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30" w:right="33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“Market Risk” of this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June 30, 2020. The Company’s disclosure controls and procedures are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the Company’s Chief Executive Officer and Chief Financial Officer, to allow timely decisions regarding required disclosure. Based on this evaluation, the Chief Executive Officer and Chief Financial Officer concluded that the Company’s disclosure controls and procedures were effective as of June 30,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quarter ended June 30, 2020, that have materially affected or are reasonably likely to materially affect the Company’s internal control over financial reporting.</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80"/>
          </w:cols>
          <w:pgMar w:left="320" w:top="130" w:right="39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are no material changes from the risk factors set forth under Part I, Item 1A. “Risk Factors” in the Company’s Annual Report on Form 10-K for the year ended December 31, 2019, except as described below.</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Changes in business and economic conditions, in particular those of Hawaii, Guam and other Pacific Islands, are expected to lead to lower revenue, lower asset quality, and lower earnings.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business and earnings are closely tied to the economies of Hawaii and the Pacific Islands. These local economies rely heavily on tourism, the U.S. military, real estate, construction, government, and other service-based industries. Lower visitor arrivals or spending, real or threatened acts of war or terrorism, public unrest, increases in energy costs, the availability of affordable air transportation, climate change, natural disasters and adverse weather, public health issues including Asian air pollution and the spread of the COVID-19 virus, and Federal, State of Hawaii and local government budget issues may impact consumer and corporate spending.</w:t>
      </w:r>
    </w:p>
    <w:p>
      <w:pPr>
        <w:spacing w:after="0" w:line="18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impacts of various travel restrictions, stay-at-home orders and quarantine requirements for visitors to Hawaii has had a dramatic negative impact on tourism. These events have contributed to a significant deterioration in general economic conditions in our markets which will adversely impact us and our customers’ operations. It is uncertain how long these conditions will last or how significant the impacts will be in Hawaii and the Pacific Islands.</w:t>
      </w:r>
    </w:p>
    <w:p>
      <w:pPr>
        <w:spacing w:after="0" w:line="149"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Recent deterioration of economic conditions, locally, nationally, or internationally could adversely affect the quality of our assets, credit losses, and the demand for our products and services, which could lead to lower revenues and lower earnings. The level of visitor arrivals and spending, housing prices, and unemployment rates are some of the metrics that we continually monitor. We also monitor the value of collateral, such as real estate, that secures the loans we have made. The borrowing power of our customers could also be negatively impacted by a decline in the value of collateral.</w:t>
      </w:r>
    </w:p>
    <w:p>
      <w:pPr>
        <w:spacing w:after="0" w:line="1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The COVID-19 pandemic has impacted the Hawaii economy and our business, and the extent and severity of the impact on our business and our financial results will depend on future developments, which are highly uncertain and cannot be predicted.</w:t>
      </w:r>
    </w:p>
    <w:p>
      <w:pPr>
        <w:spacing w:after="0" w:line="2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COVID-19 pandemic has negatively impacted the global economy, including in Hawaii and the Pacific Islands, disrupted global supply chains, created significant volatility and disruption in financial markets, and increased unemployment levels. The duration of the COVID-19 pandemic and its effects still cannot be determined with a reasonable level of certainty.</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Novel viruses such as COVID-19 increase concerns related to illness when traveling and gathering in large numbers. In response, the majority of the nation’s state and local jurisdictions imposed “shelter-in-place” orders, quarantines, executive orders or similar government orders and restrictions in order to control the spread of COVID-19. Some jurisdictions have re-imposed restrictions after previously lifting them or have delayed further lifting of restrictions. On March 23, 2020, the governor of Hawaii, signed a stay-at-home order and prohibited large gatherings. The order contained exceptions for certain essential activities. Furthermore, the stay-at-home order mandated all individuals arriving or returning to Hawaii by air be subject to a mandatory 14-day self-quarantine.</w:t>
      </w:r>
    </w:p>
    <w:p>
      <w:pPr>
        <w:spacing w:after="0" w:line="1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State of Hawaii’s stay-at-home order was originally set to expire on April 30, 2020, but was extended through May 31, 2020. The order was subsequently changed to a safer-at-home order extended through July 31, 2020, and may be extended further. The stay-at-home order and safer-at-home orders, along with the mandatory 14-day self-quarantine travel restrictions, have resulted in a dramatic decline in tourism in Hawaii. This decline in tourism has, and is expected to continue to have, a negative impact to the Hawaii economy and our financial results.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Though some of the original restrictions have been relaxed, the mandatory 14-day self-quarantine travel restriction has been extended through August 31, 2020, and may be further extended. The governor has indicated that beginning September 1, 2020, arriving passengers may avoid the self-quarantine requirements by providing proof of a recent negative test result for COVID-19. Whether, and by how much, this will increase visitor arrivals and restore the tourism industry is uncertain. It is also uncertain if the September 1, 2020, date will remain or be further delayed.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30" w:right="33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Travel restrictions and mandatory quarantines related to the COVID-19 pandemic have caused and will likely sustain the drop in tourism in Hawaii. Because many of our customers, both commercial and consumer, derive at least some of their income from tourism, this dramatic drop affects them directly, as well as the Hawaii economy as a whole. A downturn in the Hawaii economy and widespread impact to our customers’ income have a negative impact on our operations.</w:t>
      </w:r>
    </w:p>
    <w:p>
      <w:pPr>
        <w:spacing w:after="0" w:line="18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COVID-19 pandemic, the institution of physical distancing, and shelter-in-place requirements resulted in temporary closures of many businesses. As a result, the demand for our products and services has been and may continue to be significantly impacted. The COVID-19 pandemic could prompt credit losses in our loan portfolios and increase our allowance for credit losses, particularly as businesses remain closed and as more customers draw on lines of credit or seek additional loans to help finance their businesses. Our operations may also be disrupted if significant portions of our workforce are unable to work effectively, due to illness, quarantines, government actions, or other restrictions in connection with the COVID-19 pandemic. We have already temporarily closed certain of our branches and offices and many employees are now working remotely. Though we have re-opened some of our branches, others remain closed. Similarly, though some employees have returned to the office, many continue to work remotely and it is anticipated that staffing levels at our headquarters will remain lower than pre-pandemic levels for some time.</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response to the COVID-19 pandemic, we have suspended residential property foreclosure sales, evictions, and involuntary automobile repossessions. We are offering other expanded assistance to customers such as fee waivers, payment deferrals or forbearances, on automobile loans and leases, mortgages, home equity loans and lines, as well as commercial, small business and personal loans. The extent to which the COVID-19 pandemic impacts our business, results of operations, financial condition, regulatory capital, and liquidity ratios, will depend on future developments, which are highly uncertain. This is also true of the scope and duration of the COVID-19 pandemic, actions taken by governmental authorities, and actions taken by other third parties in response to the COVID-19 pandemic.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Parent’s repurchases of its common stock during the second quarter of 2020 were as follows:</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 Number of Shares</w:t>
            </w:r>
          </w:p>
        </w:tc>
        <w:tc>
          <w:tcPr>
            <w:tcW w:w="27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Approximate Dollar Value</w:t>
            </w:r>
          </w:p>
        </w:tc>
      </w:tr>
      <w:tr>
        <w:trPr>
          <w:trHeight w:val="203"/>
        </w:trPr>
        <w:tc>
          <w:tcPr>
            <w:tcW w:w="20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4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Purchased as Part of Publicly</w:t>
            </w:r>
          </w:p>
        </w:tc>
        <w:tc>
          <w:tcPr>
            <w:tcW w:w="27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of Shares that May Yet Be</w:t>
            </w:r>
          </w:p>
        </w:tc>
      </w:tr>
      <w:tr>
        <w:trPr>
          <w:trHeight w:val="203"/>
        </w:trPr>
        <w:tc>
          <w:tcPr>
            <w:tcW w:w="2040" w:type="dxa"/>
            <w:vAlign w:val="bottom"/>
          </w:tcPr>
          <w:p>
            <w:pPr>
              <w:spacing w:after="0"/>
              <w:rPr>
                <w:sz w:val="17"/>
                <w:szCs w:val="17"/>
                <w:color w:val="auto"/>
              </w:rPr>
            </w:pPr>
          </w:p>
        </w:tc>
        <w:tc>
          <w:tcPr>
            <w:tcW w:w="250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 Number of</w:t>
            </w: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Average Price Paid</w:t>
            </w:r>
          </w:p>
        </w:tc>
        <w:tc>
          <w:tcPr>
            <w:tcW w:w="2240" w:type="dxa"/>
            <w:vAlign w:val="bottom"/>
          </w:tcPr>
          <w:p>
            <w:pPr>
              <w:jc w:val="right"/>
              <w:ind w:right="19"/>
              <w:spacing w:after="0"/>
              <w:rPr>
                <w:sz w:val="20"/>
                <w:szCs w:val="20"/>
                <w:color w:val="auto"/>
              </w:rPr>
            </w:pPr>
            <w:r>
              <w:rPr>
                <w:rFonts w:ascii="Arial" w:cs="Arial" w:eastAsia="Arial" w:hAnsi="Arial"/>
                <w:sz w:val="16"/>
                <w:szCs w:val="16"/>
                <w:b w:val="1"/>
                <w:bCs w:val="1"/>
                <w:color w:val="auto"/>
              </w:rPr>
              <w:t>Announced Plans or</w:t>
            </w:r>
          </w:p>
        </w:tc>
        <w:tc>
          <w:tcPr>
            <w:tcW w:w="1160" w:type="dxa"/>
            <w:vAlign w:val="bottom"/>
          </w:tcPr>
          <w:p>
            <w:pPr>
              <w:spacing w:after="0"/>
              <w:rPr>
                <w:sz w:val="17"/>
                <w:szCs w:val="17"/>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Purchased Under the</w:t>
            </w:r>
          </w:p>
        </w:tc>
      </w:tr>
      <w:tr>
        <w:trPr>
          <w:trHeight w:val="250"/>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2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17"/>
                <w:szCs w:val="17"/>
                <w:b w:val="1"/>
                <w:bCs w:val="1"/>
                <w:color w:val="auto"/>
                <w:vertAlign w:val="superscript"/>
              </w:rPr>
              <w:t>1</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Per Share</w:t>
            </w:r>
          </w:p>
        </w:tc>
        <w:tc>
          <w:tcPr>
            <w:tcW w:w="2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Programs</w:t>
            </w:r>
          </w:p>
        </w:tc>
        <w:tc>
          <w:tcPr>
            <w:tcW w:w="1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7"/>
              </w:rPr>
              <w:t xml:space="preserve">Plans or Programs </w:t>
            </w:r>
            <w:r>
              <w:rPr>
                <w:rFonts w:ascii="Arial" w:cs="Arial" w:eastAsia="Arial" w:hAnsi="Arial"/>
                <w:sz w:val="17"/>
                <w:szCs w:val="17"/>
                <w:b w:val="1"/>
                <w:bCs w:val="1"/>
                <w:color w:val="auto"/>
                <w:w w:val="97"/>
                <w:vertAlign w:val="superscript"/>
              </w:rPr>
              <w:t>2</w:t>
            </w:r>
          </w:p>
        </w:tc>
      </w:tr>
      <w:tr>
        <w:trPr>
          <w:trHeight w:val="250"/>
        </w:trPr>
        <w:tc>
          <w:tcPr>
            <w:tcW w:w="20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shd w:val="clear" w:color="auto" w:fill="BFE4FF"/>
              </w:rPr>
              <w:t>April 1 - 30, 2020</w:t>
            </w:r>
          </w:p>
        </w:tc>
        <w:tc>
          <w:tcPr>
            <w:tcW w:w="2500" w:type="dxa"/>
            <w:vAlign w:val="bottom"/>
            <w:tcBorders>
              <w:bottom w:val="single" w:sz="8" w:color="BFE4FF"/>
            </w:tcBorders>
            <w:shd w:val="clear" w:color="auto" w:fill="BFE4FF"/>
          </w:tcPr>
          <w:p>
            <w:pPr>
              <w:jc w:val="right"/>
              <w:ind w:right="279"/>
              <w:spacing w:after="0"/>
              <w:rPr>
                <w:sz w:val="20"/>
                <w:szCs w:val="20"/>
                <w:color w:val="auto"/>
              </w:rPr>
            </w:pPr>
            <w:r>
              <w:rPr>
                <w:rFonts w:ascii="Arial" w:cs="Arial" w:eastAsia="Arial" w:hAnsi="Arial"/>
                <w:sz w:val="16"/>
                <w:szCs w:val="16"/>
                <w:color w:val="auto"/>
              </w:rPr>
              <w:t>2,488</w:t>
            </w:r>
          </w:p>
        </w:tc>
        <w:tc>
          <w:tcPr>
            <w:tcW w:w="3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BFE4FF"/>
            </w:tcBorders>
            <w:shd w:val="clear" w:color="auto" w:fill="BFE4FF"/>
          </w:tcPr>
          <w:p>
            <w:pPr>
              <w:jc w:val="right"/>
              <w:ind w:right="239"/>
              <w:spacing w:after="0"/>
              <w:rPr>
                <w:sz w:val="20"/>
                <w:szCs w:val="20"/>
                <w:color w:val="auto"/>
              </w:rPr>
            </w:pPr>
            <w:r>
              <w:rPr>
                <w:rFonts w:ascii="Arial" w:cs="Arial" w:eastAsia="Arial" w:hAnsi="Arial"/>
                <w:sz w:val="16"/>
                <w:szCs w:val="16"/>
                <w:color w:val="auto"/>
              </w:rPr>
              <w:t>59.58</w:t>
            </w:r>
          </w:p>
        </w:tc>
        <w:tc>
          <w:tcPr>
            <w:tcW w:w="22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113,073,521</w:t>
            </w:r>
          </w:p>
        </w:tc>
      </w:tr>
      <w:tr>
        <w:trPr>
          <w:trHeight w:val="237"/>
        </w:trPr>
        <w:tc>
          <w:tcPr>
            <w:tcW w:w="2040" w:type="dxa"/>
            <w:vAlign w:val="bottom"/>
          </w:tcPr>
          <w:p>
            <w:pPr>
              <w:ind w:left="40"/>
              <w:spacing w:after="0"/>
              <w:rPr>
                <w:sz w:val="20"/>
                <w:szCs w:val="20"/>
                <w:color w:val="auto"/>
              </w:rPr>
            </w:pPr>
            <w:r>
              <w:rPr>
                <w:rFonts w:ascii="Arial" w:cs="Arial" w:eastAsia="Arial" w:hAnsi="Arial"/>
                <w:sz w:val="16"/>
                <w:szCs w:val="16"/>
                <w:color w:val="auto"/>
              </w:rPr>
              <w:t>May 1 - 31, 2020</w:t>
            </w:r>
          </w:p>
        </w:tc>
        <w:tc>
          <w:tcPr>
            <w:tcW w:w="25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2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113,073,521</w:t>
            </w:r>
          </w:p>
        </w:tc>
      </w:tr>
      <w:tr>
        <w:trPr>
          <w:trHeight w:val="33"/>
        </w:trPr>
        <w:tc>
          <w:tcPr>
            <w:tcW w:w="20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20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shd w:val="clear" w:color="auto" w:fill="BFE4FF"/>
              </w:rPr>
              <w:t>June 1 - 30, 2020</w:t>
            </w:r>
          </w:p>
        </w:tc>
        <w:tc>
          <w:tcPr>
            <w:tcW w:w="2500" w:type="dxa"/>
            <w:vAlign w:val="bottom"/>
            <w:tcBorders>
              <w:bottom w:val="single" w:sz="8" w:color="BFE4FF"/>
            </w:tcBorders>
            <w:shd w:val="clear" w:color="auto" w:fill="BFE4FF"/>
          </w:tcPr>
          <w:p>
            <w:pPr>
              <w:jc w:val="right"/>
              <w:ind w:right="2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FE4FF"/>
            </w:tcBorders>
            <w:shd w:val="clear" w:color="auto" w:fill="BFE4FF"/>
          </w:tcPr>
          <w:p>
            <w:pPr>
              <w:spacing w:after="0"/>
              <w:rPr>
                <w:sz w:val="23"/>
                <w:szCs w:val="23"/>
                <w:color w:val="auto"/>
              </w:rPr>
            </w:pPr>
          </w:p>
        </w:tc>
        <w:tc>
          <w:tcPr>
            <w:tcW w:w="1300" w:type="dxa"/>
            <w:vAlign w:val="bottom"/>
            <w:tcBorders>
              <w:bottom w:val="single" w:sz="8" w:color="BFE4FF"/>
            </w:tcBorders>
            <w:shd w:val="clear" w:color="auto" w:fill="BFE4FF"/>
          </w:tcPr>
          <w:p>
            <w:pPr>
              <w:jc w:val="right"/>
              <w:ind w:right="239"/>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BFE4FF"/>
            </w:tcBorders>
            <w:shd w:val="clear" w:color="auto" w:fill="BFE4FF"/>
          </w:tcPr>
          <w:p>
            <w:pPr>
              <w:spacing w:after="0"/>
              <w:rPr>
                <w:sz w:val="23"/>
                <w:szCs w:val="23"/>
                <w:color w:val="auto"/>
              </w:rPr>
            </w:pPr>
          </w:p>
        </w:tc>
        <w:tc>
          <w:tcPr>
            <w:tcW w:w="16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113,073,521</w:t>
            </w:r>
          </w:p>
        </w:tc>
      </w:tr>
      <w:tr>
        <w:trPr>
          <w:trHeight w:val="230"/>
        </w:trPr>
        <w:tc>
          <w:tcPr>
            <w:tcW w:w="20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5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2,488</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59.58</w:t>
            </w:r>
          </w:p>
        </w:tc>
        <w:tc>
          <w:tcPr>
            <w:tcW w:w="2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20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
        </w:trPr>
        <w:tc>
          <w:tcPr>
            <w:tcW w:w="20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right="40" w:hanging="172"/>
        <w:spacing w:after="0" w:line="264" w:lineRule="auto"/>
        <w:tabs>
          <w:tab w:leader="none" w:pos="180" w:val="left"/>
        </w:tabs>
        <w:numPr>
          <w:ilvl w:val="0"/>
          <w:numId w:val="53"/>
        </w:numPr>
        <w:rPr>
          <w:rFonts w:ascii="Arial" w:cs="Arial" w:eastAsia="Arial" w:hAnsi="Arial"/>
          <w:sz w:val="8"/>
          <w:szCs w:val="8"/>
          <w:color w:val="auto"/>
        </w:rPr>
      </w:pPr>
      <w:r>
        <w:rPr>
          <w:rFonts w:ascii="Arial" w:cs="Arial" w:eastAsia="Arial" w:hAnsi="Arial"/>
          <w:sz w:val="13"/>
          <w:szCs w:val="13"/>
          <w:color w:val="auto"/>
        </w:rPr>
        <w:t>During the second quarter of 2020, 2,488 shares were acquired from employees in connection with income tax withholdings related to the vesting of restricted stock and acquired by the trustee of a trust established pursuant to the Bank of Hawaii Corporation Director Deferred Compensation Plan (the “DDCP”) directly from the Parent in satisfaction of the Company’s obligations to participants under the DDCP. The issuance of these shares was made in reliance upon the exemption from the registration requirements of the Securities Act of 1933, as amended (the “Securities Act”) by Section 4(a)(2) thereof. The trustee under the trust and the participants under the DDCP are “Accredited Investors”, as defined in Rule 501(a) under the Securities Act.</w:t>
      </w:r>
    </w:p>
    <w:p>
      <w:pPr>
        <w:spacing w:after="0" w:line="2" w:lineRule="exact"/>
        <w:rPr>
          <w:sz w:val="20"/>
          <w:szCs w:val="20"/>
          <w:color w:val="auto"/>
        </w:rPr>
      </w:pPr>
    </w:p>
    <w:p>
      <w:pPr>
        <w:ind w:left="180" w:right="200"/>
        <w:spacing w:after="0" w:line="241" w:lineRule="auto"/>
        <w:rPr>
          <w:sz w:val="20"/>
          <w:szCs w:val="20"/>
          <w:color w:val="auto"/>
        </w:rPr>
      </w:pPr>
      <w:r>
        <w:rPr>
          <w:rFonts w:ascii="Arial" w:cs="Arial" w:eastAsia="Arial" w:hAnsi="Arial"/>
          <w:sz w:val="14"/>
          <w:szCs w:val="14"/>
          <w:color w:val="auto"/>
        </w:rPr>
        <w:t>These transactions did not involve a public offering and occurred without general solicitation or advertising. The shares were purchased at the closing price of the Parent’s common stock on the dates of purchase.</w:t>
      </w:r>
    </w:p>
    <w:p>
      <w:pPr>
        <w:spacing w:after="0" w:line="1" w:lineRule="exact"/>
        <w:rPr>
          <w:sz w:val="20"/>
          <w:szCs w:val="20"/>
          <w:color w:val="auto"/>
        </w:rPr>
      </w:pPr>
    </w:p>
    <w:p>
      <w:pPr>
        <w:ind w:left="180" w:right="100" w:hanging="172"/>
        <w:spacing w:after="0" w:line="248" w:lineRule="auto"/>
        <w:tabs>
          <w:tab w:leader="none" w:pos="180" w:val="left"/>
        </w:tabs>
        <w:numPr>
          <w:ilvl w:val="0"/>
          <w:numId w:val="54"/>
        </w:numPr>
        <w:rPr>
          <w:rFonts w:ascii="Arial" w:cs="Arial" w:eastAsia="Arial" w:hAnsi="Arial"/>
          <w:sz w:val="9"/>
          <w:szCs w:val="9"/>
          <w:color w:val="auto"/>
        </w:rPr>
      </w:pPr>
      <w:r>
        <w:rPr>
          <w:rFonts w:ascii="Arial" w:cs="Arial" w:eastAsia="Arial" w:hAnsi="Arial"/>
          <w:sz w:val="14"/>
          <w:szCs w:val="14"/>
          <w:color w:val="auto"/>
        </w:rPr>
        <w:t>The share repurchase program was first announced in July 2001. The program has no set expiration or termination date. The actual amount and timing of future share repurchases, if any, will depend on market and economic conditions, regulatory rules, applicable SEC rules, and various other factors. On March 17, 2020, we suspended share repurchases in light of the COVID-19 pandemic.</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to this Form 10-Q is set forth on the Exhibit Index and is incorporated herein by reference.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30" w:right="33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440" w:type="dxa"/>
            <w:vAlign w:val="bottom"/>
          </w:tcPr>
          <w:p>
            <w:pPr>
              <w:ind w:left="160"/>
              <w:spacing w:after="0"/>
              <w:rPr>
                <w:sz w:val="20"/>
                <w:szCs w:val="20"/>
                <w:color w:val="auto"/>
              </w:rPr>
            </w:pPr>
            <w:r>
              <w:rPr>
                <w:rFonts w:ascii="Arial" w:cs="Arial" w:eastAsia="Arial" w:hAnsi="Arial"/>
                <w:sz w:val="18"/>
                <w:szCs w:val="18"/>
                <w:color w:val="auto"/>
              </w:rPr>
              <w:t>July 31, 2020</w:t>
            </w:r>
          </w:p>
        </w:tc>
        <w:tc>
          <w:tcPr>
            <w:tcW w:w="5100" w:type="dxa"/>
            <w:vAlign w:val="bottom"/>
          </w:tcPr>
          <w:p>
            <w:pPr>
              <w:ind w:left="20"/>
              <w:spacing w:after="0"/>
              <w:rPr>
                <w:sz w:val="20"/>
                <w:szCs w:val="20"/>
                <w:color w:val="auto"/>
              </w:rPr>
            </w:pPr>
            <w:r>
              <w:rPr>
                <w:rFonts w:ascii="Arial" w:cs="Arial" w:eastAsia="Arial" w:hAnsi="Arial"/>
                <w:sz w:val="18"/>
                <w:szCs w:val="18"/>
                <w:color w:val="auto"/>
              </w:rPr>
              <w:t>Bank of Hawaii Corporation</w:t>
            </w:r>
          </w:p>
        </w:tc>
      </w:tr>
      <w:tr>
        <w:trPr>
          <w:trHeight w:val="540"/>
        </w:trPr>
        <w:tc>
          <w:tcPr>
            <w:tcW w:w="520" w:type="dxa"/>
            <w:vAlign w:val="bottom"/>
          </w:tcPr>
          <w:p>
            <w:pPr>
              <w:spacing w:after="0"/>
              <w:rPr>
                <w:sz w:val="24"/>
                <w:szCs w:val="24"/>
                <w:color w:val="auto"/>
              </w:rPr>
            </w:pPr>
          </w:p>
        </w:tc>
        <w:tc>
          <w:tcPr>
            <w:tcW w:w="5440" w:type="dxa"/>
            <w:vAlign w:val="bottom"/>
          </w:tcPr>
          <w:p>
            <w:pPr>
              <w:ind w:left="4800"/>
              <w:spacing w:after="0"/>
              <w:rPr>
                <w:sz w:val="20"/>
                <w:szCs w:val="20"/>
                <w:color w:val="auto"/>
              </w:rPr>
            </w:pPr>
            <w:r>
              <w:rPr>
                <w:rFonts w:ascii="Arial" w:cs="Arial" w:eastAsia="Arial" w:hAnsi="Arial"/>
                <w:sz w:val="18"/>
                <w:szCs w:val="18"/>
                <w:color w:val="auto"/>
              </w:rPr>
              <w:t>By:</w:t>
            </w:r>
          </w:p>
        </w:tc>
        <w:tc>
          <w:tcPr>
            <w:tcW w:w="5100" w:type="dxa"/>
            <w:vAlign w:val="bottom"/>
          </w:tcPr>
          <w:p>
            <w:pPr>
              <w:ind w:left="380"/>
              <w:spacing w:after="0"/>
              <w:rPr>
                <w:sz w:val="20"/>
                <w:szCs w:val="20"/>
                <w:color w:val="auto"/>
              </w:rPr>
            </w:pPr>
            <w:r>
              <w:rPr>
                <w:rFonts w:ascii="Arial" w:cs="Arial" w:eastAsia="Arial" w:hAnsi="Arial"/>
                <w:sz w:val="18"/>
                <w:szCs w:val="18"/>
                <w:color w:val="auto"/>
              </w:rPr>
              <w:t>/s/ Peter S. Ho</w:t>
            </w:r>
          </w:p>
        </w:tc>
      </w:tr>
      <w:tr>
        <w:trPr>
          <w:trHeight w:val="27"/>
        </w:trPr>
        <w:tc>
          <w:tcPr>
            <w:tcW w:w="5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5100" w:type="dxa"/>
            <w:vAlign w:val="bottom"/>
          </w:tcPr>
          <w:p>
            <w:pPr>
              <w:ind w:left="380"/>
              <w:spacing w:after="0"/>
              <w:rPr>
                <w:sz w:val="20"/>
                <w:szCs w:val="20"/>
                <w:color w:val="auto"/>
              </w:rPr>
            </w:pPr>
            <w:r>
              <w:rPr>
                <w:rFonts w:ascii="Arial" w:cs="Arial" w:eastAsia="Arial" w:hAnsi="Arial"/>
                <w:sz w:val="18"/>
                <w:szCs w:val="18"/>
                <w:color w:val="auto"/>
              </w:rPr>
              <w:t>Peter S. Ho</w:t>
            </w:r>
          </w:p>
        </w:tc>
      </w:tr>
      <w:tr>
        <w:trPr>
          <w:trHeight w:val="270"/>
        </w:trPr>
        <w:tc>
          <w:tcPr>
            <w:tcW w:w="5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5100" w:type="dxa"/>
            <w:vAlign w:val="bottom"/>
          </w:tcPr>
          <w:p>
            <w:pPr>
              <w:ind w:left="380"/>
              <w:spacing w:after="0"/>
              <w:rPr>
                <w:sz w:val="20"/>
                <w:szCs w:val="20"/>
                <w:color w:val="auto"/>
              </w:rPr>
            </w:pPr>
            <w:r>
              <w:rPr>
                <w:rFonts w:ascii="Arial" w:cs="Arial" w:eastAsia="Arial" w:hAnsi="Arial"/>
                <w:sz w:val="18"/>
                <w:szCs w:val="18"/>
                <w:color w:val="auto"/>
              </w:rPr>
              <w:t>Chairman of the Board,</w:t>
            </w:r>
          </w:p>
        </w:tc>
      </w:tr>
      <w:tr>
        <w:trPr>
          <w:trHeight w:val="270"/>
        </w:trPr>
        <w:tc>
          <w:tcPr>
            <w:tcW w:w="5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5100" w:type="dxa"/>
            <w:vAlign w:val="bottom"/>
          </w:tcPr>
          <w:p>
            <w:pPr>
              <w:ind w:left="380"/>
              <w:spacing w:after="0"/>
              <w:rPr>
                <w:sz w:val="20"/>
                <w:szCs w:val="20"/>
                <w:color w:val="auto"/>
              </w:rPr>
            </w:pPr>
            <w:r>
              <w:rPr>
                <w:rFonts w:ascii="Arial" w:cs="Arial" w:eastAsia="Arial" w:hAnsi="Arial"/>
                <w:sz w:val="18"/>
                <w:szCs w:val="18"/>
                <w:color w:val="auto"/>
              </w:rPr>
              <w:t>Chief Executive Officer, and</w:t>
            </w:r>
          </w:p>
        </w:tc>
      </w:tr>
      <w:tr>
        <w:trPr>
          <w:trHeight w:val="270"/>
        </w:trPr>
        <w:tc>
          <w:tcPr>
            <w:tcW w:w="5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5100" w:type="dxa"/>
            <w:vAlign w:val="bottom"/>
          </w:tcPr>
          <w:p>
            <w:pPr>
              <w:ind w:left="380"/>
              <w:spacing w:after="0"/>
              <w:rPr>
                <w:sz w:val="20"/>
                <w:szCs w:val="20"/>
                <w:color w:val="auto"/>
              </w:rPr>
            </w:pPr>
            <w:r>
              <w:rPr>
                <w:rFonts w:ascii="Arial" w:cs="Arial" w:eastAsia="Arial" w:hAnsi="Arial"/>
                <w:sz w:val="18"/>
                <w:szCs w:val="18"/>
                <w:color w:val="auto"/>
              </w:rPr>
              <w:t>President</w:t>
            </w:r>
          </w:p>
        </w:tc>
      </w:tr>
      <w:tr>
        <w:trPr>
          <w:trHeight w:val="540"/>
        </w:trPr>
        <w:tc>
          <w:tcPr>
            <w:tcW w:w="520" w:type="dxa"/>
            <w:vAlign w:val="bottom"/>
          </w:tcPr>
          <w:p>
            <w:pPr>
              <w:spacing w:after="0"/>
              <w:rPr>
                <w:sz w:val="24"/>
                <w:szCs w:val="24"/>
                <w:color w:val="auto"/>
              </w:rPr>
            </w:pPr>
          </w:p>
        </w:tc>
        <w:tc>
          <w:tcPr>
            <w:tcW w:w="5440" w:type="dxa"/>
            <w:vAlign w:val="bottom"/>
          </w:tcPr>
          <w:p>
            <w:pPr>
              <w:ind w:left="4800"/>
              <w:spacing w:after="0"/>
              <w:rPr>
                <w:sz w:val="20"/>
                <w:szCs w:val="20"/>
                <w:color w:val="auto"/>
              </w:rPr>
            </w:pPr>
            <w:r>
              <w:rPr>
                <w:rFonts w:ascii="Arial" w:cs="Arial" w:eastAsia="Arial" w:hAnsi="Arial"/>
                <w:sz w:val="18"/>
                <w:szCs w:val="18"/>
                <w:color w:val="auto"/>
              </w:rPr>
              <w:t>By:</w:t>
            </w:r>
          </w:p>
        </w:tc>
        <w:tc>
          <w:tcPr>
            <w:tcW w:w="5100" w:type="dxa"/>
            <w:vAlign w:val="bottom"/>
          </w:tcPr>
          <w:p>
            <w:pPr>
              <w:ind w:left="380"/>
              <w:spacing w:after="0"/>
              <w:rPr>
                <w:sz w:val="20"/>
                <w:szCs w:val="20"/>
                <w:color w:val="auto"/>
              </w:rPr>
            </w:pPr>
            <w:r>
              <w:rPr>
                <w:rFonts w:ascii="Arial" w:cs="Arial" w:eastAsia="Arial" w:hAnsi="Arial"/>
                <w:sz w:val="18"/>
                <w:szCs w:val="18"/>
                <w:color w:val="auto"/>
              </w:rPr>
              <w:t>/s/ Dean Y. Shigemura</w:t>
            </w:r>
          </w:p>
        </w:tc>
      </w:tr>
      <w:tr>
        <w:trPr>
          <w:trHeight w:val="27"/>
        </w:trPr>
        <w:tc>
          <w:tcPr>
            <w:tcW w:w="5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5100" w:type="dxa"/>
            <w:vAlign w:val="bottom"/>
          </w:tcPr>
          <w:p>
            <w:pPr>
              <w:ind w:left="380"/>
              <w:spacing w:after="0"/>
              <w:rPr>
                <w:sz w:val="20"/>
                <w:szCs w:val="20"/>
                <w:color w:val="auto"/>
              </w:rPr>
            </w:pPr>
            <w:r>
              <w:rPr>
                <w:rFonts w:ascii="Arial" w:cs="Arial" w:eastAsia="Arial" w:hAnsi="Arial"/>
                <w:sz w:val="18"/>
                <w:szCs w:val="18"/>
                <w:color w:val="auto"/>
              </w:rPr>
              <w:t>Dean Y. Shigemura</w:t>
            </w:r>
          </w:p>
        </w:tc>
      </w:tr>
      <w:tr>
        <w:trPr>
          <w:trHeight w:val="270"/>
        </w:trPr>
        <w:tc>
          <w:tcPr>
            <w:tcW w:w="5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5100" w:type="dxa"/>
            <w:vAlign w:val="bottom"/>
          </w:tcPr>
          <w:p>
            <w:pPr>
              <w:ind w:left="380"/>
              <w:spacing w:after="0"/>
              <w:rPr>
                <w:sz w:val="20"/>
                <w:szCs w:val="20"/>
                <w:color w:val="auto"/>
              </w:rPr>
            </w:pPr>
            <w:r>
              <w:rPr>
                <w:rFonts w:ascii="Arial" w:cs="Arial" w:eastAsia="Arial" w:hAnsi="Arial"/>
                <w:sz w:val="18"/>
                <w:szCs w:val="18"/>
                <w:color w:val="auto"/>
              </w:rPr>
              <w:t>Chief Financial Officer</w:t>
            </w:r>
          </w:p>
        </w:tc>
      </w:tr>
      <w:tr>
        <w:trPr>
          <w:trHeight w:val="945"/>
        </w:trPr>
        <w:tc>
          <w:tcPr>
            <w:tcW w:w="520" w:type="dxa"/>
            <w:vAlign w:val="bottom"/>
          </w:tcPr>
          <w:p>
            <w:pPr>
              <w:spacing w:after="0"/>
              <w:rPr>
                <w:sz w:val="24"/>
                <w:szCs w:val="24"/>
                <w:color w:val="auto"/>
              </w:rPr>
            </w:pPr>
          </w:p>
        </w:tc>
        <w:tc>
          <w:tcPr>
            <w:tcW w:w="5440" w:type="dxa"/>
            <w:vAlign w:val="bottom"/>
          </w:tcPr>
          <w:p>
            <w:pPr>
              <w:jc w:val="right"/>
              <w:ind w:right="190"/>
              <w:spacing w:after="0"/>
              <w:rPr>
                <w:sz w:val="20"/>
                <w:szCs w:val="20"/>
                <w:color w:val="auto"/>
              </w:rPr>
            </w:pPr>
            <w:r>
              <w:rPr>
                <w:rFonts w:ascii="Arial" w:cs="Arial" w:eastAsia="Arial" w:hAnsi="Arial"/>
                <w:sz w:val="18"/>
                <w:szCs w:val="18"/>
                <w:color w:val="auto"/>
              </w:rPr>
              <w:t>91</w:t>
            </w:r>
          </w:p>
        </w:tc>
        <w:tc>
          <w:tcPr>
            <w:tcW w:w="5100" w:type="dxa"/>
            <w:vAlign w:val="bottom"/>
          </w:tcPr>
          <w:p>
            <w:pPr>
              <w:spacing w:after="0"/>
              <w:rPr>
                <w:sz w:val="24"/>
                <w:szCs w:val="24"/>
                <w:color w:val="auto"/>
              </w:rPr>
            </w:pPr>
          </w:p>
        </w:tc>
      </w:tr>
    </w:tbl>
    <w:p>
      <w:pPr>
        <w:sectPr>
          <w:pgSz w:w="11900" w:h="16838" w:orient="portrait"/>
          <w:cols w:equalWidth="0" w:num="1">
            <w:col w:w="11100"/>
          </w:cols>
          <w:pgMar w:left="320" w:top="130" w:right="47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034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0" w:type="dxa"/>
            <w:vAlign w:val="bottom"/>
          </w:tcPr>
          <w:p>
            <w:pPr>
              <w:jc w:val="right"/>
              <w:ind w:right="270"/>
              <w:spacing w:after="0"/>
              <w:rPr>
                <w:rFonts w:ascii="Arial" w:cs="Arial" w:eastAsia="Arial" w:hAnsi="Arial"/>
                <w:sz w:val="18"/>
                <w:szCs w:val="18"/>
                <w:u w:val="single" w:color="auto"/>
                <w:color w:val="0000FF"/>
                <w:w w:val="79"/>
              </w:rPr>
            </w:pPr>
            <w:hyperlink w:anchor="page98">
              <w:r>
                <w:rPr>
                  <w:rFonts w:ascii="Arial" w:cs="Arial" w:eastAsia="Arial" w:hAnsi="Arial"/>
                  <w:sz w:val="18"/>
                  <w:szCs w:val="18"/>
                  <w:u w:val="single" w:color="auto"/>
                  <w:color w:val="0000FF"/>
                  <w:w w:val="79"/>
                </w:rPr>
                <w:t>31.1</w:t>
              </w:r>
            </w:hyperlink>
          </w:p>
        </w:tc>
        <w:tc>
          <w:tcPr>
            <w:tcW w:w="9760" w:type="dxa"/>
            <w:vAlign w:val="bottom"/>
          </w:tcPr>
          <w:p>
            <w:pPr>
              <w:ind w:left="340"/>
              <w:spacing w:after="0"/>
              <w:rPr>
                <w:sz w:val="20"/>
                <w:szCs w:val="20"/>
                <w:color w:val="auto"/>
              </w:rPr>
            </w:pPr>
            <w:r>
              <w:rPr>
                <w:rFonts w:ascii="Arial" w:cs="Arial" w:eastAsia="Arial" w:hAnsi="Arial"/>
                <w:sz w:val="18"/>
                <w:szCs w:val="18"/>
                <w:color w:val="auto"/>
                <w:w w:val="91"/>
              </w:rPr>
              <w:t>Certification of Chief Executive Officer Pursuant to Rule 13a-14(a) of the Securities Exchange Act of 1934, as Amended, Adopted</w:t>
            </w:r>
          </w:p>
        </w:tc>
      </w:tr>
      <w:tr>
        <w:trPr>
          <w:trHeight w:val="230"/>
        </w:trPr>
        <w:tc>
          <w:tcPr>
            <w:tcW w:w="660" w:type="dxa"/>
            <w:vAlign w:val="bottom"/>
          </w:tcPr>
          <w:p>
            <w:pPr>
              <w:spacing w:after="0"/>
              <w:rPr>
                <w:sz w:val="20"/>
                <w:szCs w:val="20"/>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Pursuant to Section 302 of the Sarbanes Oxley Act of 2002</w:t>
            </w:r>
          </w:p>
        </w:tc>
      </w:tr>
      <w:tr>
        <w:trPr>
          <w:trHeight w:val="526"/>
        </w:trPr>
        <w:tc>
          <w:tcPr>
            <w:tcW w:w="660" w:type="dxa"/>
            <w:vAlign w:val="bottom"/>
          </w:tcPr>
          <w:p>
            <w:pPr>
              <w:jc w:val="right"/>
              <w:ind w:right="270"/>
              <w:spacing w:after="0"/>
              <w:rPr>
                <w:rFonts w:ascii="Arial" w:cs="Arial" w:eastAsia="Arial" w:hAnsi="Arial"/>
                <w:sz w:val="18"/>
                <w:szCs w:val="18"/>
                <w:u w:val="single" w:color="auto"/>
                <w:color w:val="0000FF"/>
                <w:w w:val="79"/>
              </w:rPr>
            </w:pPr>
            <w:hyperlink w:anchor="page99">
              <w:r>
                <w:rPr>
                  <w:rFonts w:ascii="Arial" w:cs="Arial" w:eastAsia="Arial" w:hAnsi="Arial"/>
                  <w:sz w:val="18"/>
                  <w:szCs w:val="18"/>
                  <w:u w:val="single" w:color="auto"/>
                  <w:color w:val="0000FF"/>
                  <w:w w:val="79"/>
                </w:rPr>
                <w:t>31.2</w:t>
              </w:r>
            </w:hyperlink>
          </w:p>
        </w:tc>
        <w:tc>
          <w:tcPr>
            <w:tcW w:w="9760" w:type="dxa"/>
            <w:vAlign w:val="bottom"/>
          </w:tcPr>
          <w:p>
            <w:pPr>
              <w:ind w:left="3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Amended, Adopted</w:t>
            </w:r>
          </w:p>
        </w:tc>
      </w:tr>
      <w:tr>
        <w:trPr>
          <w:trHeight w:val="230"/>
        </w:trPr>
        <w:tc>
          <w:tcPr>
            <w:tcW w:w="660" w:type="dxa"/>
            <w:vAlign w:val="bottom"/>
          </w:tcPr>
          <w:p>
            <w:pPr>
              <w:spacing w:after="0"/>
              <w:rPr>
                <w:sz w:val="20"/>
                <w:szCs w:val="20"/>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Pursuant to Section 302 of the Sarbanes Oxley Act of 2002</w:t>
            </w:r>
          </w:p>
        </w:tc>
      </w:tr>
    </w:tbl>
    <w:p>
      <w:pPr>
        <w:spacing w:after="0" w:line="310" w:lineRule="exact"/>
        <w:rPr>
          <w:sz w:val="20"/>
          <w:szCs w:val="20"/>
          <w:color w:val="auto"/>
        </w:rPr>
      </w:pPr>
    </w:p>
    <w:p>
      <w:pPr>
        <w:ind w:left="1040" w:right="300" w:hanging="1005"/>
        <w:spacing w:after="0" w:line="277" w:lineRule="auto"/>
        <w:tabs>
          <w:tab w:leader="none" w:pos="1040" w:val="left"/>
        </w:tabs>
        <w:numPr>
          <w:ilvl w:val="0"/>
          <w:numId w:val="55"/>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9720" w:type="dxa"/>
            <w:vAlign w:val="bottom"/>
          </w:tcPr>
          <w:p>
            <w:pPr>
              <w:ind w:left="16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30"/>
        </w:trPr>
        <w:tc>
          <w:tcPr>
            <w:tcW w:w="840" w:type="dxa"/>
            <w:vAlign w:val="bottom"/>
          </w:tcPr>
          <w:p>
            <w:pPr>
              <w:spacing w:after="0"/>
              <w:rPr>
                <w:sz w:val="20"/>
                <w:szCs w:val="20"/>
                <w:color w:val="auto"/>
              </w:rPr>
            </w:pPr>
          </w:p>
        </w:tc>
        <w:tc>
          <w:tcPr>
            <w:tcW w:w="9720" w:type="dxa"/>
            <w:vAlign w:val="bottom"/>
          </w:tcPr>
          <w:p>
            <w:pPr>
              <w:ind w:left="160"/>
              <w:spacing w:after="0"/>
              <w:rPr>
                <w:sz w:val="20"/>
                <w:szCs w:val="20"/>
                <w:color w:val="auto"/>
              </w:rPr>
            </w:pPr>
            <w:r>
              <w:rPr>
                <w:rFonts w:ascii="Arial" w:cs="Arial" w:eastAsia="Arial" w:hAnsi="Arial"/>
                <w:sz w:val="18"/>
                <w:szCs w:val="18"/>
                <w:color w:val="auto"/>
              </w:rPr>
              <w:t>within the Inline XBRL document</w:t>
            </w:r>
          </w:p>
        </w:tc>
      </w:tr>
      <w:tr>
        <w:trPr>
          <w:trHeight w:val="756"/>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972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972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972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594"/>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972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972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945"/>
        </w:trPr>
        <w:tc>
          <w:tcPr>
            <w:tcW w:w="840" w:type="dxa"/>
            <w:vAlign w:val="bottom"/>
          </w:tcPr>
          <w:p>
            <w:pPr>
              <w:spacing w:after="0"/>
              <w:rPr>
                <w:sz w:val="24"/>
                <w:szCs w:val="24"/>
                <w:color w:val="auto"/>
              </w:rPr>
            </w:pPr>
          </w:p>
        </w:tc>
        <w:tc>
          <w:tcPr>
            <w:tcW w:w="9720" w:type="dxa"/>
            <w:vAlign w:val="bottom"/>
          </w:tcPr>
          <w:p>
            <w:pPr>
              <w:ind w:left="4660"/>
              <w:spacing w:after="0"/>
              <w:rPr>
                <w:sz w:val="20"/>
                <w:szCs w:val="20"/>
                <w:color w:val="auto"/>
              </w:rPr>
            </w:pPr>
            <w:r>
              <w:rPr>
                <w:rFonts w:ascii="Arial" w:cs="Arial" w:eastAsia="Arial" w:hAnsi="Arial"/>
                <w:sz w:val="18"/>
                <w:szCs w:val="18"/>
                <w:color w:val="auto"/>
              </w:rPr>
              <w:t>92</w:t>
            </w:r>
          </w:p>
        </w:tc>
      </w:tr>
    </w:tbl>
    <w:p>
      <w:pPr>
        <w:sectPr>
          <w:pgSz w:w="11900" w:h="16838" w:orient="portrait"/>
          <w:cols w:equalWidth="0" w:num="1">
            <w:col w:w="10600"/>
          </w:cols>
          <w:pgMar w:left="320" w:top="130" w:right="97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Peter S. Ho, certify that:</w:t>
      </w:r>
    </w:p>
    <w:p>
      <w:pPr>
        <w:spacing w:after="0" w:line="144"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44"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89" w:lineRule="exact"/>
        <w:rPr>
          <w:rFonts w:ascii="Arial" w:cs="Arial" w:eastAsia="Arial" w:hAnsi="Arial"/>
          <w:sz w:val="18"/>
          <w:szCs w:val="18"/>
          <w:color w:val="auto"/>
        </w:rPr>
      </w:pPr>
    </w:p>
    <w:p>
      <w:pPr>
        <w:ind w:left="660" w:right="280" w:hanging="328"/>
        <w:spacing w:after="0" w:line="27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700" w:val="left"/>
          <w:tab w:leader="none" w:pos="5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2020</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Peter S. Ho</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 and</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240"/>
          </w:cols>
          <w:pgMar w:left="320" w:top="553"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Dean Y. Shigemura, certify that:</w:t>
      </w:r>
    </w:p>
    <w:p>
      <w:pPr>
        <w:spacing w:after="0" w:line="144"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44"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89" w:lineRule="exact"/>
        <w:rPr>
          <w:rFonts w:ascii="Arial" w:cs="Arial" w:eastAsia="Arial" w:hAnsi="Arial"/>
          <w:sz w:val="18"/>
          <w:szCs w:val="18"/>
          <w:color w:val="auto"/>
        </w:rPr>
      </w:pPr>
    </w:p>
    <w:p>
      <w:pPr>
        <w:ind w:left="660" w:right="280" w:hanging="328"/>
        <w:spacing w:after="0" w:line="277"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700" w:val="left"/>
          <w:tab w:leader="none" w:pos="5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2020</w:t>
      </w:r>
      <w:r>
        <w:rPr>
          <w:sz w:val="20"/>
          <w:szCs w:val="20"/>
          <w:color w:val="auto"/>
        </w:rPr>
        <w:tab/>
      </w:r>
      <w:r>
        <w:rPr>
          <w:rFonts w:ascii="Arial" w:cs="Arial" w:eastAsia="Arial" w:hAnsi="Arial"/>
          <w:sz w:val="15"/>
          <w:szCs w:val="15"/>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Dean Y. Shigemura</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553"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We hereby certify pursuant to 18 U.S.C. Section 1350, as adopted pursuant to Section 906 of the Sarbanes-Oxley Act of 2002, that the Quarterly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10-Q of Bank of Hawaii Corporation (the “Company”) for the quarter ended June 30, 2020 (the “Report”):</w:t>
      </w:r>
    </w:p>
    <w:p>
      <w:pPr>
        <w:spacing w:after="0" w:line="130"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fully complies with the requirements of Section 13(a) or 15(d), as applicable, of the Securities Exchange Act of 1934, as amended; and</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tabs>
          <w:tab w:leader="none" w:pos="700" w:val="left"/>
          <w:tab w:leader="none" w:pos="5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2020</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Peter S. Ho</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 and</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Dean Y. Shigemura</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1"/>
      <w:numFmt w:val="bullet"/>
      <w:start w:val="1"/>
    </w:lvl>
  </w:abstractNum>
  <w:abstractNum w:abstractNumId="7">
    <w:nsid w:val="4516DDE9"/>
    <w:multiLevelType w:val="hybridMultilevel"/>
    <w:lvl w:ilvl="0">
      <w:lvlJc w:val="left"/>
      <w:lvlText w:val="1"/>
      <w:numFmt w:val="bullet"/>
      <w:start w:val="1"/>
    </w:lvl>
  </w:abstractNum>
  <w:abstractNum w:abstractNumId="8">
    <w:nsid w:val="3006C83E"/>
    <w:multiLevelType w:val="hybridMultilevel"/>
    <w:lvl w:ilvl="0">
      <w:lvlJc w:val="left"/>
      <w:lvlText w:val="1"/>
      <w:numFmt w:val="bullet"/>
      <w:start w:val="1"/>
    </w:lvl>
  </w:abstractNum>
  <w:abstractNum w:abstractNumId="9">
    <w:nsid w:val="614FD4A1"/>
    <w:multiLevelType w:val="hybridMultilevel"/>
    <w:lvl w:ilvl="0">
      <w:lvlJc w:val="left"/>
      <w:lvlText w:val="1"/>
      <w:numFmt w:val="bullet"/>
      <w:start w:val="1"/>
    </w:lvl>
  </w:abstractNum>
  <w:abstractNum w:abstractNumId="10">
    <w:nsid w:val="419AC241"/>
    <w:multiLevelType w:val="hybridMultilevel"/>
    <w:lvl w:ilvl="0">
      <w:lvlJc w:val="left"/>
      <w:lvlText w:val="2"/>
      <w:numFmt w:val="bullet"/>
      <w:start w:val="1"/>
    </w:lvl>
  </w:abstractNum>
  <w:abstractNum w:abstractNumId="11">
    <w:nsid w:val="5577F8E1"/>
    <w:multiLevelType w:val="hybridMultilevel"/>
    <w:lvl w:ilvl="0">
      <w:lvlJc w:val="left"/>
      <w:lvlText w:val="1"/>
      <w:numFmt w:val="bullet"/>
      <w:start w:val="1"/>
    </w:lvl>
  </w:abstractNum>
  <w:abstractNum w:abstractNumId="12">
    <w:nsid w:val="440BADFC"/>
    <w:multiLevelType w:val="hybridMultilevel"/>
    <w:lvl w:ilvl="0">
      <w:lvlJc w:val="left"/>
      <w:lvlText w:val="1"/>
      <w:numFmt w:val="bullet"/>
      <w:start w:val="1"/>
    </w:lvl>
  </w:abstractNum>
  <w:abstractNum w:abstractNumId="13">
    <w:nsid w:val="5072367"/>
    <w:multiLevelType w:val="hybridMultilevel"/>
    <w:lvl w:ilvl="0">
      <w:lvlJc w:val="left"/>
      <w:lvlText w:val="1"/>
      <w:numFmt w:val="bullet"/>
      <w:start w:val="1"/>
    </w:lvl>
  </w:abstractNum>
  <w:abstractNum w:abstractNumId="14">
    <w:nsid w:val="3804823E"/>
    <w:multiLevelType w:val="hybridMultilevel"/>
    <w:lvl w:ilvl="0">
      <w:lvlJc w:val="left"/>
      <w:lvlText w:val="2"/>
      <w:numFmt w:val="bullet"/>
      <w:start w:val="1"/>
    </w:lvl>
  </w:abstractNum>
  <w:abstractNum w:abstractNumId="15">
    <w:nsid w:val="77465F01"/>
    <w:multiLevelType w:val="hybridMultilevel"/>
    <w:lvl w:ilvl="0">
      <w:lvlJc w:val="left"/>
      <w:lvlText w:val="1"/>
      <w:numFmt w:val="bullet"/>
      <w:start w:val="1"/>
    </w:lvl>
  </w:abstractNum>
  <w:abstractNum w:abstractNumId="16">
    <w:nsid w:val="7724C67E"/>
    <w:multiLevelType w:val="hybridMultilevel"/>
    <w:lvl w:ilvl="0">
      <w:lvlJc w:val="left"/>
      <w:lvlText w:val="1"/>
      <w:numFmt w:val="bullet"/>
      <w:start w:val="1"/>
    </w:lvl>
  </w:abstractNum>
  <w:abstractNum w:abstractNumId="17">
    <w:nsid w:val="5C482A97"/>
    <w:multiLevelType w:val="hybridMultilevel"/>
    <w:lvl w:ilvl="0">
      <w:lvlJc w:val="left"/>
      <w:lvlText w:val="1"/>
      <w:numFmt w:val="bullet"/>
      <w:start w:val="1"/>
    </w:lvl>
  </w:abstractNum>
  <w:abstractNum w:abstractNumId="18">
    <w:nsid w:val="2463B9EA"/>
    <w:multiLevelType w:val="hybridMultilevel"/>
    <w:lvl w:ilvl="0">
      <w:lvlJc w:val="left"/>
      <w:lvlText w:val="2"/>
      <w:numFmt w:val="bullet"/>
      <w:start w:val="1"/>
    </w:lvl>
  </w:abstractNum>
  <w:abstractNum w:abstractNumId="19">
    <w:nsid w:val="5E884ADC"/>
    <w:multiLevelType w:val="hybridMultilevel"/>
    <w:lvl w:ilvl="0">
      <w:lvlJc w:val="left"/>
      <w:lvlText w:val="1"/>
      <w:numFmt w:val="bullet"/>
      <w:start w:val="1"/>
    </w:lvl>
  </w:abstractNum>
  <w:abstractNum w:abstractNumId="20">
    <w:nsid w:val="51EAD36B"/>
    <w:multiLevelType w:val="hybridMultilevel"/>
    <w:lvl w:ilvl="0">
      <w:lvlJc w:val="left"/>
      <w:lvlText w:val="1"/>
      <w:numFmt w:val="bullet"/>
      <w:start w:val="1"/>
    </w:lvl>
  </w:abstractNum>
  <w:abstractNum w:abstractNumId="21">
    <w:nsid w:val="2D517796"/>
    <w:multiLevelType w:val="hybridMultilevel"/>
    <w:lvl w:ilvl="0">
      <w:lvlJc w:val="left"/>
      <w:lvlText w:val="1"/>
      <w:numFmt w:val="bullet"/>
      <w:start w:val="1"/>
    </w:lvl>
  </w:abstractNum>
  <w:abstractNum w:abstractNumId="22">
    <w:nsid w:val="580BD78F"/>
    <w:multiLevelType w:val="hybridMultilevel"/>
    <w:lvl w:ilvl="0">
      <w:lvlJc w:val="left"/>
      <w:lvlText w:val="1"/>
      <w:numFmt w:val="bullet"/>
      <w:start w:val="1"/>
    </w:lvl>
  </w:abstractNum>
  <w:abstractNum w:abstractNumId="23">
    <w:nsid w:val="153EA438"/>
    <w:multiLevelType w:val="hybridMultilevel"/>
    <w:lvl w:ilvl="0">
      <w:lvlJc w:val="left"/>
      <w:lvlText w:val="1"/>
      <w:numFmt w:val="bullet"/>
      <w:start w:val="1"/>
    </w:lvl>
  </w:abstractNum>
  <w:abstractNum w:abstractNumId="24">
    <w:nsid w:val="3855585C"/>
    <w:multiLevelType w:val="hybridMultilevel"/>
    <w:lvl w:ilvl="0">
      <w:lvlJc w:val="left"/>
      <w:lvlText w:val="1"/>
      <w:numFmt w:val="bullet"/>
      <w:start w:val="1"/>
    </w:lvl>
  </w:abstractNum>
  <w:abstractNum w:abstractNumId="25">
    <w:nsid w:val="70A64E2A"/>
    <w:multiLevelType w:val="hybridMultilevel"/>
    <w:lvl w:ilvl="0">
      <w:lvlJc w:val="left"/>
      <w:lvlText w:val="2"/>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1"/>
      <w:numFmt w:val="bullet"/>
      <w:start w:val="1"/>
    </w:lvl>
  </w:abstractNum>
  <w:abstractNum w:abstractNumId="35">
    <w:nsid w:val="6DE91B18"/>
    <w:multiLevelType w:val="hybridMultilevel"/>
    <w:lvl w:ilvl="0">
      <w:lvlJc w:val="left"/>
      <w:lvlText w:val="2"/>
      <w:numFmt w:val="bullet"/>
      <w:start w:val="1"/>
    </w:lvl>
  </w:abstractNum>
  <w:abstractNum w:abstractNumId="36">
    <w:nsid w:val="38437FDB"/>
    <w:multiLevelType w:val="hybridMultilevel"/>
    <w:lvl w:ilvl="0">
      <w:lvlJc w:val="left"/>
      <w:lvlText w:val="3"/>
      <w:numFmt w:val="bullet"/>
      <w:start w:val="1"/>
    </w:lvl>
  </w:abstractNum>
  <w:abstractNum w:abstractNumId="37">
    <w:nsid w:val="7644A45C"/>
    <w:multiLevelType w:val="hybridMultilevel"/>
    <w:lvl w:ilvl="0">
      <w:lvlJc w:val="left"/>
      <w:lvlText w:val="4"/>
      <w:numFmt w:val="bullet"/>
      <w:start w:val="1"/>
    </w:lvl>
  </w:abstractNum>
  <w:abstractNum w:abstractNumId="38">
    <w:nsid w:val="32FFF902"/>
    <w:multiLevelType w:val="hybridMultilevel"/>
    <w:lvl w:ilvl="0">
      <w:lvlJc w:val="left"/>
      <w:lvlText w:val="1"/>
      <w:numFmt w:val="bullet"/>
      <w:start w:val="1"/>
    </w:lvl>
  </w:abstractNum>
  <w:abstractNum w:abstractNumId="39">
    <w:nsid w:val="684A481A"/>
    <w:multiLevelType w:val="hybridMultilevel"/>
    <w:lvl w:ilvl="0">
      <w:lvlJc w:val="left"/>
      <w:lvlText w:val="2"/>
      <w:numFmt w:val="bullet"/>
      <w:start w:val="1"/>
    </w:lvl>
  </w:abstractNum>
  <w:abstractNum w:abstractNumId="40">
    <w:nsid w:val="579478FE"/>
    <w:multiLevelType w:val="hybridMultilevel"/>
    <w:lvl w:ilvl="0">
      <w:lvlJc w:val="left"/>
      <w:lvlText w:val="3"/>
      <w:numFmt w:val="bullet"/>
      <w:start w:val="1"/>
    </w:lvl>
  </w:abstractNum>
  <w:abstractNum w:abstractNumId="41">
    <w:nsid w:val="749ABB43"/>
    <w:multiLevelType w:val="hybridMultilevel"/>
    <w:lvl w:ilvl="0">
      <w:lvlJc w:val="left"/>
      <w:lvlText w:val="1"/>
      <w:numFmt w:val="bullet"/>
      <w:start w:val="1"/>
    </w:lvl>
  </w:abstractNum>
  <w:abstractNum w:abstractNumId="42">
    <w:nsid w:val="3DC240FB"/>
    <w:multiLevelType w:val="hybridMultilevel"/>
    <w:lvl w:ilvl="0">
      <w:lvlJc w:val="left"/>
      <w:lvlText w:val="2"/>
      <w:numFmt w:val="bullet"/>
      <w:start w:val="1"/>
    </w:lvl>
  </w:abstractNum>
  <w:abstractNum w:abstractNumId="43">
    <w:nsid w:val="1BA026FA"/>
    <w:multiLevelType w:val="hybridMultilevel"/>
    <w:lvl w:ilvl="0">
      <w:lvlJc w:val="left"/>
      <w:lvlText w:val="1"/>
      <w:numFmt w:val="bullet"/>
      <w:start w:val="1"/>
    </w:lvl>
  </w:abstractNum>
  <w:abstractNum w:abstractNumId="44">
    <w:nsid w:val="79A1DEAA"/>
    <w:multiLevelType w:val="hybridMultilevel"/>
    <w:lvl w:ilvl="0">
      <w:lvlJc w:val="left"/>
      <w:lvlText w:val="2"/>
      <w:numFmt w:val="bullet"/>
      <w:start w:val="1"/>
    </w:lvl>
  </w:abstractNum>
  <w:abstractNum w:abstractNumId="45">
    <w:nsid w:val="75C6C33A"/>
    <w:multiLevelType w:val="hybridMultilevel"/>
    <w:lvl w:ilvl="0">
      <w:lvlJc w:val="left"/>
      <w:lvlText w:val="3"/>
      <w:numFmt w:val="bullet"/>
      <w:start w:val="1"/>
    </w:lvl>
  </w:abstractNum>
  <w:abstractNum w:abstractNumId="46">
    <w:nsid w:val="12E685FB"/>
    <w:multiLevelType w:val="hybridMultilevel"/>
    <w:lvl w:ilvl="0">
      <w:lvlJc w:val="left"/>
      <w:lvlText w:val="1"/>
      <w:numFmt w:val="bullet"/>
      <w:start w:val="1"/>
    </w:lvl>
  </w:abstractNum>
  <w:abstractNum w:abstractNumId="47">
    <w:nsid w:val="70C6A529"/>
    <w:multiLevelType w:val="hybridMultilevel"/>
    <w:lvl w:ilvl="0">
      <w:lvlJc w:val="left"/>
      <w:lvlText w:val="1"/>
      <w:numFmt w:val="bullet"/>
      <w:start w:val="1"/>
    </w:lvl>
  </w:abstractNum>
  <w:abstractNum w:abstractNumId="48">
    <w:nsid w:val="520EEDD1"/>
    <w:multiLevelType w:val="hybridMultilevel"/>
    <w:lvl w:ilvl="0">
      <w:lvlJc w:val="left"/>
      <w:lvlText w:val="2"/>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1"/>
      <w:numFmt w:val="bullet"/>
      <w:start w:val="1"/>
    </w:lvl>
  </w:abstractNum>
  <w:abstractNum w:abstractNumId="51">
    <w:nsid w:val="23F9C13C"/>
    <w:multiLevelType w:val="hybridMultilevel"/>
    <w:lvl w:ilvl="0">
      <w:lvlJc w:val="left"/>
      <w:lvlText w:val="2"/>
      <w:numFmt w:val="bullet"/>
      <w:start w:val="1"/>
    </w:lvl>
  </w:abstractNum>
  <w:abstractNum w:abstractNumId="52">
    <w:nsid w:val="649BB77C"/>
    <w:multiLevelType w:val="hybridMultilevel"/>
    <w:lvl w:ilvl="0">
      <w:lvlJc w:val="left"/>
      <w:lvlText w:val="1"/>
      <w:numFmt w:val="bullet"/>
      <w:start w:val="1"/>
    </w:lvl>
  </w:abstractNum>
  <w:abstractNum w:abstractNumId="53">
    <w:nsid w:val="275AC794"/>
    <w:multiLevelType w:val="hybridMultilevel"/>
    <w:lvl w:ilvl="0">
      <w:lvlJc w:val="left"/>
      <w:lvlText w:val="2"/>
      <w:numFmt w:val="bullet"/>
      <w:start w:val="1"/>
    </w:lvl>
  </w:abstractNum>
  <w:abstractNum w:abstractNumId="54">
    <w:nsid w:val="39386575"/>
    <w:multiLevelType w:val="hybridMultilevel"/>
    <w:lvl w:ilvl="0">
      <w:lvlJc w:val="left"/>
      <w:lvlText w:val="%1"/>
      <w:numFmt w:val="decimal"/>
      <w:start w:val="32"/>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2020-07-31T16:31:27Z</dcterms:created>
  <dcterms:modified xsi:type="dcterms:W3CDTF">2020-07-31T16:31:27Z</dcterms:modified>
</cp:coreProperties>
</file>