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11-K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8885" w:type="dxa"/>
        <w:jc w:val="left"/>
        <w:tblInd w:w="0" w:type="dxa"/>
        <w:tblLayout w:type="fixed"/>
        <w:tblCellMar>
          <w:top w:w="28" w:type="dxa"/>
          <w:left w:w="28" w:type="dxa"/>
          <w:bottom w:w="28" w:type="dxa"/>
          <w:right w:w="28" w:type="dxa"/>
        </w:tblCellMar>
      </w:tblPr>
      <w:tblGrid>
        <w:gridCol w:w="124"/>
        <w:gridCol w:w="109"/>
        <w:gridCol w:w="109"/>
        <w:gridCol w:w="905"/>
        <w:gridCol w:w="905"/>
        <w:gridCol w:w="905"/>
        <w:gridCol w:w="905"/>
        <w:gridCol w:w="905"/>
        <w:gridCol w:w="905"/>
        <w:gridCol w:w="905"/>
        <w:gridCol w:w="905"/>
        <w:gridCol w:w="13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300" w:before="0" w:after="0"/>
              <w:jc w:val="left"/>
              <w:rPr>
                <w:color w:val="000000"/>
              </w:rPr>
            </w:pPr>
            <w:r>
              <w:rPr>
                <w:color w:val="000000"/>
              </w:rPr>
              <w:t>☒</w:t>
            </w:r>
          </w:p>
        </w:tc>
        <w:tc>
          <w:tcPr>
            <w:tcW w:w="85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PURSUANT TO SECTION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fiscal year ended</w:t>
            </w:r>
          </w:p>
        </w:tc>
        <w:tc>
          <w:tcPr>
            <w:tcW w:w="27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center"/>
        <w:rPr/>
      </w:pPr>
      <w:r>
        <w:rPr/>
      </w:r>
    </w:p>
    <w:tbl>
      <w:tblPr>
        <w:tblW w:w="9228" w:type="dxa"/>
        <w:jc w:val="left"/>
        <w:tblInd w:w="0" w:type="dxa"/>
        <w:tblLayout w:type="fixed"/>
        <w:tblCellMar>
          <w:top w:w="28" w:type="dxa"/>
          <w:left w:w="28" w:type="dxa"/>
          <w:bottom w:w="28" w:type="dxa"/>
          <w:right w:w="28" w:type="dxa"/>
        </w:tblCellMar>
      </w:tblPr>
      <w:tblGrid>
        <w:gridCol w:w="124"/>
        <w:gridCol w:w="109"/>
        <w:gridCol w:w="109"/>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5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8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9"/>
            <w:tcBorders/>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Commission file number</w:t>
            </w:r>
          </w:p>
        </w:tc>
        <w:tc>
          <w:tcPr>
            <w:tcW w:w="2490"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1-6887</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9"/>
            <w:tcBorders/>
            <w:tcMar>
              <w:top w:w="0" w:type="dxa"/>
              <w:left w:w="0" w:type="dxa"/>
              <w:bottom w:w="0" w:type="dxa"/>
              <w:right w:w="0" w:type="dxa"/>
            </w:tcMar>
            <w:vAlign w:val="center"/>
          </w:tcPr>
          <w:p>
            <w:pPr>
              <w:pStyle w:val="TableContents"/>
              <w:bidi w:val="0"/>
              <w:spacing w:before="0" w:after="0"/>
              <w:ind w:left="0" w:right="0" w:hanging="135"/>
              <w:jc w:val="left"/>
              <w:rPr/>
            </w:pPr>
            <w:r>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88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title of the plan and the address of the plan, if different from that of the issuer named below: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Hawaii Retirement Savings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888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issuer of the securities held pursuant to the plan and the address of its principal executive office: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Hawaii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 Merchant Street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Honolulu, Hawaii 96813</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REQUIRED INFORMATION</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549"/>
        <w:gridCol w:w="549"/>
        <w:gridCol w:w="549"/>
        <w:gridCol w:w="659"/>
        <w:gridCol w:w="549"/>
        <w:gridCol w:w="549"/>
        <w:gridCol w:w="2025"/>
        <w:gridCol w:w="1862"/>
        <w:gridCol w:w="2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63" w:type="dxa"/>
            <w:gridSpan w:val="9"/>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Listed below are the financial statements and exhibits filed as part of the annual report.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16"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7" w:type="dxa"/>
            <w:gridSpan w:val="3"/>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216" w:type="dxa"/>
            <w:gridSpan w:val="6"/>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5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7" w:type="dxa"/>
            <w:gridSpan w:val="3"/>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459" w:type="dxa"/>
            <w:gridSpan w:val="3"/>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7" w:type="dxa"/>
            <w:gridSpan w:val="3"/>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6459" w:type="dxa"/>
            <w:gridSpan w:val="3"/>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Statements of Net Assets Available for Benefits as of December 31, 2025 and 2024</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7" w:type="dxa"/>
            <w:gridSpan w:val="3"/>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6459" w:type="dxa"/>
            <w:gridSpan w:val="3"/>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Statements of Changes in Net Assets Available for Benefits for the Years Ended December 31, 2025 and 2024</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7" w:type="dxa"/>
            <w:gridSpan w:val="3"/>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6459" w:type="dxa"/>
            <w:gridSpan w:val="3"/>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Notes to Financial Statements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7" w:type="dxa"/>
            <w:gridSpan w:val="3"/>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6459" w:type="dxa"/>
            <w:gridSpan w:val="3"/>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Schedule of Assets (Held at End of Year)</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5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7" w:type="dxa"/>
            <w:gridSpan w:val="3"/>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8216" w:type="dxa"/>
            <w:gridSpan w:val="6"/>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7" w:type="dxa"/>
            <w:gridSpan w:val="3"/>
            <w:tcBorders/>
            <w:tcMar>
              <w:top w:w="0" w:type="dxa"/>
              <w:left w:w="0" w:type="dxa"/>
              <w:bottom w:w="0" w:type="dxa"/>
              <w:right w:w="0" w:type="dxa"/>
            </w:tcMar>
            <w:vAlign w:val="center"/>
          </w:tcPr>
          <w:p>
            <w:pPr>
              <w:pStyle w:val="TableContents"/>
              <w:bidi w:val="0"/>
              <w:spacing w:lineRule="atLeast" w:line="300" w:before="0" w:after="0"/>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6459" w:type="dxa"/>
            <w:gridSpan w:val="3"/>
            <w:tcBorders/>
            <w:tcMar>
              <w:top w:w="0" w:type="dxa"/>
              <w:left w:w="0" w:type="dxa"/>
              <w:bottom w:w="0" w:type="dxa"/>
              <w:right w:w="0" w:type="dxa"/>
            </w:tcMar>
            <w:vAlign w:val="center"/>
          </w:tcPr>
          <w:p>
            <w:pPr>
              <w:pStyle w:val="TableContents"/>
              <w:bidi w:val="0"/>
              <w:spacing w:lineRule="atLeast" w:line="300" w:before="0" w:after="0"/>
              <w:jc w:val="left"/>
              <w:rPr/>
            </w:pPr>
            <w:hyperlink w:anchor="ex231202511k.htm">
              <w:r>
                <w:rPr>
                  <w:rStyle w:val="InternetLink"/>
                  <w:rFonts w:ascii="Times New Roman;serif" w:hAnsi="Times New Roman;serif"/>
                  <w:b w:val="false"/>
                  <w:color w:val="0000FF"/>
                  <w:sz w:val="20"/>
                  <w:u w:val="single"/>
                </w:rPr>
                <w:t>Consent of Independent Registered Public Accounting Firm</w:t>
              </w:r>
            </w:hyperlink>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The Plan</w:t>
      </w:r>
      <w:r>
        <w:rPr>
          <w:rFonts w:ascii="Times New Roman;serif" w:hAnsi="Times New Roman;serif"/>
          <w:b w:val="false"/>
          <w:color w:val="000000"/>
          <w:sz w:val="20"/>
        </w:rPr>
        <w:t>. Pursuant to the requirements of the Securities Exchange Act of 1934, the trustees (or other persons who administer the employee benefit plan) have duly caused this annual report to be signed on its behalf by the undersigned hereunto duly authorized.</w:t>
      </w:r>
    </w:p>
    <w:p>
      <w:pPr>
        <w:pStyle w:val="TextBody"/>
        <w:bidi w:val="0"/>
        <w:spacing w:before="0" w:after="0"/>
        <w:jc w:val="left"/>
        <w:rPr/>
      </w:pPr>
      <w:r>
        <w:rPr/>
      </w:r>
    </w:p>
    <w:tbl>
      <w:tblPr>
        <w:tblW w:w="8668" w:type="dxa"/>
        <w:jc w:val="left"/>
        <w:tblInd w:w="0" w:type="dxa"/>
        <w:tblLayout w:type="fixed"/>
        <w:tblCellMar>
          <w:top w:w="28" w:type="dxa"/>
          <w:left w:w="28" w:type="dxa"/>
          <w:bottom w:w="28" w:type="dxa"/>
          <w:right w:w="28" w:type="dxa"/>
        </w:tblCellMar>
      </w:tblPr>
      <w:tblGrid>
        <w:gridCol w:w="200"/>
        <w:gridCol w:w="177"/>
        <w:gridCol w:w="178"/>
        <w:gridCol w:w="414"/>
        <w:gridCol w:w="414"/>
        <w:gridCol w:w="416"/>
        <w:gridCol w:w="2007"/>
        <w:gridCol w:w="2007"/>
        <w:gridCol w:w="285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Bank of Hawaii Retirement Savings Plan</w:t>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Plan)</w:t>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23, 2026</w:t>
            </w:r>
          </w:p>
        </w:tc>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POLK</w:t>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Polk</w:t>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of Bank of Hawaii Corporation</w:t>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S. SATENBERG</w:t>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S. Satenberg</w:t>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Chair and Chief Financial Officer of</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Bank of Hawaii Corporation</w:t>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KEITH M. ASATO</w:t>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M. Asato</w:t>
            </w:r>
          </w:p>
        </w:tc>
      </w:tr>
      <w:tr>
        <w:trPr/>
        <w:tc>
          <w:tcPr>
            <w:tcW w:w="17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Principal Accounting Officer of Bank of Hawaii Corporation</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487" w:type="dxa"/>
        <w:jc w:val="left"/>
        <w:tblInd w:w="0" w:type="dxa"/>
        <w:tblLayout w:type="fixed"/>
        <w:tblCellMar>
          <w:top w:w="28" w:type="dxa"/>
          <w:left w:w="28" w:type="dxa"/>
          <w:bottom w:w="28" w:type="dxa"/>
          <w:right w:w="28" w:type="dxa"/>
        </w:tblCellMar>
      </w:tblPr>
      <w:tblGrid>
        <w:gridCol w:w="124"/>
        <w:gridCol w:w="109"/>
        <w:gridCol w:w="109"/>
        <w:gridCol w:w="1507"/>
        <w:gridCol w:w="1507"/>
        <w:gridCol w:w="21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32" w:before="75" w:after="30"/>
              <w:jc w:val="left"/>
              <w:rPr>
                <w:rFonts w:ascii="Times New Roman;serif" w:hAnsi="Times New Roman;serif"/>
                <w:b w:val="false"/>
                <w:color w:val="000000"/>
                <w:sz w:val="28"/>
              </w:rPr>
            </w:pPr>
            <w:r>
              <w:rPr>
                <w:rFonts w:ascii="Times New Roman;serif" w:hAnsi="Times New Roman;serif"/>
                <w:b w:val="false"/>
                <w:color w:val="000000"/>
                <w:sz w:val="28"/>
              </w:rPr>
              <w:t>FINANCIAL STATEMENTS AND</w:t>
            </w:r>
          </w:p>
          <w:p>
            <w:pPr>
              <w:pStyle w:val="TableContents"/>
              <w:bidi w:val="0"/>
              <w:spacing w:lineRule="auto" w:line="232" w:before="75" w:after="30"/>
              <w:jc w:val="left"/>
              <w:rPr>
                <w:rFonts w:ascii="Times New Roman;serif" w:hAnsi="Times New Roman;serif"/>
                <w:b w:val="false"/>
                <w:color w:val="000000"/>
                <w:sz w:val="28"/>
              </w:rPr>
            </w:pPr>
            <w:r>
              <w:rPr>
                <w:rFonts w:ascii="Times New Roman;serif" w:hAnsi="Times New Roman;serif"/>
                <w:b w:val="false"/>
                <w:color w:val="000000"/>
                <w:sz w:val="28"/>
              </w:rPr>
              <w:t>SUPPLEMENTAL SCHEDULE</w:t>
            </w:r>
          </w:p>
          <w:p>
            <w:pPr>
              <w:pStyle w:val="TableContents"/>
              <w:bidi w:val="0"/>
              <w:spacing w:lineRule="auto" w:line="288" w:before="240" w:after="283"/>
              <w:jc w:val="both"/>
              <w:rPr>
                <w:rFonts w:ascii="Times New Roman;serif" w:hAnsi="Times New Roman;serif"/>
                <w:b w:val="false"/>
                <w:color w:val="000000"/>
                <w:sz w:val="28"/>
              </w:rPr>
            </w:pPr>
            <w:r>
              <w:rPr>
                <w:rFonts w:ascii="Times New Roman;serif" w:hAnsi="Times New Roman;serif"/>
                <w:b w:val="false"/>
                <w:color w:val="000000"/>
                <w:sz w:val="28"/>
              </w:rPr>
              <w:t>Bank of Hawaii Retirement Savings Plan</w:t>
              <w:br/>
              <w:t>Years Ended December 31, 2025 and 2024</w:t>
              <w:br/>
              <w:t>With Report of Independent Registered</w:t>
              <w:br/>
              <w:t>Public Accounting Firm</w:t>
            </w:r>
          </w:p>
        </w:tc>
      </w:tr>
    </w:tbl>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7660"/>
                <wp:effectExtent l="0" t="0" r="0" b="0"/>
                <wp:wrapNone/>
                <wp:docPr id="3"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5" w:before="0" w:after="0"/>
        <w:jc w:val="center"/>
        <w:rPr>
          <w:rFonts w:ascii="Times New Roman;serif" w:hAnsi="Times New Roman;serif"/>
          <w:b w:val="false"/>
          <w:color w:val="000000"/>
          <w:sz w:val="28"/>
        </w:rPr>
      </w:pPr>
      <w:r>
        <w:rPr>
          <w:rFonts w:ascii="Times New Roman;serif" w:hAnsi="Times New Roman;serif"/>
          <w:b w:val="false"/>
          <w:color w:val="000000"/>
          <w:sz w:val="28"/>
        </w:rPr>
        <w:t>Bank of Hawaii Retirement Savings Plan</w:t>
      </w:r>
    </w:p>
    <w:p>
      <w:pPr>
        <w:pStyle w:val="TextBody"/>
        <w:bidi w:val="0"/>
        <w:spacing w:lineRule="auto" w:line="285" w:before="240" w:after="283"/>
        <w:jc w:val="center"/>
        <w:rPr>
          <w:rFonts w:ascii="Times New Roman;serif" w:hAnsi="Times New Roman;serif"/>
          <w:b w:val="false"/>
          <w:color w:val="000000"/>
          <w:sz w:val="28"/>
        </w:rPr>
      </w:pPr>
      <w:r>
        <w:rPr>
          <w:rFonts w:ascii="Times New Roman;serif" w:hAnsi="Times New Roman;serif"/>
          <w:b w:val="false"/>
          <w:color w:val="000000"/>
          <w:sz w:val="28"/>
        </w:rPr>
        <w:t>Financial Statements and Supplemental Schedule</w:t>
      </w:r>
    </w:p>
    <w:p>
      <w:pPr>
        <w:pStyle w:val="TextBody"/>
        <w:bidi w:val="0"/>
        <w:spacing w:lineRule="auto" w:line="285" w:before="240" w:after="283"/>
        <w:jc w:val="center"/>
        <w:rPr>
          <w:rFonts w:ascii="Times New Roman;serif" w:hAnsi="Times New Roman;serif"/>
          <w:b w:val="false"/>
          <w:color w:val="000000"/>
          <w:sz w:val="28"/>
        </w:rPr>
      </w:pPr>
      <w:r>
        <w:rPr>
          <w:rFonts w:ascii="Times New Roman;serif" w:hAnsi="Times New Roman;serif"/>
          <w:b w:val="false"/>
          <w:color w:val="000000"/>
          <w:sz w:val="28"/>
        </w:rPr>
        <w:t xml:space="preserve">Years Ended December 31, 2025 and 2024 </w:t>
      </w:r>
    </w:p>
    <w:p>
      <w:pPr>
        <w:pStyle w:val="TextBody"/>
        <w:bidi w:val="0"/>
        <w:spacing w:lineRule="auto" w:line="288" w:before="600" w:after="283"/>
        <w:jc w:val="center"/>
        <w:rPr>
          <w:rFonts w:ascii="Times New Roman;serif" w:hAnsi="Times New Roman;serif"/>
          <w:b/>
          <w:color w:val="000000"/>
          <w:sz w:val="28"/>
        </w:rPr>
      </w:pPr>
      <w:r>
        <w:rPr>
          <w:rFonts w:ascii="Times New Roman;serif" w:hAnsi="Times New Roman;serif"/>
          <w:b/>
          <w:color w:val="000000"/>
          <w:sz w:val="28"/>
        </w:rPr>
        <w:t>Contents</w:t>
      </w:r>
    </w:p>
    <w:p>
      <w:pPr>
        <w:pStyle w:val="TextBody"/>
        <w:bidi w:val="0"/>
        <w:spacing w:before="0" w:after="0"/>
        <w:jc w:val="left"/>
        <w:rPr/>
      </w:pPr>
      <w:r>
        <w:rPr/>
      </w:r>
    </w:p>
    <w:tbl>
      <w:tblPr>
        <w:tblW w:w="5517" w:type="dxa"/>
        <w:jc w:val="left"/>
        <w:tblInd w:w="0" w:type="dxa"/>
        <w:tblLayout w:type="fixed"/>
        <w:tblCellMar>
          <w:top w:w="28" w:type="dxa"/>
          <w:left w:w="28" w:type="dxa"/>
          <w:bottom w:w="28" w:type="dxa"/>
          <w:right w:w="28" w:type="dxa"/>
        </w:tblCellMar>
      </w:tblPr>
      <w:tblGrid>
        <w:gridCol w:w="1863"/>
        <w:gridCol w:w="1636"/>
        <w:gridCol w:w="1646"/>
        <w:gridCol w:w="109"/>
        <w:gridCol w:w="109"/>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32" w:before="75" w:after="30"/>
              <w:jc w:val="left"/>
              <w:rPr/>
            </w:pPr>
            <w:hyperlink w:anchor="i474e18a2ff94481a99faebb5fdf2a03f_7">
              <w:r>
                <w:rPr>
                  <w:rStyle w:val="InternetLink"/>
                  <w:rFonts w:ascii="Times New Roman;serif" w:hAnsi="Times New Roman;serif"/>
                  <w:b w:val="false"/>
                  <w:color w:val="0563C1"/>
                  <w:sz w:val="20"/>
                  <w:u w:val="single"/>
                </w:rPr>
                <w:t>Report of 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lineRule="auto" w:line="232" w:before="0" w:after="0"/>
              <w:jc w:val="right"/>
              <w:rPr/>
            </w:pPr>
            <w:hyperlink w:anchor="i474e18a2ff94481a99faebb5fdf2a03f_7">
              <w:r>
                <w:rPr>
                  <w:rStyle w:val="InternetLink"/>
                  <w:rFonts w:ascii="Times New Roman;serif" w:hAnsi="Times New Roman;serif"/>
                  <w:b w:val="false"/>
                  <w:strike w:val="false"/>
                  <w:dstrike w:val="false"/>
                  <w:color w:val="000000"/>
                  <w:sz w:val="20"/>
                  <w:u w:val="none"/>
                  <w:effect w:val="none"/>
                </w:rPr>
                <w:t>1</w:t>
              </w:r>
            </w:hyperlink>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32" w:before="75" w:after="30"/>
              <w:jc w:val="left"/>
              <w:rPr>
                <w:rFonts w:ascii="Times New Roman;serif" w:hAnsi="Times New Roman;serif"/>
                <w:b w:val="false"/>
                <w:color w:val="000000"/>
                <w:sz w:val="20"/>
              </w:rPr>
            </w:pPr>
            <w:r>
              <w:rPr>
                <w:rFonts w:ascii="Times New Roman;serif" w:hAnsi="Times New Roman;serif"/>
                <w:b w:val="false"/>
                <w:color w:val="000000"/>
                <w:sz w:val="20"/>
              </w:rPr>
              <w:t>Audited Financial Statements: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32" w:before="75" w:after="30"/>
              <w:jc w:val="left"/>
              <w:rPr/>
            </w:pPr>
            <w:hyperlink w:anchor="i474e18a2ff94481a99faebb5fdf2a03f_10">
              <w:r>
                <w:rPr>
                  <w:rStyle w:val="InternetLink"/>
                  <w:rFonts w:ascii="Times New Roman;serif" w:hAnsi="Times New Roman;serif"/>
                  <w:b w:val="false"/>
                  <w:color w:val="0563C1"/>
                  <w:sz w:val="20"/>
                  <w:u w:val="single"/>
                </w:rPr>
                <w:t>Statements of Net Assets Available for Benefits</w:t>
              </w:r>
            </w:hyperlink>
          </w:p>
        </w:tc>
        <w:tc>
          <w:tcPr>
            <w:tcW w:w="372" w:type="dxa"/>
            <w:gridSpan w:val="3"/>
            <w:tcBorders/>
            <w:tcMar>
              <w:top w:w="0" w:type="dxa"/>
              <w:left w:w="0" w:type="dxa"/>
              <w:bottom w:w="0" w:type="dxa"/>
              <w:right w:w="0" w:type="dxa"/>
            </w:tcMar>
            <w:vAlign w:val="center"/>
          </w:tcPr>
          <w:p>
            <w:pPr>
              <w:pStyle w:val="TableContents"/>
              <w:bidi w:val="0"/>
              <w:spacing w:lineRule="auto" w:line="232" w:before="75" w:after="30"/>
              <w:jc w:val="right"/>
              <w:rPr/>
            </w:pPr>
            <w:hyperlink w:anchor="i474e18a2ff94481a99faebb5fdf2a03f_10">
              <w:r>
                <w:rPr>
                  <w:rStyle w:val="InternetLink"/>
                  <w:rFonts w:ascii="Times New Roman;serif" w:hAnsi="Times New Roman;serif"/>
                  <w:b w:val="false"/>
                  <w:strike w:val="false"/>
                  <w:dstrike w:val="false"/>
                  <w:color w:val="000000"/>
                  <w:sz w:val="20"/>
                  <w:u w:val="none"/>
                  <w:effect w:val="none"/>
                </w:rPr>
                <w:t>2</w:t>
              </w:r>
            </w:hyperlink>
          </w:p>
        </w:tc>
      </w:tr>
      <w:tr>
        <w:trPr/>
        <w:tc>
          <w:tcPr>
            <w:tcW w:w="5145" w:type="dxa"/>
            <w:gridSpan w:val="3"/>
            <w:tcBorders/>
            <w:tcMar>
              <w:top w:w="0" w:type="dxa"/>
              <w:left w:w="0" w:type="dxa"/>
              <w:bottom w:w="0" w:type="dxa"/>
              <w:right w:w="0" w:type="dxa"/>
            </w:tcMar>
            <w:vAlign w:val="center"/>
          </w:tcPr>
          <w:p>
            <w:pPr>
              <w:pStyle w:val="TableContents"/>
              <w:bidi w:val="0"/>
              <w:spacing w:lineRule="auto" w:line="232" w:before="75" w:after="30"/>
              <w:jc w:val="left"/>
              <w:rPr/>
            </w:pPr>
            <w:hyperlink w:anchor="i474e18a2ff94481a99faebb5fdf2a03f_13">
              <w:r>
                <w:rPr>
                  <w:rStyle w:val="InternetLink"/>
                  <w:rFonts w:ascii="Times New Roman;serif" w:hAnsi="Times New Roman;serif"/>
                  <w:b w:val="false"/>
                  <w:color w:val="0563C1"/>
                  <w:sz w:val="20"/>
                  <w:u w:val="single"/>
                </w:rPr>
                <w:t>Statements of Changes in Net Assets Available for Benefits</w:t>
              </w:r>
            </w:hyperlink>
          </w:p>
        </w:tc>
        <w:tc>
          <w:tcPr>
            <w:tcW w:w="372" w:type="dxa"/>
            <w:gridSpan w:val="3"/>
            <w:tcBorders/>
            <w:tcMar>
              <w:top w:w="0" w:type="dxa"/>
              <w:left w:w="0" w:type="dxa"/>
              <w:bottom w:w="0" w:type="dxa"/>
              <w:right w:w="0" w:type="dxa"/>
            </w:tcMar>
            <w:vAlign w:val="center"/>
          </w:tcPr>
          <w:p>
            <w:pPr>
              <w:pStyle w:val="TableContents"/>
              <w:bidi w:val="0"/>
              <w:spacing w:lineRule="auto" w:line="232" w:before="75" w:after="30"/>
              <w:jc w:val="right"/>
              <w:rPr/>
            </w:pPr>
            <w:hyperlink w:anchor="i474e18a2ff94481a99faebb5fdf2a03f_13">
              <w:r>
                <w:rPr>
                  <w:rStyle w:val="InternetLink"/>
                  <w:rFonts w:ascii="Times New Roman;serif" w:hAnsi="Times New Roman;serif"/>
                  <w:b w:val="false"/>
                  <w:strike w:val="false"/>
                  <w:dstrike w:val="false"/>
                  <w:color w:val="000000"/>
                  <w:sz w:val="20"/>
                  <w:u w:val="none"/>
                  <w:effect w:val="none"/>
                </w:rPr>
                <w:t>3</w:t>
              </w:r>
            </w:hyperlink>
          </w:p>
        </w:tc>
      </w:tr>
      <w:tr>
        <w:trPr/>
        <w:tc>
          <w:tcPr>
            <w:tcW w:w="5145" w:type="dxa"/>
            <w:gridSpan w:val="3"/>
            <w:tcBorders/>
            <w:tcMar>
              <w:top w:w="0" w:type="dxa"/>
              <w:left w:w="0" w:type="dxa"/>
              <w:bottom w:w="0" w:type="dxa"/>
              <w:right w:w="0" w:type="dxa"/>
            </w:tcMar>
            <w:vAlign w:val="center"/>
          </w:tcPr>
          <w:p>
            <w:pPr>
              <w:pStyle w:val="TableContents"/>
              <w:bidi w:val="0"/>
              <w:spacing w:lineRule="auto" w:line="232" w:before="75" w:after="30"/>
              <w:jc w:val="left"/>
              <w:rPr/>
            </w:pPr>
            <w:hyperlink w:anchor="i474e18a2ff94481a99faebb5fdf2a03f_16">
              <w:r>
                <w:rPr>
                  <w:rStyle w:val="InternetLink"/>
                  <w:rFonts w:ascii="Times New Roman;serif" w:hAnsi="Times New Roman;serif"/>
                  <w:b w:val="false"/>
                  <w:color w:val="0563C1"/>
                  <w:sz w:val="20"/>
                  <w:u w:val="single"/>
                </w:rPr>
                <w:t>Notes to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32" w:before="75" w:after="30"/>
              <w:jc w:val="right"/>
              <w:rPr/>
            </w:pPr>
            <w:hyperlink w:anchor="i474e18a2ff94481a99faebb5fdf2a03f_16">
              <w:r>
                <w:rPr>
                  <w:rStyle w:val="InternetLink"/>
                  <w:rFonts w:ascii="Times New Roman;serif" w:hAnsi="Times New Roman;serif"/>
                  <w:b w:val="false"/>
                  <w:strike w:val="false"/>
                  <w:dstrike w:val="false"/>
                  <w:color w:val="000000"/>
                  <w:sz w:val="20"/>
                  <w:u w:val="none"/>
                  <w:effect w:val="none"/>
                </w:rPr>
                <w:t>4</w:t>
              </w:r>
            </w:hyperlink>
          </w:p>
        </w:tc>
      </w:tr>
      <w:tr>
        <w:trPr/>
        <w:tc>
          <w:tcPr>
            <w:tcW w:w="5145" w:type="dxa"/>
            <w:gridSpan w:val="3"/>
            <w:tcBorders/>
            <w:tcMar>
              <w:top w:w="0" w:type="dxa"/>
              <w:left w:w="0" w:type="dxa"/>
              <w:bottom w:w="0" w:type="dxa"/>
              <w:right w:w="0" w:type="dxa"/>
            </w:tcMar>
            <w:vAlign w:val="center"/>
          </w:tcPr>
          <w:p>
            <w:pPr>
              <w:pStyle w:val="TableContents"/>
              <w:bidi w:val="0"/>
              <w:spacing w:lineRule="auto" w:line="232" w:before="75" w:after="30"/>
              <w:jc w:val="left"/>
              <w:rPr/>
            </w:pPr>
            <w:hyperlink w:anchor="i474e18a2ff94481a99faebb5fdf2a03f_19">
              <w:r>
                <w:rPr>
                  <w:rStyle w:val="InternetLink"/>
                  <w:rFonts w:ascii="Times New Roman;serif" w:hAnsi="Times New Roman;serif"/>
                  <w:b w:val="false"/>
                  <w:color w:val="0563C1"/>
                  <w:sz w:val="20"/>
                  <w:u w:val="single"/>
                </w:rPr>
                <w:t>Supplemental Schedule</w:t>
              </w:r>
            </w:hyperlink>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32" w:before="75" w:after="30"/>
              <w:jc w:val="left"/>
              <w:rPr/>
            </w:pPr>
            <w:hyperlink w:anchor="i474e18a2ff94481a99faebb5fdf2a03f_22">
              <w:r>
                <w:rPr>
                  <w:rStyle w:val="InternetLink"/>
                  <w:rFonts w:ascii="Times New Roman;serif" w:hAnsi="Times New Roman;serif"/>
                  <w:b w:val="false"/>
                  <w:color w:val="0563C1"/>
                  <w:sz w:val="20"/>
                  <w:u w:val="single"/>
                </w:rPr>
                <w:t>Schedule H, Line 4i - Schedule of Assets (Held at End of Year)</w:t>
              </w:r>
            </w:hyperlink>
          </w:p>
        </w:tc>
        <w:tc>
          <w:tcPr>
            <w:tcW w:w="372" w:type="dxa"/>
            <w:gridSpan w:val="3"/>
            <w:tcBorders/>
            <w:tcMar>
              <w:top w:w="0" w:type="dxa"/>
              <w:left w:w="0" w:type="dxa"/>
              <w:bottom w:w="0" w:type="dxa"/>
              <w:right w:w="0" w:type="dxa"/>
            </w:tcMar>
            <w:vAlign w:val="center"/>
          </w:tcPr>
          <w:p>
            <w:pPr>
              <w:pStyle w:val="TableContents"/>
              <w:bidi w:val="0"/>
              <w:spacing w:lineRule="auto" w:line="232" w:before="75" w:after="30"/>
              <w:jc w:val="right"/>
              <w:rPr/>
            </w:pPr>
            <w:hyperlink w:anchor="i474e18a2ff94481a99faebb5fdf2a03f_22">
              <w:r>
                <w:rPr>
                  <w:rStyle w:val="InternetLink"/>
                  <w:rFonts w:ascii="Times New Roman;serif" w:hAnsi="Times New Roman;serif"/>
                  <w:b w:val="false"/>
                  <w:strike w:val="false"/>
                  <w:dstrike w:val="false"/>
                  <w:color w:val="000000"/>
                  <w:sz w:val="20"/>
                  <w:u w:val="none"/>
                  <w:effect w:val="none"/>
                </w:rPr>
                <w:t>11</w:t>
              </w:r>
            </w:hyperlink>
          </w:p>
        </w:tc>
      </w:tr>
    </w:tbl>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i/>
          <w:color w:val="000000"/>
          <w:sz w:val="20"/>
        </w:rPr>
        <w:t>*All other financial schedules required by section 2520.103-10 of the U.S. Department of Labor's Annual Reporting and Disclosure Requirements under the Employee Retirement Income Security Act of 1974 have been omitted because they are not applicable.</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Plan Participants and the Plan Administrator of Bank of Hawaii Retirement Savings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statements of net assets available for benefits of Bank of Hawaii Retirement Savings Plan (the Plan) as of December 31, 2025 and 2024, and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at December 31, 2025 and 2024, and the changes in its net assets available for benefits for the years then ended, in conformity with U.S.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Supplemental Schedule Required by ERISA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supplemental schedule of assets (held at end of year) as of December 31, 2025 (referred to as the “supplemental schedule”), has been subjected to audit procedures performed in conjunction with the audit of the Plan’s financial statements. The information in the supplemental schedule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served as the Plan’s auditor since at least 1993, but we are unable to determine the specific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Honolulu, Hawaii</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June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Bank of Hawaii Retirement Savings Plan</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Statements of Net Assets Available for Benefits</w:t>
      </w:r>
    </w:p>
    <w:p>
      <w:pPr>
        <w:pStyle w:val="TextBody"/>
        <w:bidi w:val="0"/>
        <w:spacing w:before="0" w:after="0"/>
        <w:jc w:val="left"/>
        <w:rPr/>
      </w:pPr>
      <w:r>
        <w:rPr/>
      </w:r>
    </w:p>
    <w:p>
      <w:pPr>
        <w:pStyle w:val="TextBody"/>
        <w:bidi w:val="0"/>
        <w:spacing w:before="0" w:after="0"/>
        <w:jc w:val="left"/>
        <w:rPr/>
      </w:pPr>
      <w:r>
        <w:rPr/>
      </w:r>
    </w:p>
    <w:tbl>
      <w:tblPr>
        <w:tblW w:w="5886" w:type="dxa"/>
        <w:jc w:val="left"/>
        <w:tblInd w:w="0" w:type="dxa"/>
        <w:tblLayout w:type="fixed"/>
        <w:tblCellMar>
          <w:top w:w="28" w:type="dxa"/>
          <w:left w:w="28" w:type="dxa"/>
          <w:bottom w:w="28" w:type="dxa"/>
          <w:right w:w="28" w:type="dxa"/>
        </w:tblCellMar>
      </w:tblPr>
      <w:tblGrid>
        <w:gridCol w:w="1045"/>
        <w:gridCol w:w="921"/>
        <w:gridCol w:w="929"/>
        <w:gridCol w:w="109"/>
        <w:gridCol w:w="109"/>
        <w:gridCol w:w="109"/>
        <w:gridCol w:w="211"/>
        <w:gridCol w:w="826"/>
        <w:gridCol w:w="109"/>
        <w:gridCol w:w="109"/>
        <w:gridCol w:w="109"/>
        <w:gridCol w:w="109"/>
        <w:gridCol w:w="211"/>
        <w:gridCol w:w="826"/>
        <w:gridCol w:w="154"/>
      </w:tblGrid>
      <w:tr>
        <w:trPr/>
        <w:tc>
          <w:tcPr>
            <w:tcW w:w="104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Bank of Hawaii Retirement Savings Plan</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Statements of Changes in Net Assets Available for Benefits</w:t>
      </w:r>
    </w:p>
    <w:p>
      <w:pPr>
        <w:pStyle w:val="TextBody"/>
        <w:bidi w:val="0"/>
        <w:spacing w:before="0" w:after="0"/>
        <w:jc w:val="left"/>
        <w:rPr/>
      </w:pPr>
      <w:r>
        <w:rPr/>
      </w:r>
    </w:p>
    <w:tbl>
      <w:tblPr>
        <w:tblW w:w="7401" w:type="dxa"/>
        <w:jc w:val="left"/>
        <w:tblInd w:w="0" w:type="dxa"/>
        <w:tblLayout w:type="fixed"/>
        <w:tblCellMar>
          <w:top w:w="28" w:type="dxa"/>
          <w:left w:w="28" w:type="dxa"/>
          <w:bottom w:w="28" w:type="dxa"/>
          <w:right w:w="28" w:type="dxa"/>
        </w:tblCellMar>
      </w:tblPr>
      <w:tblGrid>
        <w:gridCol w:w="1594"/>
        <w:gridCol w:w="1399"/>
        <w:gridCol w:w="1417"/>
        <w:gridCol w:w="109"/>
        <w:gridCol w:w="109"/>
        <w:gridCol w:w="109"/>
        <w:gridCol w:w="211"/>
        <w:gridCol w:w="826"/>
        <w:gridCol w:w="109"/>
        <w:gridCol w:w="109"/>
        <w:gridCol w:w="109"/>
        <w:gridCol w:w="109"/>
        <w:gridCol w:w="211"/>
        <w:gridCol w:w="826"/>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appreciation in fair value of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67,043</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97,308</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notes receivable from participants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16,976</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rollovers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24,780</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(60,865)</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(61,482)</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61,031</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 at beginning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758,942</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4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28"/>
        </w:rPr>
      </w:pPr>
      <w:r>
        <w:rPr>
          <w:rFonts w:ascii="Times New Roman;serif" w:hAnsi="Times New Roman;serif"/>
          <w:b w:val="false"/>
          <w:color w:val="000000"/>
          <w:sz w:val="28"/>
        </w:rPr>
        <w:t>Bank of Hawaii Retirement Savings Plan</w:t>
      </w:r>
    </w:p>
    <w:p>
      <w:pPr>
        <w:pStyle w:val="TextBody"/>
        <w:bidi w:val="0"/>
        <w:spacing w:lineRule="auto" w:line="288" w:before="120" w:after="283"/>
        <w:jc w:val="center"/>
        <w:rPr>
          <w:rFonts w:ascii="Times New Roman;serif" w:hAnsi="Times New Roman;serif"/>
          <w:b w:val="false"/>
          <w:color w:val="000000"/>
          <w:sz w:val="28"/>
        </w:rPr>
      </w:pPr>
      <w:r>
        <w:rPr>
          <w:rFonts w:ascii="Times New Roman;serif" w:hAnsi="Times New Roman;serif"/>
          <w:b w:val="false"/>
          <w:color w:val="000000"/>
          <w:sz w:val="28"/>
        </w:rPr>
        <w:t>Notes to Financial Statements</w:t>
      </w:r>
    </w:p>
    <w:p>
      <w:pPr>
        <w:pStyle w:val="TextBody"/>
        <w:bidi w:val="0"/>
        <w:spacing w:lineRule="auto" w:line="288" w:before="120" w:after="283"/>
        <w:jc w:val="center"/>
        <w:rPr>
          <w:rFonts w:ascii="Times New Roman;serif" w:hAnsi="Times New Roman;serif"/>
          <w:b w:val="false"/>
          <w:color w:val="000000"/>
          <w:sz w:val="28"/>
        </w:rPr>
      </w:pPr>
      <w:r>
        <w:rPr>
          <w:rFonts w:ascii="Times New Roman;serif" w:hAnsi="Times New Roman;serif"/>
          <w:b w:val="false"/>
          <w:color w:val="000000"/>
          <w:sz w:val="28"/>
        </w:rPr>
        <w:t>December 31, 2025 and 2024</w:t>
      </w:r>
    </w:p>
    <w:p>
      <w:pPr>
        <w:pStyle w:val="TextBody"/>
        <w:bidi w:val="0"/>
        <w:spacing w:lineRule="auto" w:line="285" w:before="200" w:after="283"/>
        <w:jc w:val="both"/>
        <w:rPr>
          <w:rFonts w:ascii="Times New Roman;serif" w:hAnsi="Times New Roman;serif"/>
          <w:b/>
          <w:color w:val="000000"/>
          <w:sz w:val="20"/>
        </w:rPr>
      </w:pPr>
      <w:r>
        <w:rPr>
          <w:rFonts w:ascii="Times New Roman;serif" w:hAnsi="Times New Roman;serif"/>
          <w:b/>
          <w:color w:val="000000"/>
          <w:sz w:val="20"/>
        </w:rPr>
        <w:t>1. Description of the Plan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description of the Bank of Hawaii Retirement Savings Plan (the “Plan”) provides only general information about the Plan’s provisions. Participants should refer to the Plan Document for a more complete description of the Plan’s provisions.</w:t>
      </w:r>
    </w:p>
    <w:p>
      <w:pPr>
        <w:pStyle w:val="TextBody"/>
        <w:bidi w:val="0"/>
        <w:spacing w:lineRule="auto" w:line="285" w:before="200" w:after="283"/>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Plan is a defined contribution plan for employees of Bank of Hawaii Corporation, and certain of its subsidiaries (collectively, the “Company”) who have at least 60 days of service. In addition, the Company provides matching contributions after completion of 12 months of service. The Plan is subject to the provisions of the Employee Retirement Income Security Act of 1974 (ERISA).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Bank of Hawaii (the “Bank” or the “Plan Administrator”), a subsidiary of the Company, is the Plan administrator and plan sponsor. All assets of the Plan are held in trust by Vanguard Fiduciary Trust Company (“Vanguard”), as trustee, and all benefits are provided by such trust.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Certain prior period information has been reclassified to conform with current year presentation.</w:t>
      </w:r>
    </w:p>
    <w:p>
      <w:pPr>
        <w:pStyle w:val="TextBody"/>
        <w:bidi w:val="0"/>
        <w:spacing w:lineRule="auto" w:line="285" w:before="200" w:after="283"/>
        <w:jc w:val="both"/>
        <w:rPr>
          <w:rFonts w:ascii="Times New Roman;serif" w:hAnsi="Times New Roman;serif"/>
          <w:b/>
          <w:color w:val="000000"/>
          <w:sz w:val="20"/>
        </w:rPr>
      </w:pPr>
      <w:r>
        <w:rPr>
          <w:rFonts w:ascii="Times New Roman;serif" w:hAnsi="Times New Roman;serif"/>
          <w:b/>
          <w:color w:val="000000"/>
          <w:sz w:val="20"/>
        </w:rPr>
        <w:t>Contributions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Participating employees are allowed to contribute up to 50% of their eligible compensation (within federal limits) on a pre-tax or after-tax basis to the Plan. The Company makes matching contributions on behalf of participants equal to $1.25 for each $1.00 contributed by participants, up to 2% of the participants’ eligible compensation, and $0.50 for every $1.00 contributed by participants over 2%, up to 5% of the participants’ eligible compensation. A 3% fixed contribution and a discretionary value-sharing contribution, that is linked to the Company’s financial goals, are made regardless of whether the participating employee contributes to the Plan and are invested in accordance with the participant’s selection of investment options available under the Plan. For the years ended December 31, 2025 and 2024, value-sharing contributions were approximately $1,111,000 and $881,000, respectively. Total employer and employee contributions are limited to certain maximum annual amounts, including those imposed under the Internal Revenue Code. A participant is entitled to allocations of the Company’s fixed and value-sharing contributions for the calendar year in which the participant terminated employment due to retirement, disability or death.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Participants direct their elective contributions into various investment options offered by the Plan and can change their investment options. The Company’s contributions are also invested as directed by the participants.</w:t>
      </w:r>
    </w:p>
    <w:p>
      <w:pPr>
        <w:pStyle w:val="TextBody"/>
        <w:bidi w:val="0"/>
        <w:spacing w:lineRule="auto" w:line="285" w:before="200" w:after="283"/>
        <w:jc w:val="both"/>
        <w:rPr>
          <w:rFonts w:ascii="Times New Roman;serif" w:hAnsi="Times New Roman;serif"/>
          <w:b/>
          <w:color w:val="000000"/>
          <w:sz w:val="20"/>
        </w:rPr>
      </w:pPr>
      <w:r>
        <w:rPr>
          <w:rFonts w:ascii="Times New Roman;serif" w:hAnsi="Times New Roman;serif"/>
          <w:b/>
          <w:color w:val="000000"/>
          <w:sz w:val="20"/>
        </w:rPr>
        <w:t>Participant Accounts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Each participant’s account is credited with the participant’s contributions, the Company’s matching contributions, and allocation of Plan earnings and is charged with an allocation of administrative expenses. Plan earnings are allocated based on the participant’s share of net earnings or losses of their respective elected investment options. Allocations of administrative expenses are based on the participant’s account balances, as defined. The benefit to which a participant is entitled is the benefit that can be provided from the participant’s vested account.</w:t>
      </w:r>
    </w:p>
    <w:p>
      <w:pPr>
        <w:pStyle w:val="TextBody"/>
        <w:bidi w:val="0"/>
        <w:spacing w:lineRule="auto" w:line="285" w:before="200" w:after="283"/>
        <w:jc w:val="both"/>
        <w:rPr>
          <w:rFonts w:ascii="Times New Roman;serif" w:hAnsi="Times New Roman;serif"/>
          <w:b/>
          <w:color w:val="000000"/>
          <w:sz w:val="20"/>
        </w:rPr>
      </w:pPr>
      <w:r>
        <w:rPr>
          <w:rFonts w:ascii="Times New Roman;serif" w:hAnsi="Times New Roman;serif"/>
          <w:b/>
          <w:color w:val="000000"/>
          <w:sz w:val="20"/>
        </w:rPr>
        <w:t>Vesting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Under current Plan provisions, participants are immediately vested in their accounts.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80"/>
        <w:jc w:val="both"/>
        <w:rPr>
          <w:rFonts w:ascii="Times New Roman;serif" w:hAnsi="Times New Roman;serif"/>
          <w:b/>
          <w:color w:val="000000"/>
          <w:sz w:val="20"/>
        </w:rPr>
      </w:pPr>
      <w:r>
        <w:rPr>
          <w:rFonts w:ascii="Times New Roman;serif" w:hAnsi="Times New Roman;serif"/>
          <w:b/>
          <w:color w:val="000000"/>
          <w:sz w:val="20"/>
        </w:rPr>
        <w:t>1. Description of the Plan (continued)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Participant Loans</w:t>
      </w:r>
    </w:p>
    <w:p>
      <w:pPr>
        <w:pStyle w:val="TextBody"/>
        <w:bidi w:val="0"/>
        <w:spacing w:lineRule="auto" w:line="288" w:before="200" w:after="283"/>
        <w:jc w:val="both"/>
        <w:rPr/>
      </w:pPr>
      <w:r>
        <w:rPr>
          <w:rFonts w:ascii="Times New Roman;serif" w:hAnsi="Times New Roman;serif"/>
          <w:b w:val="false"/>
          <w:color w:val="000000"/>
          <w:sz w:val="20"/>
        </w:rPr>
        <w:t>Participants are allowed to borrow a minimum of $1,000 up to a maximum equal to the lesser of $50,000 or 50% of the current value of their vested account balance. Loan terms do not exceed five years unless the loan is used for the purchase of a primary residence. The loans are secured by the balance in the participant's account. The interest rate on a loan is set at the time a participant applies for the loan.</w:t>
      </w:r>
      <w:r>
        <w:rPr>
          <w:color w:val="242424"/>
        </w:rPr>
        <w:t xml:space="preserve"> </w:t>
      </w:r>
      <w:r>
        <w:rPr>
          <w:rFonts w:ascii="Times New Roman;serif" w:hAnsi="Times New Roman;serif"/>
          <w:b w:val="false"/>
          <w:color w:val="000000"/>
          <w:sz w:val="20"/>
        </w:rPr>
        <w:t>Principal and interest is repaid ratably into the participant’s account through payroll deductions. No loans secured by Bank of Hawaii Corporation common stock are permitted.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Benefit Payments</w:t>
      </w:r>
    </w:p>
    <w:p>
      <w:pPr>
        <w:pStyle w:val="TextBody"/>
        <w:bidi w:val="0"/>
        <w:spacing w:before="0" w:after="0"/>
        <w:ind w:left="0" w:right="0" w:hanging="18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Distributions are eligible to be paid upon death, disability, retirement, or termination of employment, or may be paid earlier subject to Plan provisions. For all accounts under the Plan that exceed $5,000, a distribution can only be made if the participant consents in writing to such a distribution. Participants may also elect to defer distributions.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Administrative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Fees paid to the Plan’s trustee and some administrative expenses incurred in connection with the operation of the Plan are paid by the Company. Plan recordkeeping fees, managed account fees, loan processing fees, and qualified domestic relations order (“QDRO”) fees are paid by the participant. Consulting fees and other expenses relating to purchases, sales, or transfers of the Plan’s investments are paid by the Company.</w:t>
      </w:r>
    </w:p>
    <w:p>
      <w:pPr>
        <w:pStyle w:val="TextBody"/>
        <w:bidi w:val="0"/>
        <w:spacing w:lineRule="auto" w:line="288" w:before="200" w:after="283"/>
        <w:ind w:left="0" w:right="0" w:hanging="180"/>
        <w:jc w:val="left"/>
        <w:rPr>
          <w:rFonts w:ascii="Times New Roman;serif" w:hAnsi="Times New Roman;serif"/>
          <w:b/>
          <w:color w:val="000000"/>
          <w:sz w:val="20"/>
        </w:rPr>
      </w:pPr>
      <w:r>
        <w:rPr>
          <w:rFonts w:ascii="Times New Roman;serif" w:hAnsi="Times New Roman;serif"/>
          <w:b/>
          <w:color w:val="000000"/>
          <w:sz w:val="20"/>
        </w:rPr>
        <w:t>Plan Termination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event that the Board of Directors of the Bank terminates the Plan, each member’s interest in the Plan will remain fully vested and non-forfeitable. The Board of Directors may require all participants and beneficiaries to withdraw such amounts in cash, in kind, in any other form or any combination thereof, as it may determine in its sole discretion.</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5" w:before="120" w:after="283"/>
        <w:jc w:val="both"/>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before="0" w:after="0"/>
        <w:ind w:left="0" w:right="0" w:hanging="180"/>
        <w:jc w:val="both"/>
        <w:rPr/>
      </w:pPr>
      <w:r>
        <w:rPr/>
      </w:r>
    </w:p>
    <w:p>
      <w:pPr>
        <w:pStyle w:val="TextBody"/>
        <w:bidi w:val="0"/>
        <w:spacing w:lineRule="auto" w:line="285" w:before="0" w:after="0"/>
        <w:ind w:left="0" w:right="0" w:hanging="180"/>
        <w:jc w:val="both"/>
        <w:rPr>
          <w:rFonts w:ascii="Times New Roman;serif" w:hAnsi="Times New Roman;serif"/>
          <w:b/>
          <w:color w:val="000000"/>
          <w:sz w:val="20"/>
        </w:rPr>
      </w:pPr>
      <w:r>
        <w:rPr>
          <w:rFonts w:ascii="Times New Roman;serif" w:hAnsi="Times New Roman;serif"/>
          <w:b/>
          <w:color w:val="000000"/>
          <w:sz w:val="20"/>
        </w:rPr>
        <w:t>Basis of Accounting</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accounting records of the Plan are maintained on the accrual basis.</w:t>
      </w:r>
    </w:p>
    <w:p>
      <w:pPr>
        <w:pStyle w:val="TextBody"/>
        <w:bidi w:val="0"/>
        <w:spacing w:before="0" w:after="0"/>
        <w:ind w:left="0" w:right="0" w:hanging="135"/>
        <w:jc w:val="both"/>
        <w:rPr/>
      </w:pPr>
      <w:r>
        <w:rPr/>
      </w:r>
    </w:p>
    <w:p>
      <w:pPr>
        <w:pStyle w:val="TextBody"/>
        <w:bidi w:val="0"/>
        <w:spacing w:lineRule="auto" w:line="285" w:before="0" w:after="0"/>
        <w:jc w:val="both"/>
        <w:rPr>
          <w:rFonts w:ascii="Times New Roman;serif" w:hAnsi="Times New Roman;serif"/>
          <w:b/>
          <w:color w:val="000000"/>
          <w:sz w:val="20"/>
        </w:rPr>
      </w:pPr>
      <w:r>
        <w:rPr>
          <w:rFonts w:ascii="Times New Roman;serif" w:hAnsi="Times New Roman;serif"/>
          <w:b/>
          <w:color w:val="000000"/>
          <w:sz w:val="20"/>
        </w:rPr>
        <w:t>Payment of Benefits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Benefit payments are recorded upon distribution.</w:t>
      </w:r>
    </w:p>
    <w:p>
      <w:pPr>
        <w:pStyle w:val="TextBody"/>
        <w:bidi w:val="0"/>
        <w:spacing w:before="0" w:after="0"/>
        <w:jc w:val="both"/>
        <w:rPr/>
      </w:pPr>
      <w:r>
        <w:rPr/>
      </w:r>
    </w:p>
    <w:p>
      <w:pPr>
        <w:pStyle w:val="TextBody"/>
        <w:bidi w:val="0"/>
        <w:spacing w:lineRule="auto" w:line="285" w:before="0" w:after="0"/>
        <w:jc w:val="both"/>
        <w:rPr>
          <w:rFonts w:ascii="Times New Roman;serif" w:hAnsi="Times New Roman;serif"/>
          <w:b/>
          <w:color w:val="000000"/>
          <w:sz w:val="20"/>
        </w:rPr>
      </w:pPr>
      <w:r>
        <w:rPr>
          <w:rFonts w:ascii="Times New Roman;serif" w:hAnsi="Times New Roman;serif"/>
          <w:b/>
          <w:color w:val="000000"/>
          <w:sz w:val="20"/>
        </w:rPr>
        <w:t>Notes Receivable from Participants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 receivable from participants represent participant loans that are recorded at their unpaid principal balance. Interest income on notes receivable from participants is recorded when it is earned. Related fees are recorded as administrative expenses and are expensed as incurred. No allowance for credit losses was recorded as of December 31, 2025 or 2024. If a participant ceases to make loan repayments and the Plan Administrator deems the participant loan to be a distribution, the participant loan balance is reduced and a benefit payment is recorded.</w:t>
      </w:r>
    </w:p>
    <w:p>
      <w:pPr>
        <w:pStyle w:val="TextBody"/>
        <w:bidi w:val="0"/>
        <w:spacing w:before="0" w:after="0"/>
        <w:jc w:val="both"/>
        <w:rPr/>
      </w:pPr>
      <w:r>
        <w:rPr/>
      </w:r>
    </w:p>
    <w:p>
      <w:pPr>
        <w:pStyle w:val="TextBody"/>
        <w:bidi w:val="0"/>
        <w:spacing w:lineRule="auto" w:line="285" w:before="0" w:after="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generally accepted accounting principles requires management to make estimates and assumptions that affect the amounts reported in the financial statements and accompanying notes. Actual results may differ from those estimates.</w:t>
      </w:r>
    </w:p>
    <w:p>
      <w:pPr>
        <w:pStyle w:val="TextBody"/>
        <w:bidi w:val="0"/>
        <w:spacing w:before="0" w:after="0"/>
        <w:jc w:val="both"/>
        <w:rPr/>
      </w:pPr>
      <w:r>
        <w:rPr/>
      </w:r>
    </w:p>
    <w:p>
      <w:pPr>
        <w:pStyle w:val="TextBody"/>
        <w:bidi w:val="0"/>
        <w:spacing w:lineRule="auto" w:line="285" w:before="0" w:after="0"/>
        <w:jc w:val="both"/>
        <w:rPr>
          <w:rFonts w:ascii="Times New Roman;serif" w:hAnsi="Times New Roman;serif"/>
          <w:b/>
          <w:color w:val="000000"/>
          <w:sz w:val="20"/>
        </w:rPr>
      </w:pPr>
      <w:r>
        <w:rPr>
          <w:rFonts w:ascii="Times New Roman;serif" w:hAnsi="Times New Roman;serif"/>
          <w:b/>
          <w:color w:val="000000"/>
          <w:sz w:val="20"/>
        </w:rPr>
        <w:t>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Investments are stated at fair value. The Plan administrator is responsible for determining the Plan’s investment valuation policies and analyzing information provided by the investment custodians and issuers to determine the fair value of the Plan’s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Purchases and sales of securities are recorded on a trade-date basis. Interest income is recorded as earned. Dividends are recorded on the ex-dividend date. Net appreciation in fair value of investments includes the Plan’s gains and losses on investments bought and sold as well as held during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realized gain or loss on investments sold during the year and the unrealized gain or loss on investments held at year-end are reflected in the statements of changes in net assets available for benefits as net appreciation in fair value of investments. The net realized gains and losses on investments sold is computed using the average cost method.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 measurements apply whenever GAAP requires or permits assets or liabilities to be measured at fair value either on a recurring or nonrecurring basis. Fair value is defined as the price that would be received to sell an asset or paid to transfer a liability in the principal or most advantageous market for an asset or liability in an orderly transaction between market participants at the measurement date. Fair value is based on the assumptions that management believes market participants would use when pricing an asset or liability. Fair value measurement and disclosure guidance established a three-level fair value hierarchy that prioritizes the use of inputs used in valuation methodologies. Management maximizes the use of observable inputs and minimizes the use of unobservable inputs when determining fair value measurements. Management reviews and updates the fair value hierarchy classifications of the Plan’s assets and liabilities on a quarterly basis. The three-level fair value hierarchy is as follows:</w:t>
      </w:r>
    </w:p>
    <w:tbl>
      <w:tblPr>
        <w:tblW w:w="10205" w:type="dxa"/>
        <w:jc w:val="left"/>
        <w:tblInd w:w="0" w:type="dxa"/>
        <w:tblLayout w:type="fixed"/>
        <w:tblCellMar>
          <w:top w:w="28" w:type="dxa"/>
          <w:left w:w="28" w:type="dxa"/>
          <w:bottom w:w="28" w:type="dxa"/>
          <w:right w:w="28" w:type="dxa"/>
        </w:tblCellMar>
      </w:tblPr>
      <w:tblGrid>
        <w:gridCol w:w="232"/>
        <w:gridCol w:w="204"/>
        <w:gridCol w:w="206"/>
        <w:gridCol w:w="2816"/>
        <w:gridCol w:w="2794"/>
        <w:gridCol w:w="3953"/>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Level 1:</w:t>
            </w:r>
          </w:p>
        </w:tc>
        <w:tc>
          <w:tcPr>
            <w:tcW w:w="9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Inputs to the valuation methodology are quoted prices, unadjusted, for identical assets or liabilities in active markets. A quoted price in an active market provides the most reliable evidence of fair value and shall be used to measure fair value whenever available. A contractually binding sales price also provides reliable evidence of fair value.</w:t>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Level 2:</w:t>
            </w:r>
          </w:p>
        </w:tc>
        <w:tc>
          <w:tcPr>
            <w:tcW w:w="9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Level 3:</w:t>
            </w:r>
          </w:p>
        </w:tc>
        <w:tc>
          <w:tcPr>
            <w:tcW w:w="9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requires significant management judgment or estimation, some of which may be internally developed.</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valuation techniques and inputs used for each major class of assets measured at fair value.</w:t>
      </w:r>
    </w:p>
    <w:p>
      <w:pPr>
        <w:pStyle w:val="TextBody"/>
        <w:bidi w:val="0"/>
        <w:spacing w:lineRule="auto" w:line="288" w:before="200" w:after="283"/>
        <w:jc w:val="both"/>
        <w:rPr/>
      </w:pPr>
      <w:r>
        <w:rPr>
          <w:rFonts w:ascii="Times New Roman;serif" w:hAnsi="Times New Roman;serif"/>
          <w:b w:val="false"/>
          <w:i/>
          <w:color w:val="000000"/>
          <w:sz w:val="20"/>
        </w:rPr>
        <w:t>Mutual funds:</w:t>
      </w:r>
      <w:r>
        <w:rPr>
          <w:color w:val="000000"/>
        </w:rPr>
        <w:t xml:space="preserve"> </w:t>
      </w:r>
      <w:r>
        <w:rPr>
          <w:rFonts w:ascii="Times New Roman;serif" w:hAnsi="Times New Roman;serif"/>
          <w:b w:val="false"/>
          <w:color w:val="000000"/>
          <w:sz w:val="20"/>
        </w:rPr>
        <w:t>Valued at the daily closing price as reported by the fund. Mutual funds held by the Plan are open-end mutual funds that are registered with the Securities and Exchange Commission. These funds are required to publish their daily net asset value (“NAV”) publicly. The mutual funds held by the Plan are deemed to be actively traded.</w:t>
      </w:r>
    </w:p>
    <w:p>
      <w:pPr>
        <w:pStyle w:val="TextBody"/>
        <w:bidi w:val="0"/>
        <w:spacing w:lineRule="auto" w:line="288" w:before="200" w:after="283"/>
        <w:jc w:val="both"/>
        <w:rPr/>
      </w:pPr>
      <w:r>
        <w:rPr>
          <w:rFonts w:ascii="Times New Roman;serif" w:hAnsi="Times New Roman;serif"/>
          <w:b w:val="false"/>
          <w:i/>
          <w:color w:val="000000"/>
          <w:sz w:val="20"/>
        </w:rPr>
        <w:t>Common stock:</w:t>
      </w:r>
      <w:r>
        <w:rPr>
          <w:color w:val="000000"/>
        </w:rPr>
        <w:t xml:space="preserve"> </w:t>
      </w:r>
      <w:r>
        <w:rPr>
          <w:rFonts w:ascii="Times New Roman;serif" w:hAnsi="Times New Roman;serif"/>
          <w:b w:val="false"/>
          <w:color w:val="000000"/>
          <w:sz w:val="20"/>
        </w:rPr>
        <w:t>Valued at the closing price reported on the New York Stock Exchange on which the individual security is traded.</w:t>
      </w:r>
    </w:p>
    <w:p>
      <w:pPr>
        <w:pStyle w:val="TextBody"/>
        <w:bidi w:val="0"/>
        <w:spacing w:lineRule="auto" w:line="288" w:before="200" w:after="283"/>
        <w:jc w:val="both"/>
        <w:rPr/>
      </w:pPr>
      <w:r>
        <w:rPr>
          <w:rFonts w:ascii="Times New Roman;serif" w:hAnsi="Times New Roman;serif"/>
          <w:b w:val="false"/>
          <w:i/>
          <w:color w:val="000000"/>
          <w:sz w:val="20"/>
        </w:rPr>
        <w:t>Collective trust:</w:t>
      </w:r>
      <w:r>
        <w:rPr>
          <w:color w:val="000000"/>
        </w:rPr>
        <w:t xml:space="preserve"> </w:t>
      </w:r>
      <w:r>
        <w:rPr>
          <w:rFonts w:ascii="Times New Roman;serif" w:hAnsi="Times New Roman;serif"/>
          <w:b w:val="false"/>
          <w:color w:val="000000"/>
          <w:sz w:val="20"/>
        </w:rPr>
        <w:t xml:space="preserve">Valued at the NAV reported by the fund on a daily basis. These are deemed to have a readily determinable fair value because the investments are equity securities in a structure similar to a mutual fund in which the fair values per unit are determined and published and are the basis for current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5" w:before="0" w:after="0"/>
        <w:jc w:val="both"/>
        <w:rPr>
          <w:rFonts w:ascii="Times New Roman;serif" w:hAnsi="Times New Roman;serif"/>
          <w:b/>
          <w:color w:val="000000"/>
          <w:sz w:val="20"/>
        </w:rPr>
      </w:pPr>
      <w:r>
        <w:rPr>
          <w:rFonts w:ascii="Times New Roman;serif" w:hAnsi="Times New Roman;serif"/>
          <w:b/>
          <w:color w:val="000000"/>
          <w:sz w:val="20"/>
        </w:rPr>
        <w:t>3. Fair Value Measurements (continued)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by level within the fair value hierarchy, the Plan’s assets at fair value: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Assets Measured at Fair Value as of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2"/>
        <w:gridCol w:w="424"/>
        <w:gridCol w:w="426"/>
        <w:gridCol w:w="109"/>
        <w:gridCol w:w="109"/>
        <w:gridCol w:w="109"/>
        <w:gridCol w:w="445"/>
        <w:gridCol w:w="1743"/>
        <w:gridCol w:w="229"/>
        <w:gridCol w:w="109"/>
        <w:gridCol w:w="109"/>
        <w:gridCol w:w="109"/>
        <w:gridCol w:w="570"/>
        <w:gridCol w:w="1096"/>
        <w:gridCol w:w="295"/>
        <w:gridCol w:w="109"/>
        <w:gridCol w:w="109"/>
        <w:gridCol w:w="109"/>
        <w:gridCol w:w="577"/>
        <w:gridCol w:w="1112"/>
        <w:gridCol w:w="301"/>
        <w:gridCol w:w="109"/>
        <w:gridCol w:w="109"/>
        <w:gridCol w:w="109"/>
        <w:gridCol w:w="211"/>
        <w:gridCol w:w="826"/>
        <w:gridCol w:w="160"/>
      </w:tblGrid>
      <w:tr>
        <w:trPr/>
        <w:tc>
          <w:tcPr>
            <w:tcW w:w="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218,450 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Collective trust</w:t>
            </w:r>
            <w:r>
              <w:rPr>
                <w:color w:val="000000"/>
              </w:rPr>
              <w:t xml:space="preserv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657,838 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900,083 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900,083 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Measured at Fair Value as of December 31,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82"/>
        <w:gridCol w:w="424"/>
        <w:gridCol w:w="426"/>
        <w:gridCol w:w="109"/>
        <w:gridCol w:w="109"/>
        <w:gridCol w:w="109"/>
        <w:gridCol w:w="445"/>
        <w:gridCol w:w="1743"/>
        <w:gridCol w:w="229"/>
        <w:gridCol w:w="109"/>
        <w:gridCol w:w="109"/>
        <w:gridCol w:w="109"/>
        <w:gridCol w:w="570"/>
        <w:gridCol w:w="1096"/>
        <w:gridCol w:w="295"/>
        <w:gridCol w:w="109"/>
        <w:gridCol w:w="109"/>
        <w:gridCol w:w="109"/>
        <w:gridCol w:w="577"/>
        <w:gridCol w:w="1112"/>
        <w:gridCol w:w="301"/>
        <w:gridCol w:w="109"/>
        <w:gridCol w:w="109"/>
        <w:gridCol w:w="109"/>
        <w:gridCol w:w="211"/>
        <w:gridCol w:w="826"/>
        <w:gridCol w:w="160"/>
      </w:tblGrid>
      <w:tr>
        <w:trPr/>
        <w:tc>
          <w:tcPr>
            <w:tcW w:w="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503,125 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503,125 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Collective trust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812,627 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812,627 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 This category includes a collective trust fund that is designed to deliver safety and stability by preserving principal and accumulating earnings. This fund is primarily invested in synthetic investment contracts backed by high-credit-quality fixed income investments and traditional investments issued by insurance companies and commercial banks.</w:t>
      </w:r>
    </w:p>
    <w:p>
      <w:pPr>
        <w:pStyle w:val="TextBody"/>
        <w:bidi w:val="0"/>
        <w:spacing w:lineRule="auto" w:line="288" w:before="80" w:after="283"/>
        <w:jc w:val="both"/>
        <w:rPr>
          <w:rFonts w:ascii="Times New Roman;serif" w:hAnsi="Times New Roman;serif"/>
          <w:b w:val="false"/>
          <w:color w:val="000000"/>
          <w:sz w:val="16"/>
        </w:rPr>
      </w:pPr>
      <w:r>
        <w:rPr>
          <w:rFonts w:ascii="Times New Roman;serif" w:hAnsi="Times New Roman;serif"/>
          <w:b w:val="false"/>
          <w:color w:val="000000"/>
          <w:sz w:val="16"/>
        </w:rPr>
        <w:t>The collective trust can be transferred into a stock fund, a balanced fund, or a bond fund with an average duration of more than four years as often as the participant chooses.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Risks and Uncertainties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Plan invests in various investment securities. Investment securities are exposed to various risks such as interest rate, market volatility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accompanying statements of net assets available for benefits.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values of the Plan’s individual investments have and will fluctuate in response to changing market conditions. The amount of gains or losses that will be recognized in subsequent periods, if any, cannot be determined at this time.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5. Transactions and Agreements With Parties-in-Interest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Plan investments include shares of mutual funds and a collective trust fund managed by Vanguard, the trustee and recordkeeper of the Plan. Accordingly, transactions involving shares of such mutual funds and the collective trust fund are considered party-in-interest transactions.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Plan's investments also include shares of common stock of the Company. Transactions in shares of Bank of Hawaii Corporation common stock qualify as party-in-interest transactions under the provisions of ERISA. During the years ended December 31, 2025 and 2024, the Plan made purchases of $1,414,000 and $1,147,000, respectively, and sales of $5,060,000 and $3,589,000, respectively, of Bank of Hawaii Corporation common stock on behalf of its participants. At December 31, 2025 and 2024, the Plan held 348,039 and 387,160 shares of Bank of Hawaii Corporation common stock, respectively, representing 3%, of the total net assets of the Plan.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6. Tax Status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Plan has received a determination letter from the Internal Revenue Service (the “IRS”) dated November 1, 2017, stating that the Plan is qualified under Section 401(a) of the Internal Revenue Code (the “Code”) and, therefore, the related trust is exempt from taxation.  Subsequent to receiving the determination letter, the plan was amended and restated. Once qualified, the Plan is required to operate in conformity with the Code to maintain its qualified status. The plan administrator believes the Plan, as amended and restated, is being operated in compliance with the applicable requirements of the Code and, therefore, believes the Plan is qualified and the related trust is tax-exempt.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2025, there are no uncertain positions taken or expected to be taken. The Plan has recognized no interest or penalties related to uncertain tax positions. The Plan is subject to routine audits by taxing jurisdictions; however, there are currently no audits for any tax periods in progress.</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7. Reconciliation of Financial Statements to Draft Form 5500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statement of net assets available for benefits at December 31, 2025 and 2024 and the statement of changes in net assets available for benefits for the years ended December 31, 2025 and 2024 to the draft Form 5500 (in thousands):</w:t>
      </w:r>
    </w:p>
    <w:tbl>
      <w:tblPr>
        <w:tblW w:w="7925" w:type="dxa"/>
        <w:jc w:val="left"/>
        <w:tblInd w:w="0" w:type="dxa"/>
        <w:tblLayout w:type="fixed"/>
        <w:tblCellMar>
          <w:top w:w="28" w:type="dxa"/>
          <w:left w:w="28" w:type="dxa"/>
          <w:bottom w:w="28" w:type="dxa"/>
          <w:right w:w="28" w:type="dxa"/>
        </w:tblCellMar>
      </w:tblPr>
      <w:tblGrid>
        <w:gridCol w:w="1785"/>
        <w:gridCol w:w="1572"/>
        <w:gridCol w:w="1577"/>
        <w:gridCol w:w="109"/>
        <w:gridCol w:w="109"/>
        <w:gridCol w:w="109"/>
        <w:gridCol w:w="211"/>
        <w:gridCol w:w="826"/>
        <w:gridCol w:w="109"/>
        <w:gridCol w:w="109"/>
        <w:gridCol w:w="109"/>
        <w:gridCol w:w="109"/>
        <w:gridCol w:w="211"/>
        <w:gridCol w:w="82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 per the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from deemed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 per the draft Form 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tbl>
      <w:tblPr>
        <w:tblW w:w="8931" w:type="dxa"/>
        <w:jc w:val="left"/>
        <w:tblInd w:w="0" w:type="dxa"/>
        <w:tblLayout w:type="fixed"/>
        <w:tblCellMar>
          <w:top w:w="28" w:type="dxa"/>
          <w:left w:w="28" w:type="dxa"/>
          <w:bottom w:w="28" w:type="dxa"/>
          <w:right w:w="28" w:type="dxa"/>
        </w:tblCellMar>
      </w:tblPr>
      <w:tblGrid>
        <w:gridCol w:w="2224"/>
        <w:gridCol w:w="1960"/>
        <w:gridCol w:w="1966"/>
        <w:gridCol w:w="109"/>
        <w:gridCol w:w="109"/>
        <w:gridCol w:w="109"/>
        <w:gridCol w:w="211"/>
        <w:gridCol w:w="721"/>
        <w:gridCol w:w="109"/>
        <w:gridCol w:w="109"/>
        <w:gridCol w:w="109"/>
        <w:gridCol w:w="109"/>
        <w:gridCol w:w="211"/>
        <w:gridCol w:w="721"/>
        <w:gridCol w:w="154"/>
      </w:tblGrid>
      <w:tr>
        <w:trPr/>
        <w:tc>
          <w:tcPr>
            <w:tcW w:w="222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net assets available for benefits per the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from deemed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gain per the draft Form 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Supplemental Schedule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7660"/>
                <wp:effectExtent l="0" t="0" r="0" b="0"/>
                <wp:wrapNone/>
                <wp:docPr id="15" name="Frame1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Bank of Hawaii Retirement Savings Plan</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EIN #99-0033900 Plan #002</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Schedule H, Line 4i – Schedule of Assets (Held at End of Year)</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Dollars)</w:t>
      </w:r>
    </w:p>
    <w:p>
      <w:pPr>
        <w:pStyle w:val="TextBody"/>
        <w:bidi w:val="0"/>
        <w:spacing w:lineRule="auto" w:line="288" w:before="200" w:after="283"/>
        <w:jc w:val="center"/>
        <w:rPr>
          <w:rFonts w:ascii="Times New Roman;serif" w:hAnsi="Times New Roman;serif"/>
          <w:b w:val="false"/>
          <w:color w:val="000000"/>
          <w:sz w:val="28"/>
        </w:rPr>
      </w:pPr>
      <w:r>
        <w:rPr>
          <w:rFonts w:ascii="Times New Roman;serif" w:hAnsi="Times New Roman;serif"/>
          <w:b w:val="false"/>
          <w:color w:val="000000"/>
          <w:sz w:val="28"/>
        </w:rPr>
        <w:t>December 31, 2025</w:t>
      </w:r>
    </w:p>
    <w:p>
      <w:pPr>
        <w:pStyle w:val="TextBody"/>
        <w:bidi w:val="0"/>
        <w:spacing w:before="0" w:after="0"/>
        <w:jc w:val="left"/>
        <w:rPr/>
      </w:pPr>
      <w:r>
        <w:rPr/>
      </w:r>
    </w:p>
    <w:tbl>
      <w:tblPr>
        <w:tblW w:w="8755" w:type="dxa"/>
        <w:jc w:val="left"/>
        <w:tblInd w:w="0" w:type="dxa"/>
        <w:tblLayout w:type="fixed"/>
        <w:tblCellMar>
          <w:top w:w="28" w:type="dxa"/>
          <w:left w:w="28" w:type="dxa"/>
          <w:bottom w:w="28" w:type="dxa"/>
          <w:right w:w="28" w:type="dxa"/>
        </w:tblCellMar>
      </w:tblPr>
      <w:tblGrid>
        <w:gridCol w:w="124"/>
        <w:gridCol w:w="109"/>
        <w:gridCol w:w="109"/>
        <w:gridCol w:w="1093"/>
        <w:gridCol w:w="1093"/>
        <w:gridCol w:w="1099"/>
        <w:gridCol w:w="109"/>
        <w:gridCol w:w="109"/>
        <w:gridCol w:w="109"/>
        <w:gridCol w:w="704"/>
        <w:gridCol w:w="704"/>
        <w:gridCol w:w="707"/>
        <w:gridCol w:w="109"/>
        <w:gridCol w:w="109"/>
        <w:gridCol w:w="109"/>
        <w:gridCol w:w="160"/>
        <w:gridCol w:w="160"/>
        <w:gridCol w:w="161"/>
        <w:gridCol w:w="109"/>
        <w:gridCol w:w="109"/>
        <w:gridCol w:w="109"/>
        <w:gridCol w:w="211"/>
        <w:gridCol w:w="118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Value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 Morgan Large Cap Growth R6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35,530,306 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Transamerica Small/ Mid cap Value R6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4,164,949</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Federal Money Market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289,628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International Growth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22,019,852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Wellington Admiral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1,213,912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93,701,876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Windsor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55,229,839</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WB SmMidCapGr class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7,513,857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218,450,307 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i/>
          <w:color w:val="000000"/>
          <w:sz w:val="20"/>
        </w:rPr>
      </w:pPr>
      <w:r>
        <w:rPr>
          <w:rFonts w:ascii="Times New Roman;serif" w:hAnsi="Times New Roman;serif"/>
          <w:b w:val="false"/>
          <w:i/>
          <w:color w:val="000000"/>
          <w:sz w:val="20"/>
        </w:rPr>
        <w:t>* Parties-in-interest.</w:t>
      </w:r>
    </w:p>
    <w:p>
      <w:pPr>
        <w:pStyle w:val="TextBody"/>
        <w:bidi w:val="0"/>
        <w:spacing w:lineRule="auto" w:line="288" w:before="40" w:after="283"/>
        <w:jc w:val="both"/>
        <w:rPr>
          <w:rFonts w:ascii="Times New Roman;serif" w:hAnsi="Times New Roman;serif"/>
          <w:b w:val="false"/>
          <w:i/>
          <w:color w:val="000000"/>
          <w:sz w:val="20"/>
        </w:rPr>
      </w:pPr>
      <w:r>
        <w:rPr>
          <w:rFonts w:ascii="Times New Roman;serif" w:hAnsi="Times New Roman;serif"/>
          <w:b w:val="false"/>
          <w:i/>
          <w:color w:val="000000"/>
          <w:sz w:val="20"/>
        </w:rPr>
        <w:t>** Participant-directed investment; the disclosure of cost is not required.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Continued on following page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Bank of Hawaii Retirement Savings Plan</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EIN #99-0033900 Plan #002</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Schedule H, Line 4i – Schedule of Assets (Held at End of Year) (continued)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Dollars)</w:t>
      </w:r>
    </w:p>
    <w:p>
      <w:pPr>
        <w:pStyle w:val="TextBody"/>
        <w:bidi w:val="0"/>
        <w:spacing w:lineRule="auto" w:line="288" w:before="200" w:after="283"/>
        <w:jc w:val="center"/>
        <w:rPr>
          <w:rFonts w:ascii="Times New Roman;serif" w:hAnsi="Times New Roman;serif"/>
          <w:b w:val="false"/>
          <w:color w:val="000000"/>
          <w:sz w:val="28"/>
        </w:rPr>
      </w:pPr>
      <w:r>
        <w:rPr>
          <w:rFonts w:ascii="Times New Roman;serif" w:hAnsi="Times New Roman;serif"/>
          <w:b w:val="false"/>
          <w:color w:val="000000"/>
          <w:sz w:val="28"/>
        </w:rPr>
        <w:t>December 31, 2025</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688"/>
        <w:gridCol w:w="1667"/>
        <w:gridCol w:w="1674"/>
        <w:gridCol w:w="109"/>
        <w:gridCol w:w="109"/>
        <w:gridCol w:w="109"/>
        <w:gridCol w:w="649"/>
        <w:gridCol w:w="583"/>
        <w:gridCol w:w="586"/>
        <w:gridCol w:w="109"/>
        <w:gridCol w:w="109"/>
        <w:gridCol w:w="109"/>
        <w:gridCol w:w="160"/>
        <w:gridCol w:w="160"/>
        <w:gridCol w:w="161"/>
        <w:gridCol w:w="109"/>
        <w:gridCol w:w="109"/>
        <w:gridCol w:w="109"/>
        <w:gridCol w:w="211"/>
        <w:gridCol w:w="1186"/>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Value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Hawaii Corporation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23,795,426 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Prudential Core Plus Bond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17,059,221 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Institutional 500 Index Trust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198,332,587 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Institutional Extended Market Index Trust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39,185,569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Institutional Total Bond market Index Trust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50,341,511 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Institutional Total International Stock market Index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44,978,492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2020 Trust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13,435,530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2025 Trust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31,874,136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2030 Trust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39,586,201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2035 Trust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46,701,168</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2040 Trust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27,928,816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2045 Trust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29,084,630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2050 Trust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21,667,659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2055 Trust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19,395,182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2060 Trust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12,250,758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2065 Trust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3,382,864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2070 Trust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Income Trust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9,153,837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Retirement Savings Trust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52,969,271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52,969,271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657,837,504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receivable from participants - interest rates ranging from 4.25% to 9.50%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6,415,417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906,498,654 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i/>
          <w:color w:val="000000"/>
          <w:sz w:val="20"/>
        </w:rPr>
      </w:pPr>
      <w:r>
        <w:rPr>
          <w:rFonts w:ascii="Times New Roman;serif" w:hAnsi="Times New Roman;serif"/>
          <w:b w:val="false"/>
          <w:i/>
          <w:color w:val="000000"/>
          <w:sz w:val="20"/>
        </w:rPr>
        <w:t>* Parties-in-interest.</w:t>
      </w:r>
    </w:p>
    <w:p>
      <w:pPr>
        <w:pStyle w:val="TextBody"/>
        <w:bidi w:val="0"/>
        <w:spacing w:lineRule="auto" w:line="288" w:before="40" w:after="283"/>
        <w:jc w:val="both"/>
        <w:rPr>
          <w:rFonts w:ascii="Times New Roman;serif" w:hAnsi="Times New Roman;serif"/>
          <w:b w:val="false"/>
          <w:i/>
          <w:color w:val="000000"/>
          <w:sz w:val="20"/>
        </w:rPr>
      </w:pPr>
      <w:r>
        <w:rPr>
          <w:rFonts w:ascii="Times New Roman;serif" w:hAnsi="Times New Roman;serif"/>
          <w:b w:val="false"/>
          <w:i/>
          <w:color w:val="000000"/>
          <w:sz w:val="20"/>
        </w:rPr>
        <w:t>** Participant-directed investment; the disclosure of cost is not required.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Exhibit 23.1</w:t>
      </w:r>
    </w:p>
    <w:p>
      <w:pPr>
        <w:pStyle w:val="TextBody"/>
        <w:bidi w:val="0"/>
        <w:spacing w:before="0" w:after="0"/>
        <w:jc w:val="left"/>
        <w:rPr/>
      </w:pPr>
      <w:r>
        <w:rPr/>
      </w:r>
    </w:p>
    <w:p>
      <w:pPr>
        <w:pStyle w:val="TextBody"/>
        <w:bidi w:val="0"/>
        <w:spacing w:lineRule="atLeast" w:line="280" w:before="0" w:after="0"/>
        <w:jc w:val="center"/>
        <w:rPr>
          <w:rFonts w:ascii="Times New Roman;serif" w:hAnsi="Times New Roman;serif"/>
          <w:b/>
          <w:color w:val="333333"/>
          <w:sz w:val="24"/>
        </w:rPr>
      </w:pPr>
      <w:r>
        <w:rPr>
          <w:rFonts w:ascii="Times New Roman;serif" w:hAnsi="Times New Roman;serif"/>
          <w:b/>
          <w:color w:val="333333"/>
          <w:sz w:val="24"/>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333333"/>
          <w:sz w:val="24"/>
        </w:rPr>
        <w:t xml:space="preserve">We consent to the incorporation by reference in the Registration Statement (Form S-8 No. 333-165825) pertaining to the Bank of Hawaii Retirement Savings Plan, of our report dated </w:t>
      </w:r>
      <w:r>
        <w:rPr>
          <w:rFonts w:ascii="Times New Roman;serif" w:hAnsi="Times New Roman;serif"/>
          <w:b w:val="false"/>
          <w:color w:val="000000"/>
          <w:sz w:val="24"/>
        </w:rPr>
        <w:t>June 23, 2026</w:t>
      </w:r>
      <w:r>
        <w:rPr>
          <w:rFonts w:ascii="Times New Roman;serif" w:hAnsi="Times New Roman;serif"/>
          <w:b w:val="false"/>
          <w:color w:val="333333"/>
          <w:sz w:val="24"/>
        </w:rPr>
        <w:t xml:space="preserve">, with respect to the financial statements and supplemental schedule of the Bank of Hawaii Retirement Savings Plan included in this Annual Report (Form 11-K) for the year ended </w:t>
      </w:r>
      <w:r>
        <w:rPr>
          <w:rFonts w:ascii="Times New Roman;serif" w:hAnsi="Times New Roman;serif"/>
          <w:b w:val="false"/>
          <w:color w:val="000000"/>
          <w:sz w:val="24"/>
        </w:rPr>
        <w:t>December 31, 2025</w:t>
      </w:r>
      <w:r>
        <w:rPr>
          <w:rFonts w:ascii="Times New Roman;serif" w:hAnsi="Times New Roman;serif"/>
          <w:b w:val="false"/>
          <w:color w:val="333333"/>
          <w:sz w:val="24"/>
        </w:rPr>
        <w:t>.</w:t>
      </w:r>
    </w:p>
    <w:p>
      <w:pPr>
        <w:pStyle w:val="TextBody"/>
        <w:bidi w:val="0"/>
        <w:spacing w:before="0" w:after="0"/>
        <w:jc w:val="left"/>
        <w:rPr/>
      </w:pPr>
      <w:r>
        <w:rPr/>
      </w:r>
    </w:p>
    <w:p>
      <w:pPr>
        <w:pStyle w:val="TextBody"/>
        <w:bidi w:val="0"/>
        <w:spacing w:lineRule="atLeast" w:line="280" w:before="0" w:after="0"/>
        <w:jc w:val="both"/>
        <w:rPr>
          <w:rFonts w:ascii="Times New Roman;serif" w:hAnsi="Times New Roman;serif"/>
          <w:b w:val="false"/>
          <w:color w:val="000000"/>
          <w:sz w:val="24"/>
        </w:rPr>
      </w:pPr>
      <w:r>
        <w:rPr>
          <w:rFonts w:ascii="Times New Roman;serif" w:hAnsi="Times New Roman;serif"/>
          <w:b w:val="false"/>
          <w:color w:val="000000"/>
          <w:sz w:val="24"/>
        </w:rPr>
        <w:t>/s/ Ernst &amp; Young LLP</w:t>
      </w:r>
    </w:p>
    <w:p>
      <w:pPr>
        <w:pStyle w:val="TextBody"/>
        <w:bidi w:val="0"/>
        <w:spacing w:before="0" w:after="0"/>
        <w:jc w:val="both"/>
        <w:rPr/>
      </w:pPr>
      <w:r>
        <w:rPr/>
      </w:r>
    </w:p>
    <w:p>
      <w:pPr>
        <w:pStyle w:val="TextBody"/>
        <w:bidi w:val="0"/>
        <w:spacing w:lineRule="atLeast" w:line="280" w:before="0" w:after="0"/>
        <w:jc w:val="both"/>
        <w:rPr>
          <w:rFonts w:ascii="Times New Roman;serif" w:hAnsi="Times New Roman;serif"/>
          <w:b w:val="false"/>
          <w:color w:val="000000"/>
          <w:sz w:val="24"/>
        </w:rPr>
      </w:pPr>
      <w:r>
        <w:rPr>
          <w:rFonts w:ascii="Times New Roman;serif" w:hAnsi="Times New Roman;serif"/>
          <w:b w:val="false"/>
          <w:color w:val="000000"/>
          <w:sz w:val="24"/>
        </w:rPr>
        <w:t>Honolulu, Hawaii</w:t>
      </w:r>
    </w:p>
    <w:p>
      <w:pPr>
        <w:pStyle w:val="TextBody"/>
        <w:bidi w:val="0"/>
        <w:spacing w:lineRule="atLeast" w:line="280" w:before="0" w:after="0"/>
        <w:jc w:val="both"/>
        <w:rPr>
          <w:rFonts w:ascii="Times New Roman;serif" w:hAnsi="Times New Roman;serif"/>
          <w:b w:val="false"/>
          <w:color w:val="000000"/>
          <w:sz w:val="24"/>
        </w:rPr>
      </w:pPr>
      <w:r>
        <w:rPr>
          <w:rFonts w:ascii="Times New Roman;serif" w:hAnsi="Times New Roman;serif"/>
          <w:b w:val="false"/>
          <w:color w:val="000000"/>
          <w:sz w:val="24"/>
        </w:rPr>
        <w:t>June 23, 2026</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4196</Words>
  <Characters>23106</Characters>
  <CharactersWithSpaces>26852</CharactersWithSpaces>
  <Paragraphs>533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