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540" w:hanging="356"/>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2019</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40" w:hanging="356"/>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3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164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c>
          <w:tcPr>
            <w:tcW w:w="1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506"/>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gridSpan w:val="2"/>
          </w:tcPr>
          <w:p>
            <w:pPr>
              <w:jc w:val="center"/>
              <w:ind w:left="305"/>
              <w:spacing w:after="0"/>
              <w:rPr>
                <w:sz w:val="20"/>
                <w:szCs w:val="20"/>
                <w:color w:val="auto"/>
              </w:rPr>
            </w:pPr>
            <w:r>
              <w:rPr>
                <w:rFonts w:ascii="Arial" w:cs="Arial" w:eastAsia="Arial" w:hAnsi="Arial"/>
                <w:sz w:val="18"/>
                <w:szCs w:val="18"/>
                <w:color w:val="auto"/>
                <w:w w:val="92"/>
              </w:rPr>
              <w:t xml:space="preserve">Commission File Number: </w:t>
            </w:r>
            <w:r>
              <w:rPr>
                <w:rFonts w:ascii="Arial" w:cs="Arial" w:eastAsia="Arial" w:hAnsi="Arial"/>
                <w:sz w:val="18"/>
                <w:szCs w:val="18"/>
                <w:b w:val="1"/>
                <w:bCs w:val="1"/>
                <w:color w:val="auto"/>
                <w:w w:val="92"/>
              </w:rPr>
              <w:t>1-6887</w:t>
            </w:r>
          </w:p>
        </w:tc>
        <w:tc>
          <w:tcPr>
            <w:tcW w:w="262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00" w:type="dxa"/>
            <w:vAlign w:val="bottom"/>
            <w:gridSpan w:val="3"/>
          </w:tcPr>
          <w:p>
            <w:pPr>
              <w:jc w:val="center"/>
              <w:ind w:right="2163"/>
              <w:spacing w:after="0"/>
              <w:rPr>
                <w:sz w:val="20"/>
                <w:szCs w:val="20"/>
                <w:color w:val="auto"/>
              </w:rPr>
            </w:pPr>
            <w:r>
              <w:rPr>
                <w:rFonts w:ascii="Arial" w:cs="Arial" w:eastAsia="Arial" w:hAnsi="Arial"/>
                <w:sz w:val="32"/>
                <w:szCs w:val="32"/>
                <w:b w:val="1"/>
                <w:bCs w:val="1"/>
                <w:color w:val="auto"/>
              </w:rPr>
              <w:t>BANK OF HAWAII CORP</w:t>
            </w:r>
          </w:p>
        </w:tc>
      </w:tr>
      <w:tr>
        <w:trPr>
          <w:trHeight w:val="182"/>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gridSpan w:val="2"/>
          </w:tcPr>
          <w:p>
            <w:pPr>
              <w:jc w:val="center"/>
              <w:ind w:left="285"/>
              <w:spacing w:after="0"/>
              <w:rPr>
                <w:sz w:val="20"/>
                <w:szCs w:val="20"/>
                <w:color w:val="auto"/>
              </w:rPr>
            </w:pPr>
            <w:r>
              <w:rPr>
                <w:rFonts w:ascii="Arial" w:cs="Arial" w:eastAsia="Arial" w:hAnsi="Arial"/>
                <w:sz w:val="14"/>
                <w:szCs w:val="14"/>
                <w:color w:val="auto"/>
                <w:w w:val="93"/>
              </w:rPr>
              <w:t>(Exact name of registrant as specified in its charter)</w:t>
            </w:r>
          </w:p>
        </w:tc>
        <w:tc>
          <w:tcPr>
            <w:tcW w:w="2620" w:type="dxa"/>
            <w:vAlign w:val="bottom"/>
          </w:tcPr>
          <w:p>
            <w:pPr>
              <w:spacing w:after="0"/>
              <w:rPr>
                <w:sz w:val="15"/>
                <w:szCs w:val="15"/>
                <w:color w:val="auto"/>
              </w:rPr>
            </w:pPr>
          </w:p>
        </w:tc>
      </w:tr>
      <w:tr>
        <w:trPr>
          <w:trHeight w:val="384"/>
        </w:trPr>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20" w:type="dxa"/>
            <w:vAlign w:val="bottom"/>
          </w:tcPr>
          <w:p>
            <w:pPr>
              <w:jc w:val="right"/>
              <w:ind w:right="943"/>
              <w:spacing w:after="0"/>
              <w:rPr>
                <w:sz w:val="20"/>
                <w:szCs w:val="20"/>
                <w:color w:val="auto"/>
              </w:rPr>
            </w:pPr>
            <w:r>
              <w:rPr>
                <w:rFonts w:ascii="Arial" w:cs="Arial" w:eastAsia="Arial" w:hAnsi="Arial"/>
                <w:sz w:val="16"/>
                <w:szCs w:val="16"/>
                <w:b w:val="1"/>
                <w:bCs w:val="1"/>
                <w:color w:val="auto"/>
              </w:rPr>
              <w:t>99-0148992</w:t>
            </w:r>
          </w:p>
        </w:tc>
      </w:tr>
      <w:tr>
        <w:trPr>
          <w:trHeight w:val="224"/>
        </w:trPr>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color w:val="auto"/>
                <w:w w:val="95"/>
              </w:rPr>
              <w:t>(State of incorporation)</w:t>
            </w:r>
          </w:p>
        </w:tc>
        <w:tc>
          <w:tcPr>
            <w:tcW w:w="1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620" w:type="dxa"/>
            <w:vAlign w:val="bottom"/>
          </w:tcPr>
          <w:p>
            <w:pPr>
              <w:jc w:val="center"/>
              <w:ind w:right="123"/>
              <w:spacing w:after="0"/>
              <w:rPr>
                <w:sz w:val="20"/>
                <w:szCs w:val="20"/>
                <w:color w:val="auto"/>
              </w:rPr>
            </w:pPr>
            <w:r>
              <w:rPr>
                <w:rFonts w:ascii="Arial" w:cs="Arial" w:eastAsia="Arial" w:hAnsi="Arial"/>
                <w:sz w:val="14"/>
                <w:szCs w:val="14"/>
                <w:color w:val="auto"/>
                <w:w w:val="97"/>
              </w:rPr>
              <w:t>(I.R.S. Employer Identification No.)</w:t>
            </w:r>
          </w:p>
        </w:tc>
      </w:tr>
      <w:tr>
        <w:trPr>
          <w:trHeight w:val="236"/>
        </w:trPr>
        <w:tc>
          <w:tcPr>
            <w:tcW w:w="3100" w:type="dxa"/>
            <w:vAlign w:val="bottom"/>
            <w:gridSpan w:val="5"/>
          </w:tcPr>
          <w:p>
            <w:pPr>
              <w:jc w:val="center"/>
              <w:ind w:right="720"/>
              <w:spacing w:after="0"/>
              <w:rPr>
                <w:sz w:val="20"/>
                <w:szCs w:val="20"/>
                <w:color w:val="auto"/>
              </w:rPr>
            </w:pPr>
            <w:r>
              <w:rPr>
                <w:rFonts w:ascii="Arial" w:cs="Arial" w:eastAsia="Arial" w:hAnsi="Arial"/>
                <w:sz w:val="16"/>
                <w:szCs w:val="16"/>
                <w:b w:val="1"/>
                <w:bCs w:val="1"/>
                <w:color w:val="auto"/>
                <w:w w:val="93"/>
              </w:rPr>
              <w:t>130 Merchant Street</w:t>
            </w:r>
          </w:p>
        </w:tc>
        <w:tc>
          <w:tcPr>
            <w:tcW w:w="1420" w:type="dxa"/>
            <w:vAlign w:val="bottom"/>
          </w:tcPr>
          <w:p>
            <w:pPr>
              <w:jc w:val="center"/>
              <w:ind w:left="385"/>
              <w:spacing w:after="0"/>
              <w:rPr>
                <w:sz w:val="20"/>
                <w:szCs w:val="20"/>
                <w:color w:val="auto"/>
              </w:rPr>
            </w:pPr>
            <w:r>
              <w:rPr>
                <w:rFonts w:ascii="Arial" w:cs="Arial" w:eastAsia="Arial" w:hAnsi="Arial"/>
                <w:sz w:val="16"/>
                <w:szCs w:val="16"/>
                <w:b w:val="1"/>
                <w:bCs w:val="1"/>
                <w:color w:val="auto"/>
                <w:w w:val="95"/>
              </w:rPr>
              <w:t>Honolulu</w:t>
            </w:r>
          </w:p>
        </w:tc>
        <w:tc>
          <w:tcPr>
            <w:tcW w:w="2260" w:type="dxa"/>
            <w:vAlign w:val="bottom"/>
          </w:tcPr>
          <w:p>
            <w:pPr>
              <w:jc w:val="center"/>
              <w:ind w:left="1086"/>
              <w:spacing w:after="0"/>
              <w:rPr>
                <w:sz w:val="20"/>
                <w:szCs w:val="20"/>
                <w:color w:val="auto"/>
              </w:rPr>
            </w:pPr>
            <w:r>
              <w:rPr>
                <w:rFonts w:ascii="Arial" w:cs="Arial" w:eastAsia="Arial" w:hAnsi="Arial"/>
                <w:sz w:val="16"/>
                <w:szCs w:val="16"/>
                <w:b w:val="1"/>
                <w:bCs w:val="1"/>
                <w:color w:val="auto"/>
                <w:w w:val="98"/>
              </w:rPr>
              <w:t>Hawaii</w:t>
            </w:r>
          </w:p>
        </w:tc>
        <w:tc>
          <w:tcPr>
            <w:tcW w:w="2620" w:type="dxa"/>
            <w:vAlign w:val="bottom"/>
          </w:tcPr>
          <w:p>
            <w:pPr>
              <w:jc w:val="right"/>
              <w:ind w:right="43"/>
              <w:spacing w:after="0"/>
              <w:rPr>
                <w:sz w:val="20"/>
                <w:szCs w:val="20"/>
                <w:color w:val="auto"/>
              </w:rPr>
            </w:pPr>
            <w:r>
              <w:rPr>
                <w:rFonts w:ascii="Arial" w:cs="Arial" w:eastAsia="Arial" w:hAnsi="Arial"/>
                <w:sz w:val="16"/>
                <w:szCs w:val="16"/>
                <w:b w:val="1"/>
                <w:bCs w:val="1"/>
                <w:color w:val="auto"/>
              </w:rPr>
              <w:t>96813</w:t>
            </w:r>
          </w:p>
        </w:tc>
      </w:tr>
      <w:tr>
        <w:trPr>
          <w:trHeight w:val="222"/>
        </w:trPr>
        <w:tc>
          <w:tcPr>
            <w:tcW w:w="3100" w:type="dxa"/>
            <w:vAlign w:val="bottom"/>
            <w:gridSpan w:val="5"/>
          </w:tcPr>
          <w:p>
            <w:pPr>
              <w:jc w:val="center"/>
              <w:ind w:right="700"/>
              <w:spacing w:after="0"/>
              <w:rPr>
                <w:sz w:val="20"/>
                <w:szCs w:val="20"/>
                <w:color w:val="auto"/>
              </w:rPr>
            </w:pPr>
            <w:r>
              <w:rPr>
                <w:rFonts w:ascii="Arial" w:cs="Arial" w:eastAsia="Arial" w:hAnsi="Arial"/>
                <w:sz w:val="14"/>
                <w:szCs w:val="14"/>
                <w:color w:val="auto"/>
                <w:w w:val="95"/>
              </w:rPr>
              <w:t>(Address of principal executive offices)</w:t>
            </w:r>
          </w:p>
        </w:tc>
        <w:tc>
          <w:tcPr>
            <w:tcW w:w="1420" w:type="dxa"/>
            <w:vAlign w:val="bottom"/>
          </w:tcPr>
          <w:p>
            <w:pPr>
              <w:jc w:val="center"/>
              <w:ind w:left="385"/>
              <w:spacing w:after="0"/>
              <w:rPr>
                <w:sz w:val="20"/>
                <w:szCs w:val="20"/>
                <w:color w:val="auto"/>
              </w:rPr>
            </w:pPr>
            <w:r>
              <w:rPr>
                <w:rFonts w:ascii="Arial" w:cs="Arial" w:eastAsia="Arial" w:hAnsi="Arial"/>
                <w:sz w:val="14"/>
                <w:szCs w:val="14"/>
                <w:color w:val="auto"/>
              </w:rPr>
              <w:t>(City)</w:t>
            </w:r>
          </w:p>
        </w:tc>
        <w:tc>
          <w:tcPr>
            <w:tcW w:w="2260" w:type="dxa"/>
            <w:vAlign w:val="bottom"/>
          </w:tcPr>
          <w:p>
            <w:pPr>
              <w:jc w:val="center"/>
              <w:ind w:left="1086"/>
              <w:spacing w:after="0"/>
              <w:rPr>
                <w:sz w:val="20"/>
                <w:szCs w:val="20"/>
                <w:color w:val="auto"/>
              </w:rPr>
            </w:pPr>
            <w:r>
              <w:rPr>
                <w:rFonts w:ascii="Arial" w:cs="Arial" w:eastAsia="Arial" w:hAnsi="Arial"/>
                <w:sz w:val="14"/>
                <w:szCs w:val="14"/>
                <w:color w:val="auto"/>
                <w:w w:val="90"/>
              </w:rPr>
              <w:t>(State)</w:t>
            </w:r>
          </w:p>
        </w:tc>
        <w:tc>
          <w:tcPr>
            <w:tcW w:w="2620" w:type="dxa"/>
            <w:vAlign w:val="bottom"/>
          </w:tcPr>
          <w:p>
            <w:pPr>
              <w:jc w:val="center"/>
              <w:ind w:left="1903"/>
              <w:spacing w:after="0"/>
              <w:rPr>
                <w:sz w:val="20"/>
                <w:szCs w:val="20"/>
                <w:color w:val="auto"/>
              </w:rPr>
            </w:pPr>
            <w:r>
              <w:rPr>
                <w:rFonts w:ascii="Arial" w:cs="Arial" w:eastAsia="Arial" w:hAnsi="Arial"/>
                <w:sz w:val="14"/>
                <w:szCs w:val="14"/>
                <w:color w:val="auto"/>
                <w:w w:val="96"/>
              </w:rPr>
              <w:t>(Zip Code)</w:t>
            </w:r>
          </w:p>
        </w:tc>
      </w:tr>
      <w:tr>
        <w:trPr>
          <w:trHeight w:val="210"/>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Pr>
          <w:p>
            <w:pPr>
              <w:jc w:val="center"/>
              <w:ind w:right="946"/>
              <w:spacing w:after="0"/>
              <w:rPr>
                <w:sz w:val="20"/>
                <w:szCs w:val="20"/>
                <w:color w:val="auto"/>
              </w:rPr>
            </w:pPr>
            <w:r>
              <w:rPr>
                <w:rFonts w:ascii="Arial" w:cs="Arial" w:eastAsia="Arial" w:hAnsi="Arial"/>
                <w:sz w:val="14"/>
                <w:szCs w:val="14"/>
                <w:b w:val="1"/>
                <w:bCs w:val="1"/>
                <w:color w:val="auto"/>
                <w:w w:val="89"/>
              </w:rPr>
              <w:t>1-</w:t>
            </w:r>
            <w:r>
              <w:rPr>
                <w:rFonts w:ascii="Arial" w:cs="Arial" w:eastAsia="Arial" w:hAnsi="Arial"/>
                <w:sz w:val="16"/>
                <w:szCs w:val="16"/>
                <w:b w:val="1"/>
                <w:bCs w:val="1"/>
                <w:color w:val="auto"/>
                <w:w w:val="89"/>
              </w:rPr>
              <w:t>888</w:t>
            </w:r>
            <w:r>
              <w:rPr>
                <w:rFonts w:ascii="Arial" w:cs="Arial" w:eastAsia="Arial" w:hAnsi="Arial"/>
                <w:sz w:val="14"/>
                <w:szCs w:val="14"/>
                <w:b w:val="1"/>
                <w:bCs w:val="1"/>
                <w:color w:val="auto"/>
                <w:w w:val="89"/>
              </w:rPr>
              <w:t>-643-3888</w:t>
            </w:r>
          </w:p>
        </w:tc>
        <w:tc>
          <w:tcPr>
            <w:tcW w:w="2620" w:type="dxa"/>
            <w:vAlign w:val="bottom"/>
          </w:tcPr>
          <w:p>
            <w:pPr>
              <w:spacing w:after="0"/>
              <w:rPr>
                <w:sz w:val="18"/>
                <w:szCs w:val="18"/>
                <w:color w:val="auto"/>
              </w:rPr>
            </w:pPr>
          </w:p>
        </w:tc>
      </w:tr>
    </w:tbl>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Title of Each Class</w:t>
            </w: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Trading Symbol</w:t>
            </w:r>
          </w:p>
        </w:tc>
        <w:tc>
          <w:tcPr>
            <w:tcW w:w="3880" w:type="dxa"/>
            <w:vAlign w:val="bottom"/>
            <w:gridSpan w:val="2"/>
          </w:tcPr>
          <w:p>
            <w:pPr>
              <w:jc w:val="center"/>
              <w:ind w:left="1131"/>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2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5"/>
        </w:trPr>
        <w:tc>
          <w:tcPr>
            <w:tcW w:w="3640" w:type="dxa"/>
            <w:vAlign w:val="bottom"/>
            <w:gridSpan w:val="3"/>
          </w:tcPr>
          <w:p>
            <w:pPr>
              <w:ind w:left="1480"/>
              <w:spacing w:after="0"/>
              <w:rPr>
                <w:sz w:val="20"/>
                <w:szCs w:val="20"/>
                <w:color w:val="auto"/>
              </w:rPr>
            </w:pPr>
            <w:r>
              <w:rPr>
                <w:rFonts w:ascii="Arial" w:cs="Arial" w:eastAsia="Arial" w:hAnsi="Arial"/>
                <w:sz w:val="16"/>
                <w:szCs w:val="16"/>
                <w:b w:val="1"/>
                <w:bCs w:val="1"/>
                <w:color w:val="auto"/>
              </w:rPr>
              <w:t>Common Stock</w:t>
            </w:r>
          </w:p>
        </w:tc>
        <w:tc>
          <w:tcPr>
            <w:tcW w:w="1720" w:type="dxa"/>
            <w:vAlign w:val="bottom"/>
          </w:tcPr>
          <w:p>
            <w:pPr>
              <w:ind w:left="600"/>
              <w:spacing w:after="0"/>
              <w:rPr>
                <w:sz w:val="20"/>
                <w:szCs w:val="20"/>
                <w:color w:val="auto"/>
              </w:rPr>
            </w:pPr>
            <w:r>
              <w:rPr>
                <w:rFonts w:ascii="Arial" w:cs="Arial" w:eastAsia="Arial" w:hAnsi="Arial"/>
                <w:sz w:val="14"/>
                <w:szCs w:val="14"/>
                <w:b w:val="1"/>
                <w:bCs w:val="1"/>
                <w:color w:val="auto"/>
              </w:rPr>
              <w:t>$.01 Par Value</w:t>
            </w:r>
          </w:p>
        </w:tc>
        <w:tc>
          <w:tcPr>
            <w:tcW w:w="5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BOH</w:t>
            </w:r>
          </w:p>
        </w:tc>
        <w:tc>
          <w:tcPr>
            <w:tcW w:w="1200" w:type="dxa"/>
            <w:vAlign w:val="bottom"/>
          </w:tcPr>
          <w:p>
            <w:pPr>
              <w:spacing w:after="0"/>
              <w:rPr>
                <w:sz w:val="23"/>
                <w:szCs w:val="23"/>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r>
        <w:trPr>
          <w:trHeight w:val="349"/>
        </w:trPr>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60" w:type="dxa"/>
            <w:vAlign w:val="bottom"/>
            <w:gridSpan w:val="5"/>
          </w:tcPr>
          <w:p>
            <w:pPr>
              <w:ind w:left="400"/>
              <w:spacing w:after="0"/>
              <w:rPr>
                <w:sz w:val="20"/>
                <w:szCs w:val="20"/>
                <w:color w:val="auto"/>
              </w:rPr>
            </w:pPr>
            <w:r>
              <w:rPr>
                <w:rFonts w:ascii="Arial" w:cs="Arial" w:eastAsia="Arial" w:hAnsi="Arial"/>
                <w:sz w:val="14"/>
                <w:szCs w:val="14"/>
                <w:b w:val="1"/>
                <w:bCs w:val="1"/>
                <w:color w:val="auto"/>
              </w:rPr>
              <w:t>Securities registered pursuant to Section 12(g) of the Act:</w:t>
            </w:r>
          </w:p>
        </w:tc>
      </w:tr>
      <w:tr>
        <w:trPr>
          <w:trHeight w:val="216"/>
        </w:trPr>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color w:val="auto"/>
              </w:rPr>
              <w:t>None</w:t>
            </w: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324"/>
        </w:trPr>
        <w:tc>
          <w:tcPr>
            <w:tcW w:w="6820" w:type="dxa"/>
            <w:vAlign w:val="bottom"/>
            <w:gridSpan w:val="6"/>
          </w:tcPr>
          <w:p>
            <w:pPr>
              <w:spacing w:after="0"/>
              <w:rPr>
                <w:sz w:val="20"/>
                <w:szCs w:val="20"/>
                <w:color w:val="auto"/>
              </w:rPr>
            </w:pPr>
            <w:r>
              <w:rPr>
                <w:rFonts w:ascii="Arial" w:cs="Arial" w:eastAsia="Arial" w:hAnsi="Arial"/>
                <w:sz w:val="14"/>
                <w:szCs w:val="14"/>
                <w:color w:val="auto"/>
                <w:w w:val="89"/>
              </w:rPr>
              <w:t>Indicate by check mark if the registrant is a well-known seasoned issuer, as defined in Rule 405 of the Securities Act. Yes x</w:t>
            </w:r>
          </w:p>
        </w:tc>
        <w:tc>
          <w:tcPr>
            <w:tcW w:w="3880" w:type="dxa"/>
            <w:vAlign w:val="bottom"/>
            <w:gridSpan w:val="2"/>
          </w:tcPr>
          <w:p>
            <w:pPr>
              <w:spacing w:after="0"/>
              <w:rPr>
                <w:sz w:val="20"/>
                <w:szCs w:val="20"/>
                <w:color w:val="auto"/>
              </w:rPr>
            </w:pPr>
            <w:r>
              <w:rPr>
                <w:rFonts w:ascii="Arial" w:cs="Arial" w:eastAsia="Arial" w:hAnsi="Arial"/>
                <w:sz w:val="14"/>
                <w:szCs w:val="14"/>
                <w:color w:val="auto"/>
              </w:rPr>
              <w:t>No o</w:t>
            </w:r>
          </w:p>
        </w:tc>
      </w:tr>
      <w:tr>
        <w:trPr>
          <w:trHeight w:val="297"/>
        </w:trPr>
        <w:tc>
          <w:tcPr>
            <w:tcW w:w="6820" w:type="dxa"/>
            <w:vAlign w:val="bottom"/>
            <w:gridSpan w:val="6"/>
          </w:tcPr>
          <w:p>
            <w:pPr>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Act. Yes o</w:t>
            </w:r>
          </w:p>
        </w:tc>
        <w:tc>
          <w:tcPr>
            <w:tcW w:w="3880" w:type="dxa"/>
            <w:vAlign w:val="bottom"/>
            <w:gridSpan w:val="2"/>
          </w:tcPr>
          <w:p>
            <w:pPr>
              <w:ind w:left="120"/>
              <w:spacing w:after="0"/>
              <w:rPr>
                <w:sz w:val="20"/>
                <w:szCs w:val="20"/>
                <w:color w:val="auto"/>
              </w:rPr>
            </w:pPr>
            <w:r>
              <w:rPr>
                <w:rFonts w:ascii="Arial" w:cs="Arial" w:eastAsia="Arial" w:hAnsi="Arial"/>
                <w:sz w:val="14"/>
                <w:szCs w:val="14"/>
                <w:color w:val="auto"/>
              </w:rPr>
              <w:t>No x</w:t>
            </w:r>
          </w:p>
        </w:tc>
      </w:tr>
    </w:tbl>
    <w:p>
      <w:pPr>
        <w:spacing w:after="0" w:line="125"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240"/>
        <w:spacing w:after="0" w:line="341"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94" w:lineRule="exact"/>
        <w:rPr>
          <w:sz w:val="24"/>
          <w:szCs w:val="24"/>
          <w:color w:val="auto"/>
        </w:rPr>
      </w:pPr>
    </w:p>
    <w:p>
      <w:pPr>
        <w:jc w:val="both"/>
        <w:ind w:right="14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4580" w:type="dxa"/>
            <w:vAlign w:val="bottom"/>
          </w:tcPr>
          <w:p>
            <w:pPr>
              <w:ind w:left="540"/>
              <w:spacing w:after="0"/>
              <w:rPr>
                <w:sz w:val="20"/>
                <w:szCs w:val="20"/>
                <w:color w:val="auto"/>
              </w:rPr>
            </w:pPr>
            <w:r>
              <w:rPr>
                <w:rFonts w:ascii="Arial" w:cs="Arial" w:eastAsia="Arial" w:hAnsi="Arial"/>
                <w:sz w:val="16"/>
                <w:szCs w:val="16"/>
                <w:color w:val="auto"/>
              </w:rPr>
              <w:t>Large accelerated filer</w:t>
            </w:r>
          </w:p>
        </w:tc>
        <w:tc>
          <w:tcPr>
            <w:tcW w:w="98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19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4580" w:type="dxa"/>
            <w:vAlign w:val="bottom"/>
          </w:tcPr>
          <w:p>
            <w:pPr>
              <w:spacing w:after="0"/>
              <w:rPr>
                <w:sz w:val="20"/>
                <w:szCs w:val="20"/>
                <w:color w:val="auto"/>
              </w:rPr>
            </w:pPr>
            <w:r>
              <w:rPr>
                <w:rFonts w:ascii="Arial" w:cs="Arial" w:eastAsia="Arial" w:hAnsi="Arial"/>
                <w:sz w:val="14"/>
                <w:szCs w:val="14"/>
                <w:color w:val="auto"/>
              </w:rPr>
              <w:t>Non-accelerated filer (Do not check if a smaller reporting company)</w:t>
            </w:r>
          </w:p>
        </w:tc>
        <w:tc>
          <w:tcPr>
            <w:tcW w:w="98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19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3"/>
        </w:trPr>
        <w:tc>
          <w:tcPr>
            <w:tcW w:w="4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19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80"/>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111" w:lineRule="exact"/>
        <w:rPr>
          <w:sz w:val="24"/>
          <w:szCs w:val="24"/>
          <w:color w:val="auto"/>
        </w:rPr>
      </w:pPr>
    </w:p>
    <w:p>
      <w:pPr>
        <w:ind w:left="534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No x</w:t>
      </w:r>
    </w:p>
    <w:p>
      <w:pPr>
        <w:spacing w:after="0" w:line="161" w:lineRule="exact"/>
        <w:rPr>
          <w:sz w:val="24"/>
          <w:szCs w:val="24"/>
          <w:color w:val="auto"/>
        </w:rPr>
      </w:pPr>
    </w:p>
    <w:p>
      <w:pPr>
        <w:jc w:val="both"/>
        <w:ind w:right="120"/>
        <w:spacing w:after="0" w:line="250" w:lineRule="auto"/>
        <w:rPr>
          <w:sz w:val="20"/>
          <w:szCs w:val="20"/>
          <w:color w:val="auto"/>
        </w:rPr>
      </w:pPr>
      <w:r>
        <w:rPr>
          <w:rFonts w:ascii="Arial" w:cs="Arial" w:eastAsia="Arial" w:hAnsi="Arial"/>
          <w:sz w:val="14"/>
          <w:szCs w:val="14"/>
          <w:color w:val="auto"/>
        </w:rPr>
        <w:t>The aggregate market value of the registrant’s outstanding voting common stock held by non-affiliates on June 30, 2019 (the last business day of the registrant’s most recently completed second fiscal quarter), determined using the per share closing price on that date on the New York Stock Exchange of $82.91, was approximately $3,288,940,540. There was no non-voting common equity of the registrant outstanding on that date.</w:t>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14, 2020, there were 39,954,880 shares of common stock outstanding.</w:t>
      </w:r>
    </w:p>
    <w:p>
      <w:pPr>
        <w:spacing w:after="0" w:line="200" w:lineRule="exact"/>
        <w:rPr>
          <w:sz w:val="24"/>
          <w:szCs w:val="24"/>
          <w:color w:val="auto"/>
        </w:rPr>
      </w:pPr>
    </w:p>
    <w:p>
      <w:pPr>
        <w:spacing w:after="0" w:line="231"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Proxy Statement relating to the 2020 Annual Meeting of Shareholders to be held on April 24, 2020, are incorporated by reference into Part III of this Report.</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Form 10-K Annual Report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Item Number</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gridSpan w:val="5"/>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138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w:t>
            </w:r>
          </w:p>
        </w:tc>
        <w:tc>
          <w:tcPr>
            <w:tcW w:w="1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320" w:type="dxa"/>
            <w:vAlign w:val="bottom"/>
            <w:gridSpan w:val="18"/>
          </w:tcPr>
          <w:p>
            <w:pPr>
              <w:spacing w:after="0"/>
              <w:rPr>
                <w:sz w:val="24"/>
                <w:szCs w:val="24"/>
                <w:color w:val="auto"/>
              </w:rPr>
            </w:pPr>
          </w:p>
        </w:tc>
        <w:tc>
          <w:tcPr>
            <w:tcW w:w="44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1A.</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1B.</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2.</w:t>
            </w:r>
          </w:p>
        </w:tc>
        <w:tc>
          <w:tcPr>
            <w:tcW w:w="140" w:type="dxa"/>
            <w:vAlign w:val="bottom"/>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5920" w:type="dxa"/>
            <w:vAlign w:val="bottom"/>
            <w:gridSpan w:val="11"/>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3.</w:t>
            </w:r>
          </w:p>
        </w:tc>
        <w:tc>
          <w:tcPr>
            <w:tcW w:w="140" w:type="dxa"/>
            <w:vAlign w:val="bottom"/>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Legal Proceedings</w:t>
              </w:r>
            </w:hyperlink>
          </w:p>
        </w:tc>
        <w:tc>
          <w:tcPr>
            <w:tcW w:w="6620" w:type="dxa"/>
            <w:vAlign w:val="bottom"/>
            <w:gridSpan w:val="15"/>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4.</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1380" w:type="dxa"/>
            <w:vAlign w:val="bottom"/>
          </w:tcPr>
          <w:p>
            <w:pPr>
              <w:ind w:left="40"/>
              <w:spacing w:after="0"/>
              <w:rPr>
                <w:sz w:val="20"/>
                <w:szCs w:val="20"/>
                <w:color w:val="auto"/>
              </w:rPr>
            </w:pPr>
            <w:r>
              <w:rPr>
                <w:rFonts w:ascii="Arial" w:cs="Arial" w:eastAsia="Arial" w:hAnsi="Arial"/>
                <w:sz w:val="18"/>
                <w:szCs w:val="18"/>
                <w:color w:val="auto"/>
              </w:rPr>
              <w:t>Item 5.</w:t>
            </w:r>
          </w:p>
        </w:tc>
        <w:tc>
          <w:tcPr>
            <w:tcW w:w="140" w:type="dxa"/>
            <w:vAlign w:val="bottom"/>
          </w:tcPr>
          <w:p>
            <w:pPr>
              <w:spacing w:after="0"/>
              <w:rPr>
                <w:sz w:val="24"/>
                <w:szCs w:val="24"/>
                <w:color w:val="auto"/>
              </w:rPr>
            </w:pPr>
          </w:p>
        </w:tc>
        <w:tc>
          <w:tcPr>
            <w:tcW w:w="73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Market for Registrant's Common Equity, Related Stockholder Matters and Issuer Purchases of Equity</w:t>
              </w:r>
            </w:hyperlink>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1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Securities</w:t>
              </w:r>
            </w:hyperlink>
          </w:p>
        </w:tc>
        <w:tc>
          <w:tcPr>
            <w:tcW w:w="560" w:type="dxa"/>
            <w:vAlign w:val="bottom"/>
            <w:gridSpan w:val="5"/>
          </w:tcPr>
          <w:p>
            <w:pPr>
              <w:jc w:val="right"/>
              <w:ind w:right="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6.</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7.</w:t>
            </w:r>
          </w:p>
        </w:tc>
        <w:tc>
          <w:tcPr>
            <w:tcW w:w="140" w:type="dxa"/>
            <w:vAlign w:val="bottom"/>
          </w:tcPr>
          <w:p>
            <w:pPr>
              <w:spacing w:after="0"/>
              <w:rPr>
                <w:sz w:val="21"/>
                <w:szCs w:val="21"/>
                <w:color w:val="auto"/>
              </w:rPr>
            </w:pPr>
          </w:p>
        </w:tc>
        <w:tc>
          <w:tcPr>
            <w:tcW w:w="6440" w:type="dxa"/>
            <w:vAlign w:val="bottom"/>
            <w:gridSpan w:val="15"/>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gridSpan w:val="4"/>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7A.</w:t>
            </w:r>
          </w:p>
        </w:tc>
        <w:tc>
          <w:tcPr>
            <w:tcW w:w="140" w:type="dxa"/>
            <w:vAlign w:val="bottom"/>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21"/>
                <w:szCs w:val="21"/>
                <w:color w:val="auto"/>
              </w:rPr>
            </w:pPr>
          </w:p>
        </w:tc>
        <w:tc>
          <w:tcPr>
            <w:tcW w:w="1520" w:type="dxa"/>
            <w:vAlign w:val="bottom"/>
            <w:gridSpan w:val="4"/>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8.</w:t>
            </w:r>
          </w:p>
        </w:tc>
        <w:tc>
          <w:tcPr>
            <w:tcW w:w="140" w:type="dxa"/>
            <w:vAlign w:val="bottom"/>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3600" w:type="dxa"/>
            <w:vAlign w:val="bottom"/>
            <w:gridSpan w:val="6"/>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9.</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38">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9A.</w:t>
            </w:r>
          </w:p>
        </w:tc>
        <w:tc>
          <w:tcPr>
            <w:tcW w:w="140" w:type="dxa"/>
            <w:vAlign w:val="bottom"/>
          </w:tcPr>
          <w:p>
            <w:pPr>
              <w:spacing w:after="0"/>
              <w:rPr>
                <w:sz w:val="21"/>
                <w:szCs w:val="21"/>
                <w:color w:val="auto"/>
              </w:rPr>
            </w:pPr>
          </w:p>
        </w:tc>
        <w:tc>
          <w:tcPr>
            <w:tcW w:w="6500" w:type="dxa"/>
            <w:vAlign w:val="bottom"/>
            <w:tcBorders>
              <w:top w:val="single" w:sz="8" w:color="0000EE"/>
            </w:tcBorders>
            <w:gridSpan w:val="16"/>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Controls and Procedures</w:t>
              </w:r>
            </w:hyperlink>
          </w:p>
        </w:tc>
        <w:tc>
          <w:tcPr>
            <w:tcW w:w="146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9B.</w:t>
            </w:r>
          </w:p>
        </w:tc>
        <w:tc>
          <w:tcPr>
            <w:tcW w:w="140" w:type="dxa"/>
            <w:vAlign w:val="bottom"/>
          </w:tcPr>
          <w:p>
            <w:pPr>
              <w:spacing w:after="0"/>
              <w:rPr>
                <w:sz w:val="21"/>
                <w:szCs w:val="21"/>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Other Information</w:t>
              </w:r>
            </w:hyperlink>
          </w:p>
        </w:tc>
        <w:tc>
          <w:tcPr>
            <w:tcW w:w="6200" w:type="dxa"/>
            <w:vAlign w:val="bottom"/>
            <w:gridSpan w:val="1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Part III</w:t>
            </w:r>
          </w:p>
        </w:tc>
        <w:tc>
          <w:tcPr>
            <w:tcW w:w="1380" w:type="dxa"/>
            <w:vAlign w:val="bottom"/>
          </w:tcPr>
          <w:p>
            <w:pPr>
              <w:ind w:left="40"/>
              <w:spacing w:after="0"/>
              <w:rPr>
                <w:sz w:val="20"/>
                <w:szCs w:val="20"/>
                <w:color w:val="auto"/>
              </w:rPr>
            </w:pPr>
            <w:r>
              <w:rPr>
                <w:rFonts w:ascii="Arial" w:cs="Arial" w:eastAsia="Arial" w:hAnsi="Arial"/>
                <w:sz w:val="18"/>
                <w:szCs w:val="18"/>
                <w:color w:val="auto"/>
              </w:rPr>
              <w:t>Item 10.</w:t>
            </w:r>
          </w:p>
        </w:tc>
        <w:tc>
          <w:tcPr>
            <w:tcW w:w="14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Directors, Executive Officers and Corporate Governance</w:t>
              </w:r>
            </w:hyperlink>
          </w:p>
        </w:tc>
        <w:tc>
          <w:tcPr>
            <w:tcW w:w="38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11.</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Executive Compensation</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40">
              <w:r>
                <w:rPr>
                  <w:rFonts w:ascii="Arial" w:cs="Arial" w:eastAsia="Arial" w:hAnsi="Arial"/>
                  <w:sz w:val="18"/>
                  <w:szCs w:val="18"/>
                  <w:color w:val="0000EE"/>
                </w:rPr>
                <w:t>133</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12.</w:t>
            </w:r>
          </w:p>
        </w:tc>
        <w:tc>
          <w:tcPr>
            <w:tcW w:w="140" w:type="dxa"/>
            <w:vAlign w:val="bottom"/>
          </w:tcPr>
          <w:p>
            <w:pPr>
              <w:spacing w:after="0"/>
              <w:rPr>
                <w:sz w:val="21"/>
                <w:szCs w:val="21"/>
                <w:color w:val="auto"/>
              </w:rPr>
            </w:pP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Security Ownership of Certain Beneficial Owners and Management and Related Stockholder Matters</w:t>
              </w:r>
            </w:hyperlink>
          </w:p>
        </w:tc>
        <w:tc>
          <w:tcPr>
            <w:tcW w:w="6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13.</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Certain Relationships and Related Transactions, and Director Independence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40">
              <w:r>
                <w:rPr>
                  <w:rFonts w:ascii="Arial" w:cs="Arial" w:eastAsia="Arial" w:hAnsi="Arial"/>
                  <w:sz w:val="18"/>
                  <w:szCs w:val="18"/>
                  <w:color w:val="0000EE"/>
                </w:rPr>
                <w:t>133</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14.</w:t>
            </w:r>
          </w:p>
        </w:tc>
        <w:tc>
          <w:tcPr>
            <w:tcW w:w="140" w:type="dxa"/>
            <w:vAlign w:val="bottom"/>
          </w:tcPr>
          <w:p>
            <w:pPr>
              <w:spacing w:after="0"/>
              <w:rPr>
                <w:sz w:val="21"/>
                <w:szCs w:val="21"/>
                <w:color w:val="auto"/>
              </w:rPr>
            </w:pP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Principal Accounting Fees and Services</w:t>
              </w:r>
            </w:hyperlink>
          </w:p>
        </w:tc>
        <w:tc>
          <w:tcPr>
            <w:tcW w:w="252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Part IV</w:t>
            </w:r>
          </w:p>
        </w:tc>
        <w:tc>
          <w:tcPr>
            <w:tcW w:w="1380" w:type="dxa"/>
            <w:vAlign w:val="bottom"/>
          </w:tcPr>
          <w:p>
            <w:pPr>
              <w:ind w:left="40"/>
              <w:spacing w:after="0"/>
              <w:rPr>
                <w:sz w:val="20"/>
                <w:szCs w:val="20"/>
                <w:color w:val="auto"/>
              </w:rPr>
            </w:pPr>
            <w:r>
              <w:rPr>
                <w:rFonts w:ascii="Arial" w:cs="Arial" w:eastAsia="Arial" w:hAnsi="Arial"/>
                <w:sz w:val="18"/>
                <w:szCs w:val="18"/>
                <w:color w:val="auto"/>
              </w:rPr>
              <w:t>Item 15.</w:t>
            </w:r>
          </w:p>
        </w:tc>
        <w:tc>
          <w:tcPr>
            <w:tcW w:w="140" w:type="dxa"/>
            <w:vAlign w:val="bottom"/>
          </w:tcPr>
          <w:p>
            <w:pPr>
              <w:spacing w:after="0"/>
              <w:rPr>
                <w:sz w:val="24"/>
                <w:szCs w:val="24"/>
                <w:color w:val="auto"/>
              </w:rPr>
            </w:pPr>
          </w:p>
        </w:tc>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Exhibits, Financial Statement Schedules</w:t>
              </w:r>
            </w:hyperlink>
          </w:p>
        </w:tc>
        <w:tc>
          <w:tcPr>
            <w:tcW w:w="506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41">
              <w:r>
                <w:rPr>
                  <w:rFonts w:ascii="Arial" w:cs="Arial" w:eastAsia="Arial" w:hAnsi="Arial"/>
                  <w:sz w:val="18"/>
                  <w:szCs w:val="18"/>
                  <w:color w:val="0000EE"/>
                  <w:w w:val="86"/>
                </w:rPr>
                <w:t>134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Signatures</w:t>
            </w: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45">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858"/>
        </w:trPr>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0" w:type="dxa"/>
            <w:vAlign w:val="bottom"/>
            <w:gridSpan w:val="10"/>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Bank of Hawaii Corporation (the “Parent”) is a Delaware corporation and a bank holding company (“BHC”) headquartered in Honolulu, Hawaii. The Parent’s principal operating subsidiary, Bank of Hawaii (the “Bank”), was organized on December 17, 1897, and is chartered by the State of Hawaii. The Bank’s deposits are insured by the Federal Deposit Insurance Corporation (the “FDIC”) and the Bank is a member of the Federal Reserve System.</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Bank, directly and through its subsidiaries, provides a broad range of financial products and services primarily to customers in Hawaii, Guam, and other Pacific Islands. References to “we,” “our,” “us,” or “the Company” refer to the Parent and its subsidiaries and are consolidated for financial reporting purposes. The Bank’s subsidiaries include Bank of Hawaii Leasing, Inc., Bankoh Investment Services, Inc., and Pacific Century Life Insurance Corporation. The Bank’s subsidiaries are engaged in equipment leasing, securities brokerage, investment advisory services, and providing credit insurance.</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organized into four business segments for management reporting purposes: Retail Banking, Commercial Banking, Investment Services and Private Banking, and Treasury and Other. See Management’s Discussion and Analysis of Financial Condition and Results of Operations (“MD&amp;A”) and Note 13 to the Consolidated Financial Statements for more information.</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those reports can be found free of charge on our website at www.boh.com as soon as reasonably practicable after such material is electronically filed with or furnished to the U.S. Securities and Exchange Commission (the “SEC”). The SEC maintains a website, www.sec.gov, which contains reports, proxy and information statements, and other information regarding issuers that file electronically with the SEC. Our Corporate Governance Guidelines; charters of the Audit and Risk Committee, the Human Resources and Compensation Committee, and the Nominating and Corporate Governance Committee; and our Code of Business Conduct and Ethics are available on our website at www.boh.com. Printed copies of this information may be obtained, without charge, by written request to the Corporate Secretary at 130 Merchant Street, Honolulu, Hawaii, 96813.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operates in a highly competitive environment subject to intense competition from traditional financial service providers including banks, savings associations, credit unions, mortgage companies, finance companies, mutual funds, brokerage firms, insurance companies, and other non-traditional providers of financial services including financial service subsidiaries of commercial and manufacturing companies. Some of our competitors are not subject to the same level of regulation and oversight that is required of banks and BHCs, and receive favorable tax treatment. As a result, some of our competitors may have lower cost structures. Also, some of our competitors, through delivery channels such as the Internet, may be based outside of the markets that we serve. By emphasizing our extensive branch network, exceptional service levels, and knowledge of local trends and conditions, the Company believes it has developed a competitive advantage in its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operations are subject to extensive regulation by federal and state governmental authorities. The regulations are primarily intended to protect depositors, customers, and the integrity of the U.S. banking system and capital markets. The following information describes some of the more significant laws and regulations applicable to us. The descriptions below are qualified in their entirety by reference to the applicable laws and regulations. Proposals to change the laws and regulations governing the banking industry are frequently raised in Congress, in state legislatures, and with the various bank regulatory agencies. Changes in applicable laws or regulations, or a change in the way such laws or regulations are interpreted by regulatory agencies or courts, may have a material impact on our business, operations, and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Parent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Parent is registered as a BHC under the Bank Holding Company Act of 1956, as amended (the “BHC Act”), and is subject to the supervision of and to examination by the Board of Governors of the Federal Reserve (the “FRB”). The Parent is also registered as a financial institution holding company under the Hawaii Code of Financial Institutions (the “Code”) and is subject to the registration, reporting, and examination requirements of the Code.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BHC Act prohibits, with certain exceptions, a BHC from acquiring direct or indirect beneficial ownership or control of either a company that is not a bank, or more than 5% of the voting shares of any bank, without the FRB’s prior approval. A BHC is generally prohibited from engaging in any activity other than banking, managing or controlling banks or other subsidiaries authorized under the BHC Act, or an activity that the FRB has determined to be so closely related to those activities as to be a proper incident to one of them.</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Under FRB policy, a BHC is expected to serve as a source of financial and management strength to its subsidiary bank. A BHC is also expected to commit resources to support its subsidiary bank in circumstances where it might not do so absent such a policy. Under this policy, a BHC is expected to maintain reliable funding and contingency plans to stand ready to provide adequate capital funds to its subsidiary bank during periods of financial adversity and to maintain the financial flexibility and capital-raising capacity to obtain additional resources for assisting its subsidiary bank.</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Riegle-Neal Interstate Banking and Branching Efficiency Act of 1994 (the “Riegle-Neal Act”) banks and BHCs from any state are permitted to acquire banks located in any other state, subject to certain conditions, including certain nationwide and state-imposed deposit concentration limits. Banks also have the ability, subject to certain restrictions, to acquire branches outside their home states by acquisition or merger. The establishment of new interstate branches is also possible in those states with laws that expressly permit de novo branching. Because the Code permits de novo branching by out-of-state banks, those banks may establish new branches in Hawaii.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of Hawaii</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Bank is subject to extensive federal, state, territorial and foreign regulations that significantly affect its business and activities. The Bank is subject to supervision and examination by the FRB of San Francisco, the Consumer Financial Protection Bureau (the “CFPB”), and the State of Hawaii Department of Commerce and Consumer Affairs’ (“DCCA”) Division of Financial Institutions. These regulatory bodies have broad authority to implement standards and to initiate proceedings designed to prohibit depository institutions from engaging in activities that may represent “unsafe” or “unsound” banking practices or constitute violations of applicable laws, rules, regulations, administrative orders, or written agreements with regulators. The standards relate generally to operations and management, asset quality, interest rate exposure, capital, executive compensation, and consumer protection. The regulatory bodies are authorized to take action against institutions that fail to meet such standards, including the assessment of civil monetary penalties and restitution, the issuance of cease-and-desist orders, and other actions, up to and including revocation of a bank’s charter for the most severe infractions, or putting such a bank into receivership if it is not financially viable.</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Bankoh Investment Services, Inc., the broker-dealer and investment adviser subsidiary of the Bank, is incorporated in Hawaii and is regulated by the SEC, the Financial Industry Regulatory Authority, and the DCCA’s Insurance Division. Pacific Century Life Insurance Corporation is incorporated in Arizona and is primarily regulated by the State of Arizona Department of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Dodd Frank Act</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Dodd-Frank Wall Street Reform and Consumer Protection Act of 2010 (the “Dodd-Frank Act”) and its regulations implemented sweeping changes to the financial regulatory landscape aimed at strengthening the sound operation of the financial services sector by mandating higher capital and liquidity requirements, establishing new standards for mortgage lenders, increasing regulation of executive and incentive-based compensation and numerous other provisions. Provisions also limit or place significant burdens and costs on activities traditionally conducted by banking organizations, such as arranging and participating in swap and derivative transactions, proprietary trading and investing in private equity and other funds.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Several provisions of the Dodd-Frank Act were significantly changed by enactment of the Economic Growth, Regulatory Relief, and Consumer Protection Act in May 2018, notably by eliminating the requirement for institutions like the Company to perform and publicly disclose periodic stress tests. The Company continues to monitor and implement rules, regulations, and interpretations of the Dodd-Frank Act as they are adopted and modified, and to evaluate their application to our current and future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2013, the FRB, the Office of the Comptroller of the Currency (the “OCC”) and the FDIC adopted new capital rules (the “Rules”). These Rules were designed to help ensure that banks maintain strong capital positions by increasing both the quantity and quality of capital held by U.S. banking organizations. The Rules reflect, in part, certain standards initially adopted by the Basel Committee on Banking Supervision in December 2010 (which are commonly called “Basel III” standards) as well as requirements by the Dodd-Frank Act.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Federal Deposit Insurance Corporation Improvement Act of 1991 (“FDICIA”) identifies five capital categories for insured depository institutions: “well capitalized,” “adequately capitalized,” “undercapitalized,” “significantly undercapitalized,” and “critically undercapitalized.”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federal banking agencies are authorized by FDICIA to impose progressively more restrictive constraints on operations, management and capital distributions, depending on the capital category in which an institution is classified. These “prompt corrective actions” can include: requiring an insured depository institution to adopt a capital restoration plan guaranteed by the institution’s parent company; placing limits on asset growth and restrictions on activities, including restrictions on transactions with affiliates; restricting the interest rates the institution may pay on deposits; prohibiting the payment of principal or interest on subordinated debt; prohibiting the holding company from making capital distribution without prior regulatory approval; and ultimately appointing a receiver for the institution.</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 “well capitalized” institution must have a Common Equity Tier 1 Capital Ratio of at least 6.5%, a Tier 1 Capital Ratio of at least 8%, a Total Capital Ratio of at least 10%, a Tier 1 Leverage Ratio of at least 5%, and not be subject to a capital directive order. As of December 31, 2019, the Bank was classified as “well capitalized.” The classification of a depository institution under one of the categories set out above is primarily for the purpose of applying the prompt corrective action, and is not intended to be, nor should it be interpreted as, a representation of the overall financial condition or the prospects of that financial institution. See Note 11 to the Consolidated Financial Statements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Restrictions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Parent is a legal entity separate and distinct from the Bank. The Parent’s principal source of funds to pay dividends on its common stock and to service its debt is dividends from the Bank. Various federal and state laws and regulations limit the amount of dividends the Bank may pay to the Parent without regulatory approval. The FRB is authorized to determine the circumstances when the payment of dividends would be an unsafe or unsound practice and to prohibit such payments. The right of the Parent, its shareholders, and creditors to participate in any distribution of the assets or earnings of its subsidiaries is also subject to the prior claims of creditors of those subsidiaries. For information regarding the limitations on the Bank’s ability to pay dividends to the Parent, see Note 11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Affiliates and Insiders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Transactions between the Bank and any affiliate are governed by Sections 23A and 23B of the Federal Reserve Act. An affiliate of the Bank is any company or entity which controls, is controlled by or is under common control with the Bank which is not a subsidiary of the Bank. Under federal law, the Bank is subject to restrictions that limit the transfer of funds or other items of value to the Parent, and any other non-bank affiliates in “covered transactions.” In general, covered transactions include making loans to an affiliate, the purchase of or investment in the securities issued by an affiliate, the purchase of assets from an affiliate, the acceptance of securities issued by an affiliate as collateral security for a loan or extensions of credit to any person or company, the issuance of a guarantee, acceptance or letter of credit on behalf of an affiliate, or certain transactions with an affiliate that involve the borrowing or lending of securities and certain derivative transactions with an affiliate.</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Unless an exemption applies, covered transactions by the Bank with a single affiliate are limited to 10% of the Bank’s capital and surplus, and with respect to all covered transactions with affiliates in the aggregate, they are limited to 20% of the Bank’s capital and surplus. Section 23B of the Federal Reserve Act and Federal Reserve Regulation W also require that certain transactions between the Bank and its affiliates be on terms substantially the same, or at least as favorable to the Bank, as those prevailing at the time for comparable transactions with or involving other non-affiliated persons.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Federal Reserve Act and Federal Reserve Regulation O place restrictions and certain reporting requirements on any extension of credit made by a member bank to (a) an executive officer, director, or principal shareholder of the bank, or any company of which the bank is a subsidiary, and of any other subsidiary of that company, and (b) a company controlled by such a person, or to a political or campaign committee that benefits or is controlled by such a person (collectively referred to as “insiders”). These restrictions include limits on loans to one borrower and conditions that must be met before such loans can be made. There is also an aggregate limitation on all loans to insiders and their related interests. Certain restrictions also extend to extensions of credit made to an executive officer, directors, or principal shareholder of a bank (or to a related interest of such person) by a correspondent bank.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Volcker Rule</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December 2013, the Federal Reserve, the OCC, the FDIC, the SEC, and the Commodities Futures Trading Commission issued final rules to implement certain provisions of the Dodd-Frank Act commonly known as the “Volker Rule.” The Volcker Rule, as amended on August 20, 2019, generally prohibits U.S. banks from engaging in proprietary trading and restricts those banking entities from sponsoring, investing in, or having certain relationships with hedge funds and private equity funds. The prohibitions under the Volcker Rule are subject to a number of statutory exemptions, restrictions, and definitions. The Volcker Rule has not had a material impact on the Company’s Consolidated Financial Statements, but we continue to evaluate its application to our current and future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FDIC Insurance</w:t>
      </w:r>
    </w:p>
    <w:p>
      <w:pPr>
        <w:spacing w:after="0" w:line="22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FDIC provides insurance coverage for certain deposits through the Deposit Insurance Fund, which the FDIC maintains by assessing depository institutions an insurance premium. The Company is assessed deposit insurance premiums by the FDIC using a base rate, to which is added temporary surcharges that are used to establish a FDIC reserve fund and pay certain bond obligations. A temporary surcharge ended in September 2018. The Bank’s FDIC insurance assessment was $5.2 million in 2019, $7.7 million in 2018, and $8.7 million in 2017.</w:t>
      </w:r>
    </w:p>
    <w:p>
      <w:pPr>
        <w:spacing w:after="0" w:line="17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 depository institution’s deposit insurance may be terminated by the FDIC upon a finding that the institution’s financial condition is unsafe or unsound, or that the institution has engaged in unsafe or unsound practices, or has violated any applicable rule, regulation, or order or condition enacted or imposed by a regulatory agency. Termination of the Bank’s deposit insurance would end its ability to function as a commercial bank in Hawaii.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Depositor Preference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event of the “liquidation or other resolution” of an insured depository institution, claims of insured and uninsured depositors for deposits payable in the United States (including the claims of the FDIC as subrogee of insured depositors), plus certain claims for administrative expenses of the FDIC as a receiver will have priority in payment ahead of unsecured creditors including, in the case of the Bank, the Parent.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Safety and Soundness Regulations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federal banking agencies also have adopted guidelines prescribing safety and soundness standards. These guidelines establish general standards for internal controls, information systems, internal audit systems, loan documentation, credit underwriting, interest rate risk exposure, asset growth, asset quality, earnings standards, compensation, fees and benefits. In general, the guidelines require appropriate systems and practices to identify and manage the risks and exposures specified in the guidelines before capital becomes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Reinvestment and Consumer Protection Laws</w:t>
      </w:r>
    </w:p>
    <w:p>
      <w:pPr>
        <w:spacing w:after="0" w:line="225" w:lineRule="exact"/>
        <w:rPr>
          <w:sz w:val="20"/>
          <w:szCs w:val="20"/>
          <w:color w:val="auto"/>
        </w:rPr>
      </w:pPr>
    </w:p>
    <w:p>
      <w:pPr>
        <w:ind w:left="660" w:hanging="328"/>
        <w:spacing w:after="0" w:line="255"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Community Reinvestment. </w:t>
      </w:r>
      <w:r>
        <w:rPr>
          <w:rFonts w:ascii="Arial" w:cs="Arial" w:eastAsia="Arial" w:hAnsi="Arial"/>
          <w:sz w:val="18"/>
          <w:szCs w:val="18"/>
          <w:color w:val="auto"/>
        </w:rPr>
        <w:t>The Community Reinvestment Act of 1977 (“CRA”) requires the appropriate federal banking agency,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its examination of a bank, to assess the bank’s record in meeting the credit needs of the communities served by the bank, including low and moderate income neighborhoods. Under the CRA, institutions are assigned a rating of “outstanding,” “satisfactory,” “needs to improve,” or “substantial non-compliance.” The regulatory assessment of the bank’s record is made available to the public. Further, these assessments are considered by regulators when evaluating mergers, acquisitions and applications to open, close, or relocate a branch or facility. The Bank’s current CRA rating is “outstanding”.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160" w:hanging="328"/>
        <w:spacing w:after="0" w:line="286"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Consumer Protection Laws. </w:t>
      </w:r>
      <w:r>
        <w:rPr>
          <w:rFonts w:ascii="Arial" w:cs="Arial" w:eastAsia="Arial" w:hAnsi="Arial"/>
          <w:sz w:val="17"/>
          <w:szCs w:val="17"/>
          <w:color w:val="auto"/>
        </w:rPr>
        <w:t>In addition to the CRA, the Bank is subject to a number of federal laws designed to protect borrowers and promote</w:t>
      </w:r>
      <w:r>
        <w:rPr>
          <w:rFonts w:ascii="Arial" w:cs="Arial" w:eastAsia="Arial" w:hAnsi="Arial"/>
          <w:sz w:val="17"/>
          <w:szCs w:val="17"/>
          <w:i w:val="1"/>
          <w:iCs w:val="1"/>
          <w:color w:val="auto"/>
        </w:rPr>
        <w:t xml:space="preserve"> </w:t>
      </w:r>
      <w:r>
        <w:rPr>
          <w:rFonts w:ascii="Arial" w:cs="Arial" w:eastAsia="Arial" w:hAnsi="Arial"/>
          <w:sz w:val="17"/>
          <w:szCs w:val="17"/>
          <w:color w:val="auto"/>
        </w:rPr>
        <w:t>lending to various sectors of the economy and population in connection with its lending activities. These include the Equal Credit Opportunity Act, the Truth-in-Lending Act, the Home Mortgage Disclosure Act and the Real Estate Settlement Procedures Act.</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Federal banking regulators, pursuant to the Gramm-Leach-Bliley Act, have enacted regulations limiting the ability of banks and other financial institutions to disclose nonpublic consumer information to non-affiliated third parties. The regulations require disclosure of privacy policies and allow consumers to prevent certain personal information from being shared with non-affiliated third parties. The Fair and Accurate Credit Transaction Act (“FACT Act”) requires financial institutions to develop and implement an identity theft prevention program to detect, prevent and mitigate identity theft “red flags” to reduce the risk that customer information will be misused to conduct fraudulent financial transactions.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number of other federal and state consumer protection laws extensively govern the Bank’s relationship with its customers. These laws include the Equal Credit Opportunity Act, the Fair Credit Reporting Act, the Truth in Lending Act, the Truth in Savings Act, the Electronic Fund Transfer Act, the Expedited Funds Availability Act, the Home Mortgage Disclosure Act, the Fair Housing Act, the Real Estate Settlement Procedures Act, the Fair Debt Collection Practices Act, Telephone Consumer Protection Act, the Service Members Civil Relief Act and these laws’ respective state-law counterparts, as well as state and territorial usury laws and laws regarding unfair and deceptive acts and practices. These and other laws subject the Bank to substantial regulatory oversight and,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restrict the Bank’s ability to raise interest rates.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CFPB was created under the Dodd-Frank Act as an agency responsible for promulgating and enforcing regulations designed to protect consumers including adding prohibitions on unfair, deceptive and abusive acts and practices. The CFPB, along with other prudential regulators and the Department of Justice, have also expanded the focus of their regulatory examinations and investigations to include “fair and responsible banking.” Fair and responsible banking strives to provide equal credit opportunities to all applicants of a community, to prohibit discrimination by lenders on the basis of certain borrower characteristics, and to ensure that a bank’s practices are not deceptive, unfair, or take unreasonable advantage of consumers or businesses. The enhanced focus encompasses the entire loan life cycle, including post-closing activities such as collections and servicing, and pre-application activities such as marketing and loan solicitation and origination.</w:t>
      </w:r>
    </w:p>
    <w:p>
      <w:pPr>
        <w:spacing w:after="0" w:line="18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Violations of applicable consumer protection laws and regulations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and civil money penalties. Failure to comply with consumer protection requirements may also result in our failure to obtain required bank regulatory approvals for transactions the Bank may wish to pursue, or prohibit us from engaging in such transactions even if approval is not required.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Secrecy Act / Anti-Money Laundering Laws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Bank is subject to the Bank Secrecy Act and other anti-money laundering laws and regulations, including the USA PATRIOT Act of 2001. The USA PATRIOT Act created new laws, regulations, and penalties, imposed significant new compliance and due diligence obligations, and expanded the application of those laws outside the U.S. Additionally, like all U.S. companies and individuals, the Company is prohibited from transacting business with certain individuals and entities named on the Office of Foreign Asset Control’s list of Specially Designated Nationals and Blocked Persons.</w:t>
      </w:r>
    </w:p>
    <w:p>
      <w:pPr>
        <w:spacing w:after="0" w:line="15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Bank has been required to implement policies, procedures, and controls to detect, prevent, and report potential money laundering and terrorist financing and to verify the identity of its customers. The Company maintains procedures and systems to identify its customers, and to monitor and block transactions related to prohibited persons and entities. Violations of these requirements can result in substantial civil and criminal sanctions. In addition, the federal financial institution regulatory agencies consider the effectiveness of a financial institution’s anti-money laundering activities when reviewing bank mergers and BHC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employed 2,124 full-time equivalent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executive officers of the Parent as of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S. Ho, 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since July 2010 and President since April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Dean Y. Shigemura, 56</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Vice Chair since December 2017, and Chief Financial Officer since March 2017; Senior Executive Vice President and Controller from August 2014 to February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Sharon M. Crofts, 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Client Solutions Group since April 2016; Vice Chair, Operations and Technology from October 2012 to March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Wayne Y. Hamano, 65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since December 2008 and Chief Commercial Officer since September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Kent T. Lucien, 66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and Chief Strategy Officer since March 2017; Vice Chair and Chief Financial Officer from April 2008 to February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C. Polk, 53</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Vice Chair, Consumer Lending and Deposit Product Group since September 2018 and Consumer and Residential Lending since April 2018; Vice Chair, Mortgage Banking from July 2017 to March 2018; Vice Chair, The Private Bank from June 2016 to June 2017; Senior Executive Vice President, Consumer Banking from January 2016 to May 2016; Senior Executive Vice President, Mortgage Banking from August 2014 to January 2016.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Mark A. Rossi, 70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Chief Administrative Officer, General Counsel, and Corporate Secretary since February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Mary E. Sellers, 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and Chief Risk Officer since July 2005.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Andrea Wilson Ignacio, 47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Controller since August 2019.</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125" w:right="4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a number of risks and uncertainties that could negatively affect our business, financial condition or results of operations. We are subject to various risks resulting from changing economic, environmental, political, industry, business, financial and regulatory conditions. The risks and uncertainties described below are what management believes are the most significant risk and uncertainties that could affect our business and operations, although they are not the only risks that may have a material adverse effect on the Company.</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Changes in business and economic conditions, in particular those of Hawaii, Guam and other Pacific Islands, could lead to lower revenue, lower asset quality, and lower earnings.</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Unlike larger national or other regional banks that are more geographically diversified, our business and earnings are closely tied to the economies of Hawaii and the Pacific Islands. These local economies rely heavily on tourism, the U.S. military, real estate, construction, government, and other service-based industries. Lower visitor arrivals or spending, real or threatened acts of war or terrorism, increases in energy costs, the availability of affordable air transportation, climate change, natural disasters and adverse weather, public health issues including Asian air pollution and the spread of COVID-19 virus, and Federal, State of Hawaii and local government budget issues may impact consumer and corporate spending. As a result, such events may contribute to a significant deterioration in general economic conditions in our markets which could adversely impact us and our customers’ operations.</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General economic conditions in Hawaii remained stable in 2019 due to low interest rates, a relatively healthy construction sector and growing visitor arrivals. However, deterioration of economic conditions, either locally, nationally, or internationally could adversely affect the quality of our assets, credit losses, and the demand for our products and services, which could lead to lower revenues and lower earnings. The level of visitor arrivals and spending, housing prices, and unemployment rates are some of the metrics that we continually monitor. We also monitor the value of collateral, such as real estate, that secures the loans we have made. The borrowing power of our customers could also be negatively impacted by a decline in the value of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reduction in defense spending by the federal government could adversely impact the economy in Hawaii and the Pacific Islands.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 military has a major presence in Hawaii and the Pacific Islands. As a result, the U.S. military is an important aspect of the economies in which we operate. The funding of the U.S. military is subject to the overall U.S. Government budget and appropriation decisions and processes which are driven by numerous factors, including geo-political events, macroeconomic conditions, and the ability and willingness of the U.S. Government to enact legislation. U.S. Government appropriations have been and likely will continue to be affected by larger U.S. Government budgetary issues and related legislation. Cuts in defense and other security spending could have an adverse impact on the economies in which we operate, which could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adversely impact our results of operations and capital.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earnings are highly dependent on the spread between the interest earned on loans, leases, and investment securities and the interest paid on deposits and borrowings. We primarily rely on customer deposits as a sizable source of relatively stable and low-cost funds. Changes in market interest rates impact the rates earned on loans, leases, and investment securities and the rates paid on deposits and borrowings. In addition, changes to market interest rates could impact the level of loans, leases, investment securities, deposits, and borrowings, and the credit profile of our current borrowers. Interest rates are affected by many factors beyond our control, and fluctuate in response to general economic conditions, currency fluctuations, and the monetary and fiscal policies of various governmental and regulatory authorities.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Changes in monetary policy, including changes in interest rates, will influence the origination of loans and leases, the purchase of investments, the generation of deposits, and the rates received on loans and investment securities and paid on deposits. Any substantial prolonged change in market interest rates may negatively impact our ability to attract deposits, originate loans and leases, and achieve satisfactory interest rate spreads. If we are unable to continue to fund loans and other assets through customer deposits or access capital markets on favorable terms or if we otherwise fail to manage our liquidity effectively, our liquidity, net interest margin, financial results and conditions may be adversely affected.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about the continuing availability of LIBOR may adversely affect our business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July 27, 2017, the United Kingdom’s Financial Conduct Authority, which regulates LIBOR announced that after December 31, 2021, it would no longer compel banks to submit the rates required to calculate LIBOR. With this announcement there is uncertainty about the continued availability of LIBOR after 2021. If LIBOR ceases to be available or the methods of calculating LIBOR change from the current methods, financial products with interest rates tied to LIBOR may be adversely affected. Even if LIBOR remains available it is uncertain whether it will continue to be viewed as an acceptable market benchmark, what rate or rates may become accepted alternatives to LIBOR or what the effect of any such changes in views or alternatives may be on the markets for LIBOR-indexed financial instruments. We have loans, derivative contracts, and other financial instruments with rates that are either directly or indirectly tied to LIBOR. If any of the foregoing were to occur, the interest rates on these instruments, as well as the revenue and expenses associated with the same, may be adversely affected. Furthermore, failure to adequately manage this transition process with our customers could adversely impact our reputation.</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is continuing its implementation efforts through its Company-wide implementation team. The implementation team meets periodically to discuss the latest developments and ensure progress is being made.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and Monetary Policies</w:t>
      </w:r>
    </w:p>
    <w:p>
      <w:pPr>
        <w:spacing w:after="0" w:line="3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business and earnings are significantly affected by the fiscal and monetary policies of the Federal Government and its agencies. The Bank is particularly affected by the policies of the Federal Reserve, which regulates the supply of money and credit in the United States. Among the instruments of monetary policy available to the Federal Reserve are (a) conducting open market operations in U.S. government securities, (b) changing the discount rates of borrowings of depository institutions, (c) imposing or changing reserve requirements against depository institutions’ deposits, and (d) imposing or changing reserve requirements against certain borrowings by banks and their affiliates. These methods are used in varying degrees and combinations to directly affect the availability of bank loans and deposits, as well as the interest rates charged on loans and paid on deposits. Changes to these policies of the Federal Reserve may have a material effect on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could increase if economic conditions stagnate or deteriorate.</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Although economic conditions are currently stable nationally and in Hawaii, increased credit losses for us could result if economic conditions stagnate or deteriorate. The risk of nonpayment on loans and leases is inherent in all lending activities. We maintain a reserve for credit losses to absorb estimated probable credit losses inherent in the loan, lease, and commitment portfolios as of the balance sheet date. Management makes various assumptions and judgments about the loan and lease portfolio in determining the level of the reserve for credit losses. Many of these assumptions are based on current economic conditions. Should economic conditions stagnate or deteriorate nationally or in Hawaii, we may experience higher credit losses in future periods.</w:t>
      </w:r>
    </w:p>
    <w:p>
      <w:pPr>
        <w:spacing w:after="0" w:line="15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Inability of our borrowers to make timely repayments on their loans, or decreases in real estate collateral values may result in increased delinquencies, foreclosures, and customer bankruptcies, any of which could have a material adverse effect on our financial condition or results of operations.</w:t>
      </w:r>
    </w:p>
    <w:p>
      <w:pPr>
        <w:spacing w:after="0" w:line="124"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i w:val="1"/>
          <w:iCs w:val="1"/>
          <w:color w:val="auto"/>
        </w:rPr>
        <w:t>Legislation and regulatory initiatives affecting the financial services industry, including new interpretations, restrictions and requirements, could detrimentally affect the Company’s business.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Dodd-Frank Act, enacted in July 2010, triggered sweeping reforms to the financial services industry. Although almost all of the rules and regulations implementing the Dodd-Frank Act have already gone into effect, some of the rules have yet to be implemented and others are being interpreted by federal regulators and the courts. The Dodd-Frank Act, other consumer protection laws, and their implementing rules and regulations are likely to continue to result in increased compliance costs, along with possible restrictions on our products, services and manner of operations, any of which may have a material adverse effect on our operating results and financial condition.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CFPB has exercised its broad rule-making, supervisory, and examination authority of consumer financial products, as well as expanded data collection and enforcement powers, over depository institutions with more than $10.0 billion in assets. Regulation of overall safety and soundness, the CRA, federal housing and flood insurance, as they pertain to consumer financial products and services, remains with the FRB. As a result of greater regulatory scrutiny of consumer financial products as a whole, the Company has become subject to more and expanded regulatory examinations, which also could result in increased costs as well as harm to our reputation in the event of a finding that we have not complied with the increased regulatory requirements.</w:t>
      </w:r>
    </w:p>
    <w:p>
      <w:pPr>
        <w:spacing w:after="0" w:line="15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New laws, regulations, and changes, and the uncertainty surrounding whether such laws, regulations and changes will be implemented, interpreted, repealed or reinstated, in the current regulatory and political climate, may continue to increase our costs of regulatory compliance. They may significantly affect the markets in which we do business, the markets for and value of our investments, and our ongoing operations, costs, and profitability.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the capital, leverage, liquidity requirements for financial institutions could materially affect future requirements of the Company.</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Basel III, financial institutions are required to have more capital and a higher quality of capital. Under the final rules issued by the banking regulators, minimum requirements increased for both the quantity and quality of capital held by the Company.</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Compliance with Basel III resulted in increased capital, liquidity, and disclosure requirements. See the “Regulatory Initiatives Affecting the Banking Industry” section in MD&amp;A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protection initiatives and court decisions related to the foreclosure process affect our remedies as a creditor.</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Proposed consumer protection initiatives related to the foreclosure process, including voluntary and/or mandatory programs intended to permit or require lenders to consider loan modifications or other alternatives to foreclosure, could increase our credit losses or increase our expense in pursuing our remedies as a creditor.</w:t>
      </w:r>
    </w:p>
    <w:p>
      <w:pPr>
        <w:spacing w:after="0" w:line="18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Hawaii’s appellate courts have made rulings that increase the complexity and risk of nonjudicial, or out-of-court, foreclosures. At the same time, a chronic backlog of cases in the Hawaii courts has slowed the judicial foreclosure process, which delays the Bank’s ability to take over, preserve and sell the mortgaged property. The manner in which these issues are ultimately resolved could impact our foreclosure procedures and costs, which in turn could affect our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 may adversely affect our business.</w:t>
      </w:r>
    </w:p>
    <w:p>
      <w:pPr>
        <w:spacing w:after="0" w:line="225"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Our future depends on our ability to compete effectively. We compete for deposits, loans, leases, and other financial services with a variety of competitors, including banks, thrifts, savings associations, credit unions, mortgage companies, finance companies, mutual funds, brokerage firms, insurance companies, and other non-traditional providers of financial services, including financial service subsidiaries of commercial and manufacturing companies. Some of our competitors are not subject to the same level of regulation and oversight that is required of banks and BHCs, and may benefit from tax exemptions or lower tax rates. As a result, some of these competitors may have lower cost structures.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expect competitive conditions to intensify as consolidation in the financial services industry continues. The financial services industry is also likely to become more competitive as further technological advances enable more companies, including non-depository institutions, to provide financial services. Also, some of our competitors, through delivery channels such as the Internet, may be based outside of the markets that we serve.</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Both federal and local laws provide mechanisms for out-of-state banks and their holding companies to acquire or open branches in our service territories. Failure to effectively address this competitive risk by competing, innovating and making effective use of new and existing channels to deliver our products and services could adversely affect our financial condition or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A failure in or breach of our operational systems, information systems, or infrastructure, or those of our third party vendors and other service providers, may result in financial losses, loss of customers, or damage to our reputation.</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rely heavily on communications and information systems to conduct our business. In addition, we rely on third parties to provide key components of our infrastructure, including loan, deposit and general ledger processing, internet connections, and network access. These types of information and related systems are critical to the operation of our business and essential to our ability to perform day-to-day operations, and, in some cases, are critical to the operations of certain of our customers. These third parties with which we do business or that facilitate our business activities, including exchanges, clearing firms, financial intermediaries or vendors that provide services or security solutions for our operations, could also be sources of operational and information security risk to us, including breakdowns or failures of their own systems or capacity constraints. Although we have safeguards and business continuity plans in place, our business operations may be adversely affected by significant and widespread disruption to our physical infrastructure or operating systems that support our business and our customers, resulting in financial losses, loss of customers, or damage to our reputation.</w:t>
      </w:r>
    </w:p>
    <w:p>
      <w:pPr>
        <w:spacing w:after="0" w:line="166"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i w:val="1"/>
          <w:iCs w:val="1"/>
          <w:color w:val="auto"/>
        </w:rPr>
        <w:t>An interruption or breach in security of our information systems or those related to merchants and third party vendors, including as a result of cyber attacks, could disrupt our business, result in the disclosure or misuse of confidential or proprietary information, damage our reputation, or result in financial losses.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requires the collection and retention of large volumes of customer data, including payment card numbers and other personally identifiable information in various information systems that we maintain and in those maintained by third parties with whom we contract to provide data services. We also maintain important internal company data such as personally identifiable information about our employees and information relating to our operations. The integrity and protection of that customer and company data is important to us. As customer, public, legislative and regulatory expectations and requirements regarding operational and information security have increased, our operating systems and infrastructure must continue to be safeguarded and monitored for potential failures, disruptions and breakdowns.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us. These cybersecurity threats and attacks may include, but are not limited to, attempts to access information, including customer and company information, malicious code, computer viruses and denial of service attacks that could result in unauthorized access, misuse, loss or destruction of data (including confidential customer information), account takeovers, unavailability of service or other events. These types of threats may result from human error, fraud or malice on the part of external or internal parties, intelligence-gathering by foreign governments, or from accidental technological failure internally or by our vendors. Further, to access our products and services our customers may use computers and mobile devices that are beyond our security control systems. The risk of a security breach or disruption, particularly through cyber-attack or cyber intrusion, including by computer hackers, has increased as the number, intensity and sophistication of attempted attacks and intrusions around the world have increased.</w:t>
      </w:r>
    </w:p>
    <w:p>
      <w:pPr>
        <w:spacing w:after="0" w:line="18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customers and employees have been, and will continue to be, targeted by parties using fraudulent E-mails and other communications in attempts to misappropriate passwords, payment card numbers, bank account information or other personal information or to introduce viruses or other malware through “trojan horse” programs to our customers’ devices. These communications may appear to be legitimate messages sent by the Bank or other businesses, but direct recipients to fake websites operated by the sender of the E-mail or request that the recipient send a password or other confidential information via E-mail or download a program. Despite our efforts to mitigate these threats through product improvements, use of encryption and authentication technology to secure online transmission of confidential consumer information, and customer and employee education, such attempted frauds against us or our merchants and our third party service providers remain a serious issue. The pervasiveness of cyber security incidents in general and the risks of cyber-crime are complex and continue to evolve. In light of several recent high-profile data breaches involving other companies’ losses of customer personal and financial information, we believe this risk could cause customer and/or Bank losses, damage to our brand, and increase our costs through the ongoing cost of technology investments to improve security, as well as the potential financial and reputational impact of a cyber security incident involving the Company.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make significant efforts to maintain the security and integrity of our information systems and have implemented various measures to manage the risk of a security breach or disruption, there can be no assurance that our security efforts and measures will be effective or that attempted security breaches or disruptions would not be successful or damaging. Even the most well-protected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we may be unable to anticipate these techniques or to implement adequate security barriers or other preventative measures, and thus it is virtually impossible for us to entirely mitigate this risk. A security breach or other significant disruption could: 1) disrupt the proper functioning of our networks and systems and therefore our operations and/or those of certain of our customers; 2) result in the unauthorized access to, and destruction, loss, theft, misappropriation or release of confidential, sensitive or otherwise valuable information of ours or our customers, including account numbers and other financial information; 3) result in a violation of applicable privacy, data breach and other laws, subjecting the Bank to additional regulatory scrutiny and exposing the Bank to civil litigation, governmental fines and possible financial liability; 4) require significant management attention and resources to remedy the damages that result; or 5) harm our reputation or cause a decrease in the number of customers that choose to do business with us or reduce the level of business that our customers do with us. The occurrence of any such failures, disruptions or security breaches could have a negative impact on our results of operations, financial condition, and cash flows as well as damage our brand and reputation.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public opinion could damage our reputation and adversely impact our earnings and liquidity.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Reputational risk, or the risk to our business, earnings, liquidity, and capital from negative public opinion, could result from our actual or alleged conduct in a variety of areas, including legal and regulatory compliance, lending practices, corporate governance, litigation, ethical issues, or inadequate protection of customer information. We expend significant resources to comply with regulatory requirements. Failure to comply could result in reputational harm or significant legal or remedial costs. Damage to our reputation could adversely affect our ability to retain and attract new customers, and adversely impact our earnings and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certain litigation, and our expenses related to this litigation may adversely affect our results.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We are, from time-to-time, involved in various legal proceedings arising from our normal business activities. These claims and legal actions, including supervisory actions by our regulators, could involve large monetary claims and significant defense costs. The outcome of these cases is uncertain. Substantial legal liability or significant regulatory action against us could have material financial effects or cause significant reputational harm to us, which in turn could seriously harm our business prospects. We may be exposed to substantial uninsured liabilities, which could materially affect our results of operations and financial condition. Based on information currently available, we believe that the eventual outcome of known actions against us will not be materially in excess of such amounts accrued by us. However, in the event of unexpected future developments, it is possible that the ultimate resolution of those matters may be material to our financial results for any particular period. See the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section of Note 20 to the Consolidated Financial Statements for more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income tax laws and interpretations, or in accounting standards, could materially affect our financial condition or results of operations.</w:t>
      </w:r>
    </w:p>
    <w:p>
      <w:pPr>
        <w:spacing w:after="0" w:line="23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Further changes in income tax laws could be enacted, or interpretations of existing income tax laws could change, causing an adverse effect on our financial condition or results of operations. Similarly, our accounting policies and methods are fundamental to how we report our financial condition and results of operations. Some of these policies require use of estimates and assumptions that may affect the value of our assets, liabilities, and financial results. Periodically, new accounting standards are issued or existing standards are revised, changing the methods for preparing our financial statements. These changes are not within our control and may significantly impact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performance depends on attracting and retaining key employees and skilled personnel to operate our business effectively.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is dependent on our ability to recruit qualified and skilled personnel to operate our business effectively. Competition for these qualified and skilled people is intense. There are a limited number of qualified personnel in the markets we serve, so our success depends in part on the continued services of many of our current management and other key employees. Failure to retain our key employees and maintain adequate staffing of qualified personnel could adversely impact our operations and our ability to compete.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soundness of other financial institutions may adversely impact our financial condition or results of operations.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ability to engage in routine funding transactions could be adversely affected by the actions and commercial soundness of other financial institutions. Financial services institutions are interrelated as a result of trading, clearing, lending, counterparty, or other relationships. As a result, defaults by, or even rumors or questions about, one or more financial services institutions or the financial services industry in general have led to market-wide liquidity problems and could lead to losses or defaults by us or by other institutions. We have exposure to many different industries and counterparties, and we routinely execute transactions with brokers and dealers, commercial banks, investment banks, mutual funds, and other institutional clients. Many of these transactions expose us to credit risk in the event of default of our counterparty or client. In addition, our credit risk may be exacerbated when the collateral held by us cannot be realized upon or is liquidated at prices not sufficient to recover the full amount of the loan or derivative exposure due us. Such losses could materially affect our financial condition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the capital markets could materially affect the level of assets under management and the demand for our other fee-based services.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Changes in the capital markets could affect the volume of income from and demand for our fee-based services. Our investment management revenues depend in large part on the level of assets under management. Market volatility that leads customers to liquidate investments, move investments to other institutions or asset classes, as well as lower asset values can reduce our level of assets under management and thereby decrease our investment management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mortgage banking income may experience significant volatility.</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mortgage banking income is highly influenced by the level and direction of mortgage interest rates, real estate activity, and refinancing activity. Interest rates can affect the amount of mortgage banking activity and impact fee income and the fair value of our derivative financial instruments and mortgage servicing rights. Mortgage banking income may also be impacted by changes in our strategy to manage our residential mortgage portfolio. For example, we may occasionally decide to add more conforming saleable loans to our portfolio (as opposed to selling the loans in the secondary market) which would reduce our gains on sales of residential mortgage loans. These variables could adversely affect mortgage banking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mortgage loan servicing business may be impacted if we do not meet our obligations, or if servicing standards change.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act as servicer for mortgage loans sold into the secondary market, primarily to government sponsored entities (GSEs) such as Fannie Mae. As a seller and servicer for those loans, we make warranties about their origination and are required to perform servicing according to complex contractual and handbook requirements. We maintain systems and procedures intended to ensure that we comply with these requirements. We may be penalized and, in limited instances required to repurchase certain mortgages, due to alleged failures to adhere to these requirements. Should GSEs change the requirements in their servicing handbooks, we may sustain higher compliance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requirement to record certain assets and liabilities at fair value may adversely affect our financial results.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report certain assets, including available-for-sale investment securities, at fair value. Generally, for assets that are reported at fair value we use quoted market prices or valuation models that utilize market data inputs to estimate fair value. Because we record these assets at their estimated fair value, we may incur losses even if the asset in question presents minimal credit risk. The level of interest rates can impact the estimated fair value of investment securities. Disruptions in the capital markets may require us to reserve for credit losses in future periods with respect to investment securities in our portfolio. The amount and timing of any credit allowance recognized will be measured as the difference between the security’s amortized cost basis and the amount expected to be collected over the security’s lifetime.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Parent’s liquidity is dependent on dividends from the Bank.</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Parent is a separate and distinct legal entity from the Bank. The Parent receives substantially all of its cash in the form of dividends from the Bank. These dividends are the principal source of funds to pay, for example, dividends on the Parent’s common stock or to repurchase common stock under the Parent’s share repurchase program. Various federal and state laws and regulations limit the amount of dividends that the Bank may pay to the Parent. The Parent’s ability to meet its obligations, pay dividends to shareholders, or repurchase stock, may be further limited if federal and state laws and regulations further limit the amount of dividends the Bank is permitted to pay the Parent.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can be no assurance that the Parent will continue to declare cash dividends or repurchase stock.</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2019, the Parent repurchased 1,642,998 shares of common stock at a total cost of $134.7 million under its share repurchase program. The Parent also paid cash dividends of $105.5 million during 2019. In January 2020, the Parent’s Board of Directors declared a quarterly cash dividend of $0.67 per share on the Parent’s outstanding shares. In addition, from January 1, 2020 through February 14, 2020, the Parent repurchased an additional 114,358 shares of common stock at an average cost of $92.63 per share and a total cost of $10.6 million.</w:t>
      </w:r>
    </w:p>
    <w:p>
      <w:pPr>
        <w:spacing w:after="0" w:line="18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dividend payments and/or stock repurchases may change from time-to-time, and we cannot provide assurance that we will continue to declare dividends and/or repurchase stock in any particular amounts or at all. Dividends and/or stock repurchases are subject to capital availability and periodic determinations by our Board of Directors. We continue to evaluate the potential impact that regulatory proposals may have on our liquidity and capital management strategies, including Basel III and those required under the Dodd-Frank Act. The actual amount and timing of future dividends and share repurchases, if any, will depend on market and economic conditions, applicable SEC rules, federal and state regulatory restrictions, and various other factors. In addition, the amount we spend and the number of shares we are able to repurchase under our stock repurchase program may further be affected by a number of other factors, including the stock price and blackout periods in which we are restricted from repurchasing shares. A reduction in or elimination of our dividend payments and/or stock repurchases could have a negative effect on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disasters and adverse weather could negatively affect real estate property values and bank operations.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Real estate and real estate property values play an important role for the Bank in several ways. The Bank owns or leases many real estate properties in connection with its operations, primarily located in Hawaii with its unique weather and geology. Our business operations could suffer to the extent the Bank cannot utilize its branch network due to damage from weather or other natural disasters. Real estate is also utilized as collateral for many of our loans. A natural disaster in Hawaii or the Pacific Islands could cause property values in the affected areas to fall, which could require the Bank to record an impairment on its financial statements. A natural disaster could also impact borrowers’ ability to pay their financial obligations, which would increase our exposure to loan defaults.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Potential impacts from novel </w:t>
      </w:r>
      <w:r>
        <w:rPr>
          <w:rFonts w:ascii="Arial" w:cs="Arial" w:eastAsia="Arial" w:hAnsi="Arial"/>
          <w:sz w:val="18"/>
          <w:szCs w:val="18"/>
          <w:i w:val="1"/>
          <w:iCs w:val="1"/>
          <w:color w:val="1F497D"/>
        </w:rPr>
        <w:t>v</w:t>
      </w:r>
      <w:r>
        <w:rPr>
          <w:rFonts w:ascii="Arial" w:cs="Arial" w:eastAsia="Arial" w:hAnsi="Arial"/>
          <w:sz w:val="18"/>
          <w:szCs w:val="18"/>
          <w:i w:val="1"/>
          <w:iCs w:val="1"/>
          <w:color w:val="auto"/>
        </w:rPr>
        <w:t>iruses and an increase in concern about the risk of illness are likely to adversely impact tourism in Hawaii and results from operations.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Novel viruses, such as COVID-19, increase concerns related to illness when traveling, and travel restrictions related to the outbreak appear likely to cause a drop in tourism in Hawaii. Because many of our customers, both commercial and consumer, derive some or all of their income from tourism, any drop in tourism may affect them as well as the Hawaii economy as a whole. A downturn in the Hawaii economy or widespread impact to our customers’ income could have an impact on our operations that is difficult for us to forecast though it may be material. The Company is monitoring this changing environment, taking appropriate anticipatory actions and responding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principal offices are located in the Financial Plaza of the Pacific in Honolulu, Hawaii. We own and lease other branch offices and operating facilities located throughout Hawaii and the Pacific Islands. Additional information with respect to premises and equipment is presented in Notes 6 and 23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from time to time subject to lawsuits, investigations and claims arising out of the conduct of our business. Management believes that the ultimate resolution of these matters is not likely to materially affect our financial position and results of operations. For additional information, see Note 20 to the Consolidated Financial Statements, under the discussion related to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125" w:right="6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Shareholders,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the historical market prices of the Parent’s common stock, book value, and dividends declared on that stock are shown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Book Values, and Common Stock Dividends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102870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Market Price Range</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Dividends</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Year/Period</w:t>
            </w:r>
          </w:p>
        </w:tc>
        <w:tc>
          <w:tcPr>
            <w:tcW w:w="36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auto"/>
              </w:rPr>
              <w:t>High</w:t>
            </w:r>
          </w:p>
        </w:tc>
        <w:tc>
          <w:tcPr>
            <w:tcW w:w="7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Low</w:t>
            </w:r>
          </w:p>
        </w:tc>
        <w:tc>
          <w:tcPr>
            <w:tcW w:w="4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Close</w:t>
            </w:r>
          </w:p>
        </w:tc>
        <w:tc>
          <w:tcPr>
            <w:tcW w:w="310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Book Value</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Declared</w:t>
            </w:r>
          </w:p>
        </w:tc>
        <w:tc>
          <w:tcPr>
            <w:tcW w:w="0" w:type="dxa"/>
            <w:vAlign w:val="bottom"/>
          </w:tcPr>
          <w:p>
            <w:pPr>
              <w:spacing w:after="0"/>
              <w:rPr>
                <w:sz w:val="1"/>
                <w:szCs w:val="1"/>
                <w:color w:val="auto"/>
              </w:rPr>
            </w:pPr>
          </w:p>
        </w:tc>
      </w:tr>
      <w:tr>
        <w:trPr>
          <w:trHeight w:val="33"/>
        </w:trPr>
        <w:tc>
          <w:tcPr>
            <w:tcW w:w="2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95.68</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66.54</w:t>
            </w: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95.16</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32.14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74"/>
        </w:trPr>
        <w:tc>
          <w:tcPr>
            <w:tcW w:w="28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83.94</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66.54</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78.87</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84.53</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75.24</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82.91</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88.20</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79.13</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85.93</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95.68</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81.29</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95.16</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89.09</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63.64</w:t>
            </w: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67.32</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30.56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74"/>
        </w:trPr>
        <w:tc>
          <w:tcPr>
            <w:tcW w:w="28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89.09</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78.40</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83.10</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88.92</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80.20</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83.42</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86.53</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78.30</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78.91</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82.80</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63.64</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67.32</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common stock of the Parent is traded on the New York Stock Exchange (NYSE Symbol: BOH) and quoted daily in leading financial publications. As of February 14, 2020, there were 5,566 common shareholders of record.</w:t>
      </w:r>
    </w:p>
    <w:p>
      <w:pPr>
        <w:spacing w:after="0" w:line="170"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The Parent’s Board of Directors considers on a quarterly basis the feasibility of paying a cash dividend to its shareholders and the level and feasibility of repurchasing shares of the Parent’s common stock. Under the Parent’s historical practice, dividends declared are paid within the quarter. See “Dividend Restrictions” under “Supervision and Regulation” in Item 1 of this report and Note 11 to the Consolidated Financial Statements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 Number of</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Shares Purchased</w:t>
            </w:r>
          </w:p>
        </w:tc>
        <w:tc>
          <w:tcPr>
            <w:tcW w:w="24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as Part of Publicly</w:t>
            </w:r>
          </w:p>
        </w:tc>
        <w:tc>
          <w:tcPr>
            <w:tcW w:w="24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of Shares that May Yet Be</w:t>
            </w:r>
          </w:p>
        </w:tc>
      </w:tr>
      <w:tr>
        <w:trPr>
          <w:trHeight w:val="203"/>
        </w:trPr>
        <w:tc>
          <w:tcPr>
            <w:tcW w:w="2280" w:type="dxa"/>
            <w:vAlign w:val="bottom"/>
          </w:tcPr>
          <w:p>
            <w:pPr>
              <w:spacing w:after="0"/>
              <w:rPr>
                <w:sz w:val="17"/>
                <w:szCs w:val="17"/>
                <w:color w:val="auto"/>
              </w:rPr>
            </w:pPr>
          </w:p>
        </w:tc>
        <w:tc>
          <w:tcPr>
            <w:tcW w:w="232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Number of</w:t>
            </w:r>
          </w:p>
        </w:tc>
        <w:tc>
          <w:tcPr>
            <w:tcW w:w="340" w:type="dxa"/>
            <w:vAlign w:val="bottom"/>
          </w:tcPr>
          <w:p>
            <w:pPr>
              <w:spacing w:after="0"/>
              <w:rPr>
                <w:sz w:val="17"/>
                <w:szCs w:val="17"/>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b w:val="1"/>
                <w:bCs w:val="1"/>
                <w:color w:val="auto"/>
                <w:w w:val="93"/>
              </w:rPr>
              <w:t>Average Price</w:t>
            </w: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Announced Plans or</w:t>
            </w:r>
          </w:p>
        </w:tc>
        <w:tc>
          <w:tcPr>
            <w:tcW w:w="24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Purchased Under the</w:t>
            </w:r>
          </w:p>
        </w:tc>
      </w:tr>
      <w:tr>
        <w:trPr>
          <w:trHeight w:val="243"/>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2"/>
              </w:rPr>
              <w:t>Paid Per Share</w:t>
            </w:r>
          </w:p>
        </w:tc>
        <w:tc>
          <w:tcPr>
            <w:tcW w:w="24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Programs</w:t>
            </w:r>
          </w:p>
        </w:tc>
        <w:tc>
          <w:tcPr>
            <w:tcW w:w="24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r>
      <w:tr>
        <w:trPr>
          <w:trHeight w:val="258"/>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1 - 31, 2019</w:t>
            </w:r>
          </w:p>
        </w:tc>
        <w:tc>
          <w:tcPr>
            <w:tcW w:w="2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113,234</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84.95</w:t>
            </w:r>
          </w:p>
        </w:tc>
        <w:tc>
          <w:tcPr>
            <w:tcW w:w="2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112,000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47,482,352</w:t>
            </w:r>
          </w:p>
        </w:tc>
      </w:tr>
      <w:tr>
        <w:trPr>
          <w:trHeight w:val="74"/>
        </w:trPr>
        <w:tc>
          <w:tcPr>
            <w:tcW w:w="22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64"/>
        </w:trPr>
        <w:tc>
          <w:tcPr>
            <w:tcW w:w="2280" w:type="dxa"/>
            <w:vAlign w:val="bottom"/>
          </w:tcPr>
          <w:p>
            <w:pPr>
              <w:ind w:left="20"/>
              <w:spacing w:after="0"/>
              <w:rPr>
                <w:sz w:val="20"/>
                <w:szCs w:val="20"/>
                <w:color w:val="auto"/>
              </w:rPr>
            </w:pPr>
            <w:r>
              <w:rPr>
                <w:rFonts w:ascii="Arial" w:cs="Arial" w:eastAsia="Arial" w:hAnsi="Arial"/>
                <w:sz w:val="16"/>
                <w:szCs w:val="16"/>
                <w:color w:val="auto"/>
              </w:rPr>
              <w:t>November 1 - 30, 2019</w:t>
            </w:r>
          </w:p>
        </w:tc>
        <w:tc>
          <w:tcPr>
            <w:tcW w:w="2320" w:type="dxa"/>
            <w:vAlign w:val="bottom"/>
          </w:tcPr>
          <w:p>
            <w:pPr>
              <w:jc w:val="right"/>
              <w:ind w:right="179"/>
              <w:spacing w:after="0"/>
              <w:rPr>
                <w:sz w:val="20"/>
                <w:szCs w:val="20"/>
                <w:color w:val="auto"/>
              </w:rPr>
            </w:pPr>
            <w:r>
              <w:rPr>
                <w:rFonts w:ascii="Arial" w:cs="Arial" w:eastAsia="Arial" w:hAnsi="Arial"/>
                <w:sz w:val="16"/>
                <w:szCs w:val="16"/>
                <w:color w:val="auto"/>
              </w:rPr>
              <w:t>108,518</w:t>
            </w:r>
          </w:p>
        </w:tc>
        <w:tc>
          <w:tcPr>
            <w:tcW w:w="340" w:type="dxa"/>
            <w:vAlign w:val="bottom"/>
          </w:tcPr>
          <w:p>
            <w:pPr>
              <w:spacing w:after="0"/>
              <w:rPr>
                <w:sz w:val="22"/>
                <w:szCs w:val="22"/>
                <w:color w:val="auto"/>
              </w:rPr>
            </w:pPr>
          </w:p>
        </w:tc>
        <w:tc>
          <w:tcPr>
            <w:tcW w:w="1560" w:type="dxa"/>
            <w:vAlign w:val="bottom"/>
          </w:tcPr>
          <w:p>
            <w:pPr>
              <w:jc w:val="right"/>
              <w:ind w:right="419"/>
              <w:spacing w:after="0"/>
              <w:rPr>
                <w:sz w:val="20"/>
                <w:szCs w:val="20"/>
                <w:color w:val="auto"/>
              </w:rPr>
            </w:pPr>
            <w:r>
              <w:rPr>
                <w:rFonts w:ascii="Arial" w:cs="Arial" w:eastAsia="Arial" w:hAnsi="Arial"/>
                <w:sz w:val="16"/>
                <w:szCs w:val="16"/>
                <w:color w:val="auto"/>
              </w:rPr>
              <w:t>89.42</w:t>
            </w:r>
          </w:p>
        </w:tc>
        <w:tc>
          <w:tcPr>
            <w:tcW w:w="2460" w:type="dxa"/>
            <w:vAlign w:val="bottom"/>
          </w:tcPr>
          <w:p>
            <w:pPr>
              <w:jc w:val="right"/>
              <w:ind w:right="419"/>
              <w:spacing w:after="0"/>
              <w:rPr>
                <w:sz w:val="20"/>
                <w:szCs w:val="20"/>
                <w:color w:val="auto"/>
              </w:rPr>
            </w:pPr>
            <w:r>
              <w:rPr>
                <w:rFonts w:ascii="Arial" w:cs="Arial" w:eastAsia="Arial" w:hAnsi="Arial"/>
                <w:sz w:val="16"/>
                <w:szCs w:val="16"/>
                <w:color w:val="auto"/>
              </w:rPr>
              <w:t>108,419</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37,787,535</w:t>
            </w:r>
          </w:p>
        </w:tc>
      </w:tr>
      <w:tr>
        <w:trPr>
          <w:trHeight w:val="74"/>
        </w:trPr>
        <w:tc>
          <w:tcPr>
            <w:tcW w:w="2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64"/>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1 - 31, 2019</w:t>
            </w:r>
          </w:p>
        </w:tc>
        <w:tc>
          <w:tcPr>
            <w:tcW w:w="2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115,753</w:t>
            </w: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92.85</w:t>
            </w:r>
          </w:p>
        </w:tc>
        <w:tc>
          <w:tcPr>
            <w:tcW w:w="2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115,753</w:t>
            </w: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27,039,491</w:t>
            </w:r>
          </w:p>
        </w:tc>
      </w:tr>
      <w:tr>
        <w:trPr>
          <w:trHeight w:val="74"/>
        </w:trPr>
        <w:tc>
          <w:tcPr>
            <w:tcW w:w="2280" w:type="dxa"/>
            <w:vAlign w:val="bottom"/>
            <w:tcBorders>
              <w:bottom w:val="single" w:sz="8" w:color="auto"/>
            </w:tcBorders>
            <w:shd w:val="clear" w:color="auto" w:fill="CCEEFF"/>
          </w:tcPr>
          <w:p>
            <w:pPr>
              <w:spacing w:after="0"/>
              <w:rPr>
                <w:sz w:val="6"/>
                <w:szCs w:val="6"/>
                <w:color w:val="auto"/>
              </w:rPr>
            </w:pPr>
          </w:p>
        </w:tc>
        <w:tc>
          <w:tcPr>
            <w:tcW w:w="23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560" w:type="dxa"/>
            <w:vAlign w:val="bottom"/>
            <w:tcBorders>
              <w:bottom w:val="single" w:sz="8" w:color="auto"/>
            </w:tcBorders>
            <w:shd w:val="clear" w:color="auto" w:fill="CCEEFF"/>
          </w:tcPr>
          <w:p>
            <w:pPr>
              <w:spacing w:after="0"/>
              <w:rPr>
                <w:sz w:val="6"/>
                <w:szCs w:val="6"/>
                <w:color w:val="auto"/>
              </w:rPr>
            </w:pPr>
          </w:p>
        </w:tc>
        <w:tc>
          <w:tcPr>
            <w:tcW w:w="2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312"/>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320" w:type="dxa"/>
            <w:vAlign w:val="bottom"/>
          </w:tcPr>
          <w:p>
            <w:pPr>
              <w:jc w:val="right"/>
              <w:ind w:right="179"/>
              <w:spacing w:after="0"/>
              <w:rPr>
                <w:sz w:val="20"/>
                <w:szCs w:val="20"/>
                <w:color w:val="auto"/>
              </w:rPr>
            </w:pPr>
            <w:r>
              <w:rPr>
                <w:rFonts w:ascii="Arial" w:cs="Arial" w:eastAsia="Arial" w:hAnsi="Arial"/>
                <w:sz w:val="16"/>
                <w:szCs w:val="16"/>
                <w:color w:val="auto"/>
              </w:rPr>
              <w:t>337,505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19"/>
              <w:spacing w:after="0"/>
              <w:rPr>
                <w:sz w:val="20"/>
                <w:szCs w:val="20"/>
                <w:color w:val="auto"/>
              </w:rPr>
            </w:pPr>
            <w:r>
              <w:rPr>
                <w:rFonts w:ascii="Arial" w:cs="Arial" w:eastAsia="Arial" w:hAnsi="Arial"/>
                <w:sz w:val="16"/>
                <w:szCs w:val="16"/>
                <w:color w:val="auto"/>
              </w:rPr>
              <w:t>89.10</w:t>
            </w:r>
          </w:p>
        </w:tc>
        <w:tc>
          <w:tcPr>
            <w:tcW w:w="2460" w:type="dxa"/>
            <w:vAlign w:val="bottom"/>
          </w:tcPr>
          <w:p>
            <w:pPr>
              <w:jc w:val="right"/>
              <w:ind w:right="419"/>
              <w:spacing w:after="0"/>
              <w:rPr>
                <w:sz w:val="20"/>
                <w:szCs w:val="20"/>
                <w:color w:val="auto"/>
              </w:rPr>
            </w:pPr>
            <w:r>
              <w:rPr>
                <w:rFonts w:ascii="Arial" w:cs="Arial" w:eastAsia="Arial" w:hAnsi="Arial"/>
                <w:sz w:val="16"/>
                <w:szCs w:val="16"/>
                <w:color w:val="auto"/>
              </w:rPr>
              <w:t>336,172</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6320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6320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51" w:lineRule="exact"/>
        <w:rPr>
          <w:sz w:val="20"/>
          <w:szCs w:val="20"/>
          <w:color w:val="auto"/>
        </w:rPr>
      </w:pPr>
    </w:p>
    <w:p>
      <w:pPr>
        <w:ind w:left="80" w:hanging="72"/>
        <w:spacing w:after="0"/>
        <w:tabs>
          <w:tab w:leader="none" w:pos="80" w:val="left"/>
        </w:tabs>
        <w:numPr>
          <w:ilvl w:val="0"/>
          <w:numId w:val="5"/>
        </w:numPr>
        <w:rPr>
          <w:rFonts w:ascii="Arial" w:cs="Arial" w:eastAsia="Arial" w:hAnsi="Arial"/>
          <w:sz w:val="8"/>
          <w:szCs w:val="8"/>
          <w:color w:val="auto"/>
        </w:rPr>
      </w:pPr>
      <w:r>
        <w:rPr>
          <w:rFonts w:ascii="Arial" w:cs="Arial" w:eastAsia="Arial" w:hAnsi="Arial"/>
          <w:sz w:val="13"/>
          <w:szCs w:val="13"/>
          <w:color w:val="auto"/>
        </w:rPr>
        <w:t>During the fourth quarter of 2019, 1,333 shares were acquired from employees in connection with income tax withholdings related to the vesting of restricted stock and acquired by the trustee of a</w:t>
      </w:r>
    </w:p>
    <w:p>
      <w:pPr>
        <w:spacing w:after="0" w:line="25" w:lineRule="exact"/>
        <w:rPr>
          <w:sz w:val="20"/>
          <w:szCs w:val="20"/>
          <w:color w:val="auto"/>
        </w:rPr>
      </w:pPr>
    </w:p>
    <w:p>
      <w:pPr>
        <w:ind w:left="80" w:right="180"/>
        <w:spacing w:after="0" w:line="281" w:lineRule="auto"/>
        <w:rPr>
          <w:sz w:val="20"/>
          <w:szCs w:val="20"/>
          <w:color w:val="auto"/>
        </w:rPr>
      </w:pPr>
      <w:r>
        <w:rPr>
          <w:rFonts w:ascii="Arial" w:cs="Arial" w:eastAsia="Arial" w:hAnsi="Arial"/>
          <w:sz w:val="12"/>
          <w:szCs w:val="12"/>
          <w:color w:val="auto"/>
        </w:rPr>
        <w:t>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 (2) thereof. The trustee under the trust and the participants under the DDCP are accredited investors, as defined in Rule 501(a) under the Securities Act. The transaction did not involve a public offering and occurred without general solicitation or advertising. The shares were purchased at the closing price of the Parent’s common stock on the dates of purchase.</w:t>
      </w:r>
    </w:p>
    <w:p>
      <w:pPr>
        <w:spacing w:after="0" w:line="2" w:lineRule="exact"/>
        <w:rPr>
          <w:sz w:val="20"/>
          <w:szCs w:val="20"/>
          <w:color w:val="auto"/>
        </w:rPr>
      </w:pPr>
    </w:p>
    <w:p>
      <w:pPr>
        <w:ind w:left="80" w:right="380" w:hanging="72"/>
        <w:spacing w:after="0" w:line="255" w:lineRule="auto"/>
        <w:tabs>
          <w:tab w:leader="none" w:pos="66" w:val="left"/>
        </w:tabs>
        <w:numPr>
          <w:ilvl w:val="0"/>
          <w:numId w:val="6"/>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ectPr>
          <w:pgSz w:w="11900" w:h="16838" w:orient="portrait"/>
          <w:cols w:equalWidth="0" w:num="1">
            <w:col w:w="11420"/>
          </w:cols>
          <w:pgMar w:left="240" w:top="125"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graph shows the cumulative total return for the Parent’s common stock compared to the cumulative total returns for the Standard &amp; Poor’s (“S&amp;P”) 500 Index and the S&amp;P Banks Index. The graph assumes that $100 was invested on December 31, 2014, in the Parent’s common stock, the S&amp;P 500 Index, and the S&amp;P Banks Index. The cumulative total return on each investment is as of December 31 of each of the subsequent five years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264795</wp:posOffset>
            </wp:positionV>
            <wp:extent cx="5969000" cy="3430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0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90" w:type="dxa"/>
        <w:tblCellMar>
          <w:top w:w="0" w:type="dxa"/>
          <w:left w:w="0" w:type="dxa"/>
          <w:bottom w:w="0" w:type="dxa"/>
          <w:right w:w="0" w:type="dxa"/>
        </w:tblCellMar>
      </w:tblPr>
      <w:tr>
        <w:trPr>
          <w:trHeight w:val="251"/>
        </w:trPr>
        <w:tc>
          <w:tcPr>
            <w:tcW w:w="3180" w:type="dxa"/>
            <w:vAlign w:val="bottom"/>
            <w:tcBorders>
              <w:top w:val="single" w:sz="8" w:color="auto"/>
              <w:left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360" w:type="dxa"/>
            <w:vAlign w:val="bottom"/>
            <w:tcBorders>
              <w:top w:val="single" w:sz="8" w:color="auto"/>
              <w:right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360" w:type="dxa"/>
            <w:vAlign w:val="bottom"/>
            <w:tcBorders>
              <w:top w:val="single" w:sz="8" w:color="auto"/>
              <w:right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3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3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Bank of Hawaii Corporation</w:t>
            </w:r>
          </w:p>
        </w:tc>
        <w:tc>
          <w:tcPr>
            <w:tcW w:w="136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$109</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$158</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$156</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$126</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$184</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S&amp;P 500 Index</w:t>
            </w:r>
          </w:p>
        </w:tc>
        <w:tc>
          <w:tcPr>
            <w:tcW w:w="136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$101</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$114</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$138</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$132</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$174</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S&amp;P Banks Index</w:t>
            </w:r>
          </w:p>
        </w:tc>
        <w:tc>
          <w:tcPr>
            <w:tcW w:w="136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$101</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$125</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$153</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$128</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$179</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8" w:name="page19"/>
    <w:bookmarkEnd w:id="18"/>
    <w:p>
      <w:pPr>
        <w:spacing w:after="0" w:line="1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91440</wp:posOffset>
            </wp:positionV>
            <wp:extent cx="7169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64"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38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9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bottom w:val="single" w:sz="8" w:color="auto"/>
            </w:tcBorders>
          </w:tcPr>
          <w:p>
            <w:pPr>
              <w:spacing w:after="0"/>
              <w:rPr>
                <w:sz w:val="20"/>
                <w:szCs w:val="20"/>
                <w:color w:val="auto"/>
              </w:rPr>
            </w:pPr>
          </w:p>
        </w:tc>
      </w:tr>
      <w:tr>
        <w:trPr>
          <w:trHeight w:val="230"/>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Operating Results</w:t>
            </w: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497.7</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486.4</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457.2</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Provision for Credit Losses</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16.9</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Noninterest Income</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185.4</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Total Noninterest Expense</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379.2</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371.6</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357.7</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348.1</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184.7</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Basic Earnings Per Share</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5.59</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5.26</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4.37</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3.72</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Dividends Declared Per Share</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2.34</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2.04</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w:t>
            </w:r>
          </w:p>
        </w:tc>
        <w:tc>
          <w:tcPr>
            <w:tcW w:w="260" w:type="dxa"/>
            <w:vAlign w:val="bottom"/>
          </w:tcPr>
          <w:p>
            <w:pPr>
              <w:spacing w:after="0"/>
              <w:rPr>
                <w:sz w:val="22"/>
                <w:szCs w:val="22"/>
                <w:color w:val="auto"/>
              </w:rPr>
            </w:pPr>
          </w:p>
        </w:tc>
      </w:tr>
      <w:tr>
        <w:trPr>
          <w:trHeight w:val="236"/>
        </w:trPr>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b w:val="1"/>
                <w:bCs w:val="1"/>
                <w:color w:val="auto"/>
              </w:rPr>
              <w:t>Performance Ratios</w:t>
            </w: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 to Average Total Assets (ROA)</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Net Income to Average Shareholders’ Equity (ROE)</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17.65</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17.63</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15.27</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15.79</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14.82</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55.68</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55.66</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57.01</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59.99</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3.03</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3.05</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2.93</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46.68</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44.37</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48.39</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Average Shareholders’ Equity to Average Assets</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7.30</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7.34</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7.22</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7.16</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b w:val="1"/>
                <w:bCs w:val="1"/>
                <w:color w:val="auto"/>
              </w:rPr>
              <w:t>Average Balances</w:t>
            </w: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Average Loans and Leases</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10,668.4</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10,043.7</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9,346.8</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8,362.2</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7,423.6</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Average Assets</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17,537.6</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16,971.0</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16,749.2</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15,825.4</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15,136.5</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Average Deposits</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15,228.1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14,757.7</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14,505.4</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13,619.5</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12,925.2</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Average Shareholders’ Equity</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1,280.1</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1,245.7</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1,209.1</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1,149.3</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1,084.1</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Basic Weighted Average Shares</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40,384,328</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41,714,770</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42,280,931</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42,644,100</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43,217,818</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Diluted Weighted Average Shares</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40,649,570</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41,999,399</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42,607,057</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42,879,783</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43,454,877</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0"/>
        </w:trPr>
        <w:tc>
          <w:tcPr>
            <w:tcW w:w="380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0"/>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Totals</w:t>
            </w:r>
          </w:p>
        </w:tc>
        <w:tc>
          <w:tcPr>
            <w:tcW w:w="9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Loans and Leases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10,990.9</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10,448.8</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9,797.0</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8,949.8</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7,879.0</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18,095.5</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17,144.0</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17,089.1</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16,492.4</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15,455.0</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Total Deposits</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15,784.5</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15,027.2</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14,884.0</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14,320.2</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13,251.1</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Debt</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260.7</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267.9</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Total Shareholders’ Equity</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1,286.8</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1,268.2</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1,231.9</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1,161.5</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1,116.3</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Quality</w:t>
            </w: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Allowance for Loan and Lease Losses</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107.3</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Non-Performing Assets</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w:t>
            </w:r>
          </w:p>
        </w:tc>
        <w:tc>
          <w:tcPr>
            <w:tcW w:w="26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b w:val="1"/>
                <w:bCs w:val="1"/>
                <w:color w:val="auto"/>
              </w:rPr>
              <w:t>Financial Ratios</w:t>
            </w: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Allowance to Loans and Leases Outstanding</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Tier 1 Capital Ratio</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12.18</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13.07</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13.24</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13.24</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13.97</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Capital Ratio</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14.46</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Tier 1 Leverage Ratio</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7.25</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7.21</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7.26</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Shareholders’ Equity to Total Assets</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7.21</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4</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6.95</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7.23</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7.04</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7.03</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12.84</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260" w:type="dxa"/>
            <w:vAlign w:val="bottom"/>
            <w:shd w:val="clear" w:color="auto" w:fill="CCEEFF"/>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70"/>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Non-Financial Data</w:t>
            </w:r>
          </w:p>
        </w:tc>
        <w:tc>
          <w:tcPr>
            <w:tcW w:w="9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Full-Time Equivalent Employees</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2,124</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2,122</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2,132</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2,122</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2,164</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Branches and Offices</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rPr>
                <w:sz w:val="24"/>
                <w:szCs w:val="24"/>
                <w:color w:val="auto"/>
              </w:rPr>
            </w:pPr>
          </w:p>
        </w:tc>
      </w:tr>
      <w:tr>
        <w:trPr>
          <w:trHeight w:val="264"/>
        </w:trPr>
        <w:tc>
          <w:tcPr>
            <w:tcW w:w="3800" w:type="dxa"/>
            <w:vAlign w:val="bottom"/>
            <w:gridSpan w:val="4"/>
          </w:tcPr>
          <w:p>
            <w:pPr>
              <w:ind w:left="20"/>
              <w:spacing w:after="0"/>
              <w:rPr>
                <w:sz w:val="20"/>
                <w:szCs w:val="20"/>
                <w:color w:val="auto"/>
              </w:rPr>
            </w:pPr>
            <w:r>
              <w:rPr>
                <w:rFonts w:ascii="Arial" w:cs="Arial" w:eastAsia="Arial" w:hAnsi="Arial"/>
                <w:sz w:val="14"/>
                <w:szCs w:val="14"/>
                <w:color w:val="auto"/>
              </w:rPr>
              <w:t>ATMs</w:t>
            </w:r>
          </w:p>
        </w:tc>
        <w:tc>
          <w:tcPr>
            <w:tcW w:w="9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387</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387</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449</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456</w:t>
            </w:r>
          </w:p>
        </w:tc>
        <w:tc>
          <w:tcPr>
            <w:tcW w:w="260" w:type="dxa"/>
            <w:vAlign w:val="bottom"/>
          </w:tcPr>
          <w:p>
            <w:pPr>
              <w:spacing w:after="0"/>
              <w:rPr>
                <w:sz w:val="22"/>
                <w:szCs w:val="22"/>
                <w:color w:val="auto"/>
              </w:rPr>
            </w:pPr>
          </w:p>
        </w:tc>
      </w:tr>
      <w:tr>
        <w:trPr>
          <w:trHeight w:val="276"/>
        </w:trPr>
        <w:tc>
          <w:tcPr>
            <w:tcW w:w="38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Common Shareholders of Record</w:t>
            </w: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5,982</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w:t>
            </w:r>
          </w:p>
        </w:tc>
        <w:tc>
          <w:tcPr>
            <w:tcW w:w="260" w:type="dxa"/>
            <w:vAlign w:val="bottom"/>
            <w:shd w:val="clear" w:color="auto" w:fill="CCEEFF"/>
          </w:tcPr>
          <w:p>
            <w:pPr>
              <w:spacing w:after="0"/>
              <w:rPr>
                <w:sz w:val="24"/>
                <w:szCs w:val="24"/>
                <w:color w:val="auto"/>
              </w:rPr>
            </w:pPr>
          </w:p>
        </w:tc>
      </w:tr>
    </w:tbl>
    <w:p>
      <w:pPr>
        <w:ind w:left="180" w:hanging="172"/>
        <w:spacing w:after="0" w:line="199" w:lineRule="auto"/>
        <w:tabs>
          <w:tab w:leader="none" w:pos="18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Efficiency ratio is defined as noninterest expense divided by total revenue (net interest income and noninterest income).</w:t>
      </w:r>
    </w:p>
    <w:p>
      <w:pPr>
        <w:ind w:left="180" w:hanging="172"/>
        <w:spacing w:after="0" w:line="188" w:lineRule="auto"/>
        <w:tabs>
          <w:tab w:leader="none" w:pos="180" w:val="left"/>
        </w:tabs>
        <w:numPr>
          <w:ilvl w:val="0"/>
          <w:numId w:val="8"/>
        </w:numPr>
        <w:rPr>
          <w:rFonts w:ascii="Arial" w:cs="Arial" w:eastAsia="Arial" w:hAnsi="Arial"/>
          <w:sz w:val="18"/>
          <w:szCs w:val="18"/>
          <w:color w:val="auto"/>
          <w:vertAlign w:val="superscript"/>
        </w:rPr>
      </w:pPr>
      <w:r>
        <w:rPr>
          <w:rFonts w:ascii="Arial" w:cs="Arial" w:eastAsia="Arial" w:hAnsi="Arial"/>
          <w:sz w:val="12"/>
          <w:szCs w:val="12"/>
          <w:color w:val="auto"/>
        </w:rPr>
        <w:t>Net interest margin is defined as net interest income, on a taxable-equivalent basis, as a percentage of average earning assets.</w:t>
      </w:r>
    </w:p>
    <w:p>
      <w:pPr>
        <w:ind w:left="180" w:hanging="172"/>
        <w:spacing w:after="0" w:line="184" w:lineRule="auto"/>
        <w:tabs>
          <w:tab w:leader="none" w:pos="180"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Dividend payout ratio is defined as dividends declared per share divided by basic earnings per share.</w:t>
      </w:r>
    </w:p>
    <w:p>
      <w:pPr>
        <w:sectPr>
          <w:pgSz w:w="11900" w:h="16856" w:orient="portrait"/>
          <w:cols w:equalWidth="0" w:num="1">
            <w:col w:w="11360"/>
          </w:cols>
          <w:pgMar w:left="240" w:top="125" w:right="299" w:bottom="0" w:gutter="0" w:footer="0" w:header="0"/>
        </w:sectPr>
      </w:pPr>
    </w:p>
    <w:bookmarkStart w:id="19" w:name="page20"/>
    <w:bookmarkEnd w:id="19"/>
    <w:p>
      <w:pPr>
        <w:ind w:left="172" w:hanging="172"/>
        <w:spacing w:after="0"/>
        <w:tabs>
          <w:tab w:leader="none" w:pos="172"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Tangible common equity to tangible assets and tangible common equity to risk-weighted assets are Non-GAAP financial measures. See the “Use of Non-GAAP Financial Measures” section below.</w:t>
      </w:r>
    </w:p>
    <w:p>
      <w:pPr>
        <w:sectPr>
          <w:pgSz w:w="11900" w:h="16838" w:orient="portrait"/>
          <w:cols w:equalWidth="0" w:num="1">
            <w:col w:w="10772"/>
          </w:cols>
          <w:pgMar w:left="248" w:top="83" w:right="879" w:bottom="1440" w:gutter="0" w:footer="0" w:header="0"/>
        </w:sectPr>
      </w:pPr>
    </w:p>
    <w:p>
      <w:pPr>
        <w:spacing w:after="0" w:line="202" w:lineRule="exact"/>
        <w:rPr>
          <w:sz w:val="20"/>
          <w:szCs w:val="20"/>
          <w:color w:val="auto"/>
        </w:rPr>
      </w:pPr>
    </w:p>
    <w:p>
      <w:pPr>
        <w:ind w:left="5612"/>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772"/>
          </w:cols>
          <w:pgMar w:left="248" w:top="83" w:right="87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company, they have limitations as analytical tools, and should not be considered in isolation, or as a substitute for analyses of results as reported under GAAP. The following table provides a reconciliation of these Non-GAAP financial measures with their most closely related GAAP measures.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2015</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1,286,832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1,268,200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1,231,868</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1,161,537</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1,116,260</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20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4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Common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1,255,315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1,236,683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1,200,351</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1,130,020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1,084,743</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18,095,496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17,143,974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17,089,052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16,492,367</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15,455,016</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20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4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18,063,979</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17,112,457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17,057,535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16,460,850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15,423,499</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4520" w:type="dxa"/>
            <w:vAlign w:val="bottom"/>
          </w:tcPr>
          <w:p>
            <w:pPr>
              <w:ind w:left="40"/>
              <w:spacing w:after="0"/>
              <w:rPr>
                <w:sz w:val="20"/>
                <w:szCs w:val="20"/>
                <w:color w:val="auto"/>
              </w:rPr>
            </w:pPr>
            <w:r>
              <w:rPr>
                <w:rFonts w:ascii="Arial" w:cs="Arial" w:eastAsia="Arial" w:hAnsi="Arial"/>
                <w:sz w:val="16"/>
                <w:szCs w:val="16"/>
                <w:color w:val="auto"/>
                <w:w w:val="96"/>
              </w:rPr>
              <w:t>Risk-Weighted Assets, determined in accordance with prescribed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520" w:type="dxa"/>
            <w:vAlign w:val="bottom"/>
          </w:tcPr>
          <w:p>
            <w:pPr>
              <w:ind w:left="280"/>
              <w:spacing w:after="0"/>
              <w:rPr>
                <w:sz w:val="20"/>
                <w:szCs w:val="20"/>
                <w:color w:val="auto"/>
              </w:rPr>
            </w:pPr>
            <w:r>
              <w:rPr>
                <w:rFonts w:ascii="Arial" w:cs="Arial" w:eastAsia="Arial" w:hAnsi="Arial"/>
                <w:sz w:val="16"/>
                <w:szCs w:val="16"/>
                <w:color w:val="auto"/>
              </w:rPr>
              <w:t>regulatory requirements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10,589,061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9,878,904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9,348,296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8,823,485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7,962,484</w:t>
            </w:r>
          </w:p>
        </w:tc>
      </w:tr>
      <w:tr>
        <w:trPr>
          <w:trHeight w:val="73"/>
        </w:trPr>
        <w:tc>
          <w:tcPr>
            <w:tcW w:w="45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0"/>
        </w:trPr>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7.11%</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7.40%</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7.21%</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7.04%</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33"/>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Common Equity to</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Tangible Assets (Non-GAAP)</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r>
      <w:tr>
        <w:trPr>
          <w:trHeight w:val="270"/>
        </w:trPr>
        <w:tc>
          <w:tcPr>
            <w:tcW w:w="4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r>
      <w:tr>
        <w:trPr>
          <w:trHeight w:val="220"/>
        </w:trPr>
        <w:tc>
          <w:tcPr>
            <w:tcW w:w="4520" w:type="dxa"/>
            <w:vAlign w:val="bottom"/>
          </w:tcPr>
          <w:p>
            <w:pPr>
              <w:ind w:left="40"/>
              <w:spacing w:after="0"/>
              <w:rPr>
                <w:sz w:val="20"/>
                <w:szCs w:val="20"/>
                <w:color w:val="auto"/>
              </w:rPr>
            </w:pPr>
            <w:r>
              <w:rPr>
                <w:rFonts w:ascii="Arial" w:cs="Arial" w:eastAsia="Arial" w:hAnsi="Arial"/>
                <w:sz w:val="16"/>
                <w:szCs w:val="16"/>
                <w:color w:val="auto"/>
              </w:rPr>
              <w:t>Tangible Common Equity to</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4520" w:type="dxa"/>
            <w:vAlign w:val="bottom"/>
          </w:tcPr>
          <w:p>
            <w:pPr>
              <w:ind w:left="280"/>
              <w:spacing w:after="0"/>
              <w:rPr>
                <w:sz w:val="20"/>
                <w:szCs w:val="20"/>
                <w:color w:val="auto"/>
              </w:rPr>
            </w:pPr>
            <w:r>
              <w:rPr>
                <w:rFonts w:ascii="Arial" w:cs="Arial" w:eastAsia="Arial" w:hAnsi="Arial"/>
                <w:sz w:val="16"/>
                <w:szCs w:val="16"/>
                <w:color w:val="auto"/>
              </w:rPr>
              <w:t>Risk-Weighted Assets (Non-GAAP)</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11.85%</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12.52%</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12.84%</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12.81%</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13.62%</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MD&amp;A is intended to help the reader understand the Company and its operations and is focused on our 2019 and 2018 financial results, including comparisons of year-to-year performance between these years. Discussion and analysis of our 2017 fiscal year, as well as the year-to-year comparison between 2018 and 2017, are included "Management's Discussion and Analysis of Financial Condition and Results of Operations" in Part II, Item 7 in our Annual Report on Form 10-K for the fiscal year ended December 31, 2018, filed with the SEC on March 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including, without limitation, the anticipated elimination of the London Interbank Offered Rate (“LIBOR”) as a benchmark interest rate; 3) competitive pressures in the markets for financial services and products; 4) the impact of legislative and regulatory initiatives, particularly the Dodd-Frank Wall Street Reform and Consumer Protection Act of 2010 (the “Dodd-Frank Act”) and Economic Growth, Regulatory Relief, and Consumer Protection Act of 2018;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including Public Law 115-97, commonly known as the Tax Cuts and Jobs Act, or the interpretation of such laws and regulations; 10) 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merchants, third 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disease outbreaks,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 of this report.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Consolidated Financial Statements were prepared in accordance with U.S. generally accepted accounting principles (“GAAP”) and follow general practices within the industries in which we operate. The most significant accounting policies we follow are presented in Note 1 to the Consolidated Financial Statements. Application of these principles requires us to make estimates, assumptions, and judgments that affect the amounts reported in the Consolidated Financial Statements and accompanying notes. Most accounting policies are not considered by management to be critical accounting policies. Several factors are considered in determining whether or not a policy is critical in the preparation of the Consolidated Financial Statements. These factors include among other things, whether the policy requires management to make difficult, subjective, and complex judgments about matters that are inherently uncertain and because it is likely that materially different amounts would be reported under different conditions or using different assumptions. The accounting policies which we believe to be most critical in preparing our Consolidated Financial Statements are those that are related to the determination of the reserve for credit losses, fair value estimates, leased asset residual values, and income taxes.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consequence of lending activities is that we may incur credit losses. The amount of such losses will vary depending upon the risk characteristics of the loan and lease portfolio as affected by economic conditions such as rising interest rates and the financial performance of borrowers. The reserve for credit losses consists of the allowance for loan and lease losses (the “Allowance”) and the reserve for unfunded commitments (the “Unfunded Reserve”). The Allowance provides for probable and estimable losses inherent in our loan and lease portfolio. The Allowance is increased or decreased through the provisioning process. There is no exact method of predicting specific losses or amounts that ultimately may be charged-off on particular segments of the loan and lease portfolio. The Unfunded Reserve is a component of other liabilities and represents the estimate for probable credit losses inherent in unfunded commitments to extend credit. The level of the Unfunded Reserve is adjusted by recording an expense or recovery in other noninterest expense.</w:t>
      </w:r>
    </w:p>
    <w:p>
      <w:pPr>
        <w:spacing w:after="0" w:line="16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Management’s evaluation of the appropriateness of the reserve for credit losses is often the most critical of accounting estimates for a financial institution. Our determination of the amount of the reserve for credit losses is a critical accounting estimate as it requires significant reliance on the accuracy of credit risk ratings of individual borrowers, the use of estimates and significant judgment as to the amount and timing of expected future cash flows on impaired loans, significant reliance on estimated loss rates on homogenous portfolios, and consideration of our quantitative and qualitative evaluation of economic factors and trends. While our methodology in establishing the reserve for credit losses attributes portions of the Allowance and Unfunded Reserve to the commercial and consumer portfolio segments, the entire Allowance and Unfunded Reserve is available to absorb credit losses inherent in the total loan and lease portfolio and total amount of unfunded credit commitments, respectively.</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reserve for credit losses related to our commercial portfolio segment is generally most sensitive to the accuracy of credit risk ratings assigned to each borrower. Commercial loan risk ratings are evaluated based on each situation by experienced senior credit officers and are subject to periodic review by an independent internal team of credit specialists. The reserve for credit losses related to our consumer portfolio segment is generally most sensitive to economic assumptions and delinquency trends. The reserve for credit losses attributable to each portfolio segment also includes an amount for inherent risks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criticized and classified loans.</w:t>
      </w:r>
    </w:p>
    <w:p>
      <w:pPr>
        <w:spacing w:after="0" w:line="18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See Note 4 to the Consolidated Financial Statements and the “Corporate Risk Profile – Credit Risk” section in Management’s Discussion and Analysis of Financial Condition and Results of Operations (“MD&amp;A”) for more information on the Allowance and the Unfunded Reserve.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measurements, we maximize the use of observable inputs and minimize the use of unobservable inputs.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instruments traded in active markets. Level 2 valuations are those based on quoted prices for similar instruments in active markets, quoted prices for identical or similar instruments in markets that are not active, or model-based valuation techniques for which all significant assumptions are observable in the market. Level 3 valuations are based on model-based techniques that use at least one significant assumption not observable in the market, or significant management judgment or estimation, some of which may be internally developed.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that are recorded at fair value on a recurring basis include available-for-sale investment securities, loans held for sale, mortgage servicing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rights, investments related to deferred compensation arrangements, and derivative financial instruments. As of December 31, 2019, and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billion or 15% and $2.1 billion or 12%, respectively, of our total assets consisted of financial assets recorded at fair value on a recurring basis and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these financial assets consisted of available-for-sale investment securities measured using information from a third-party pricing service. These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debt securities and mortgage-backed securities were all classified in either Levels 1 or 2 of the fair value hierarchy. Financial liabilities that are recorded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 on a recurring basis are comprised of derivative financial instruments. As of December 31, 2019, and December 31, 2018, $6.4 million and $9.7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respectively, or less than 1% of our total liabilities consisted of financial liabilities recorded at fair value on a recurring basis. As of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2019, and December 31, 2018, Level 3 financial assets recorded at fair value on a recurring basis were $29.7 million and $15.1 million, respectively, or less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1% of our total assets, and were comprised of mortgage servicing rights and derivative financial instruments. As of December 31, 2019,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Level 3 financial liabilities recorded at fair value on a recurring basis were $6.1 million and $9.4 million, respectively, or less than 1%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total liabilities, and were comprised of derivative financial instruments.</w:t>
      </w:r>
    </w:p>
    <w:p>
      <w:pPr>
        <w:spacing w:after="0" w:line="21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third-party pricing service makes no representations or warranties that the pricing data provided to us is complete or free from errors, omissions, or defects. As a result, we have processes in place to monitor and periodically review the information provided to us by our third-party pricing service such as:</w:t>
      </w:r>
    </w:p>
    <w:p>
      <w:pPr>
        <w:ind w:right="40" w:firstLine="8"/>
        <w:spacing w:after="0" w:line="285" w:lineRule="auto"/>
        <w:tabs>
          <w:tab w:leader="none" w:pos="1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third-party pricing service provides us with documentation by asset class of inputs and methodologies used to value securities. We review this documentation to evaluate the inputs and valuation methodologies used to place securities into the appropriate level of the fair value hierarchy. This documentation is periodically updated by our third-party pricing service. Accordingly, transfers of securities within the fair value hierarchy are made if deemed necessary. 2) On a quarterly basis, management also selects a sample of securities priced by the Company’s third-party pricing service and reviews the significant assumptions and valuation methodologies used by the pricing service with respect to those securities. The information provided is comprised of market reference data, which may include reported trades; bids, offers, or broker-dealer dealer quotes; benchmark yields and spreads; as well as other reference data as appropriate. Periodically, based on these reviews, management determines whether the current placement of the security in the fair value hierarchy is appropriate or whether transfers may be warranted. 3) On a quarterly basis, management reviews the pricing information received from our third-party pricing service. This review process includes a comparison to a second source. 4) Our third-party pricing service has also established processes for us to submit inquiries regarding quoted prices. Periodically, we will challenge the quoted prices provided by our third-party pricing service. Our third-party pricing service will review the inputs to the evaluation in light of the new market data presented by us. Our third-party pricing service may then affirm the original quoted price or may update the evaluation on a going forward basis. Generally, we do not adjust the price from the third-party service provider. 5) On an annual basis, we obtain and review the third-party’s most recently issued Service Organization Controls report related to controls placed in operation and tests of operating effectiveness, to update our understanding of the third-party pricing service’s control environment.</w:t>
      </w:r>
    </w:p>
    <w:p>
      <w:pPr>
        <w:spacing w:after="0" w:line="16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Based on the composition of our investment securities portfolio, we believe that we have developed appropriate internal controls and performed appropriate due diligence procedures to prevent or detect material misstatements. See Note 21 to the Consolidated Financial Statements for more information on our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determine our liabilities for income taxes based on current tax regulations and interpretations in tax jurisdictions where our income is subject to taxation. Currently, we file tax returns for federal, and in six state and local domestic jurisdictions, and four foreign jurisdictions. In estimating income taxes payable or receivable, we assess the relative merits and risks of the appropriate tax treatment considering statutory, judicial, and regulatory guidance in the context of each tax position. Accordingly, previously estimated liabilities are regularly reevaluated and adjusted through the provision for income taxes. Changes in the estimate of income taxes payable or receivable occur periodically due to changes in tax rates, interpretations of tax law, the status of examinations being conducted by various taxing authorities, and newly enacted statutory, judicial and regulatory guidance that impact the relative merits and risks of each tax position. These changes, when they occur, may affect the provision for income taxes as well as current and deferred income taxes, and may be significant to our statements of income and condition.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Management's determination of the realization of net deferred tax assets is based upon management's judgment of various future events and uncertainties, including the timing and amount of future income, as well as the implementation of various tax planning strategies to maximize realization of the deferred tax assets. A valuation allowance is provided when it is more likely than not that some portion of the deferred tax asset will not be realized. As of December 31, 2019, and December 31, 2018, we carried a valuation allowance of $2.5 million and $1.1 million, respectively, related to our deferred tax assets established in connection with our low-income housing investments.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also required to record a liability, referred to as an unrecognized tax benefit ("UTB"), for the entire amount of benefit taken in a prior or future income tax return when we determine that a tax position has a less than 50% likelihood of being accepted by the taxing authority. As of December 31, 2019, and December 31, 2018, our liabilities for UTBs were $6.1 million and $5.5 million, respectively.</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2019, the Company recognized federal and State of Hawaii investment tax credits from energy investments. The Company uses the deferral method of accounting for its investment tax credit with the benefit recognized in the provision for income taxes. These credits reduced the Company's provision for income taxes by $4.1 million, 5.0 million, and 5.4 million in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 regional financial services company serving businesses, consumers, and governments in Hawaii, Guam, and other Pacific Islands. Our principal operating subsidiary, the Bank, was founded in 1897.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business strategy is to use our unique market knowledge, prudent management discipline and brand strength to deliver exceptional value to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stakeholders. Our business plan is balanced between growth and risk management while maintaining flexibility to adjust to economic changes. We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will continue to focus on providing customers with best-in-class service and an innovative mix of products and services. We will also remain focused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continuing to deliver strong financial results while maintaining prudent risk and capital management strategies as well as our commitment to support our local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 economic conditions in Hawaii remained stable during 2019 due to low interest rates, a relatively healthy construction sector and growing visitor arrivals. Total visitor arrivals increased 5.4% and visitor spending increased 1.4% during 2019 compared to 2018. The statewide seasonally-adjusted unemployment rate was 2.6% in December 2019 compared to 3.5% nationally. The volume of single-family home sales on Oahu increased 3.9% in 2019 compared to 2018, while the volume of condominium sales on Oahu decreased 4.8% in 2019 compared to 2018. The median price of single-family home sales on Oahu decreased by 0.1% in 2019 compared to 2018, while the condominium sales price on Oahu increased by 1.2% in 2019 compared to 2018. As of December 31, 2019, months of inventory of single-family homes and condominiums on Oahu remained low at approximately 2.5 months and 3.4 months,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income for 2019 was $225.9 million, an increase of $6.3 million or 3% compared to 2018. Diluted earnings per share were $5.56 in 2019, an increase of $0.33 or 6% compared to 2018. Our return on average assets was 1.29% in 2019, unchanged from 2018, and our return on average shareholders’ equity was 17.65% in 2019, an increase of 2 basis points from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higher net income in 2019 was primarily due to the following:</w:t>
      </w:r>
    </w:p>
    <w:p>
      <w:pPr>
        <w:spacing w:after="0" w:line="225" w:lineRule="exact"/>
        <w:rPr>
          <w:sz w:val="20"/>
          <w:szCs w:val="20"/>
          <w:color w:val="auto"/>
        </w:rPr>
      </w:pPr>
    </w:p>
    <w:p>
      <w:pPr>
        <w:ind w:left="340" w:right="40" w:hanging="332"/>
        <w:spacing w:after="0" w:line="25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interest income was $497.7 million in 2019, an increase of $11.4 million or 2% compared to 2018. On a taxable-equivalent basis, net interest income was $499.9 million in 2019, an increase of $8.4 million or 2% compared to 2018. This increase was primarily due to a higher level of earning assets, including growth in both our commercial and consumer lending portfolios. The higher level of earning assets was primarily funded by higher deposit balances. Net interest margin was 3.03% in 2019, a 2 basis point decrease from 2018, as we experienced higher rates paid on our interest-bearing deposits, a reflection of the higher short term rate environment, which was partially offset by higher yields in our investment securities and commercial loans portfolio.</w:t>
      </w:r>
    </w:p>
    <w:p>
      <w:pPr>
        <w:spacing w:after="0" w:line="19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Mortgage banking income was $13.7 million in 2019, an increase of $5.2 million or 62% compared to 2018. This increase was primarily due to increased sales and margins on sales of conforming saleable loans from current production.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items were partially offset by the following:</w:t>
      </w:r>
    </w:p>
    <w:p>
      <w:pPr>
        <w:spacing w:after="0" w:line="225" w:lineRule="exact"/>
        <w:rPr>
          <w:sz w:val="20"/>
          <w:szCs w:val="20"/>
          <w:color w:val="auto"/>
        </w:rPr>
      </w:pPr>
    </w:p>
    <w:p>
      <w:pPr>
        <w:jc w:val="both"/>
        <w:ind w:left="340" w:right="18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provision for income taxes was $59.9 million in 2019, an increase of $9.3 million or 18% compared to 2018 primarily due to a higher effective tax rate. The effective tax rate was 20.96% in 2019 compared to 18.73% in 2018. This increase was primarily due to a reduced tax benefit from municipal bonds, which were sold in 2019 as part of a portfolio repositioning.</w:t>
      </w:r>
    </w:p>
    <w:p>
      <w:pPr>
        <w:spacing w:after="0" w:line="181" w:lineRule="exact"/>
        <w:rPr>
          <w:rFonts w:ascii="Arial" w:cs="Arial" w:eastAsia="Arial" w:hAnsi="Arial"/>
          <w:sz w:val="18"/>
          <w:szCs w:val="18"/>
          <w:color w:val="auto"/>
        </w:rPr>
      </w:pPr>
    </w:p>
    <w:p>
      <w:pPr>
        <w:ind w:left="340" w:right="36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recorded a $16.0 million provision for credit losses in 2019 compared to a $13.4 million provision recorded in 2018. The provision recorded was based on our determination that the allowance for loan and lease losses should be $110.0 million as of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maintained a strong balance sheet throughout 2019, with what we believe are adequate reserves for credit losses, and high levels of liquidity and capital.</w:t>
      </w:r>
    </w:p>
    <w:p>
      <w:pPr>
        <w:spacing w:after="0" w:line="248" w:lineRule="exact"/>
        <w:rPr>
          <w:sz w:val="20"/>
          <w:szCs w:val="20"/>
          <w:color w:val="auto"/>
        </w:rPr>
      </w:pPr>
    </w:p>
    <w:p>
      <w:pPr>
        <w:ind w:left="340" w:right="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loans and leases were $11.0 billion as of December 31, 2019, an increase of $0.5 billion or 5% from December 31, 2018 primarily due to growth in many of our commercial and consumer loan and lease portfolios partially offset by a decrease in lease financing.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right="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$110.0 million as of December 31, 2019, an increase of $3.3 million or 3% from December 31, 2018. The ratio of our Allowance to total loans and leases outstanding decreased to 1.00% as of December 31, 2019, compared to 1.02% as of December 31, 2018. The level of our Allowance was commensurate with the Company’s credit risk profile, loan portfolio growth and composition, and a stable Hawaii economy.</w:t>
      </w:r>
    </w:p>
    <w:p>
      <w:pPr>
        <w:spacing w:after="0" w:line="186"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carrying value of our investment securities portfolio was $5.7 billion as of December 31, 2019, an increase of $171.3 million or 3% from December 31, 2018, primarily due to an increase in mortgage-backed securities. Government National Mortgage Association (“Ginnie Mae”) mortgage-backed securities continue to be the largest concentration in our portfolio.</w:t>
      </w:r>
    </w:p>
    <w:p>
      <w:pPr>
        <w:spacing w:after="0" w:line="181"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deposits were $15.8 billion as of December 31, 2019, an increase of $757.2 million or 5% from December 31, 2018 primarily due to an increase in consumer and commercial deposits.</w:t>
      </w:r>
    </w:p>
    <w:p>
      <w:pPr>
        <w:spacing w:after="0" w:line="170"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shareholders’ equity was $1.3 billion as of December 31, 2019, an increase of $18.6 million or 1% from December 31, 2018. We continued to return capital to our shareholders in the form of share repurchases and dividends. During 2019, we repurchased 1,673,127 shares of common stock at a total cost of $137.6 million under our share repurchase program and from employees and/or directors in connection with income tax withholdings related to the vesting of restricted stock, shares purchased for a deferred compensation plan, and stock swaps, less shares distributed from the deferred compensation plan. We also paid cash dividends of $105.5 million during 2019.</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1. An analysis of the change in net interest income, on a taxable-equivalent basis, is presented in Table 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Average Balances and Interest Rates – Taxable-Equivalent Basis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Table 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Income/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Income/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Expense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 Assets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4"/>
                <w:szCs w:val="14"/>
                <w:color w:val="auto"/>
              </w:rPr>
              <w:t>Interest-Bearing Deposits in Other Banks</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3.1</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1.33</w:t>
            </w:r>
          </w:p>
        </w:tc>
        <w:tc>
          <w:tcPr>
            <w:tcW w:w="460" w:type="dxa"/>
            <w:vAlign w:val="bottom"/>
          </w:tcPr>
          <w:p>
            <w:pPr>
              <w:jc w:val="right"/>
              <w:ind w:right="252"/>
              <w:spacing w:after="0"/>
              <w:rPr>
                <w:sz w:val="20"/>
                <w:szCs w:val="20"/>
                <w:color w:val="auto"/>
              </w:rPr>
            </w:pPr>
            <w:r>
              <w:rPr>
                <w:rFonts w:ascii="Arial" w:cs="Arial" w:eastAsia="Arial" w:hAnsi="Arial"/>
                <w:sz w:val="14"/>
                <w:szCs w:val="14"/>
                <w:color w:val="auto"/>
                <w:w w:val="96"/>
              </w:rPr>
              <w:t>%</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3.2</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1.05</w:t>
            </w:r>
          </w:p>
        </w:tc>
        <w:tc>
          <w:tcPr>
            <w:tcW w:w="440" w:type="dxa"/>
            <w:vAlign w:val="bottom"/>
          </w:tcPr>
          <w:p>
            <w:pPr>
              <w:jc w:val="right"/>
              <w:ind w:right="23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Funds Sold</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3.7</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4"/>
                <w:szCs w:val="14"/>
                <w:color w:val="auto"/>
              </w:rPr>
              <w:t>Investment Securities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Available-for-Sale</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380"/>
              <w:spacing w:after="0"/>
              <w:rPr>
                <w:sz w:val="20"/>
                <w:szCs w:val="20"/>
                <w:color w:val="auto"/>
              </w:rPr>
            </w:pPr>
            <w:r>
              <w:rPr>
                <w:rFonts w:ascii="Arial" w:cs="Arial" w:eastAsia="Arial" w:hAnsi="Arial"/>
                <w:sz w:val="14"/>
                <w:szCs w:val="14"/>
                <w:color w:val="auto"/>
              </w:rPr>
              <w:t>Taxable</w:t>
            </w:r>
          </w:p>
        </w:tc>
        <w:tc>
          <w:tcPr>
            <w:tcW w:w="2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2,210.5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58.9</w:t>
            </w:r>
          </w:p>
        </w:tc>
        <w:tc>
          <w:tcPr>
            <w:tcW w:w="1040" w:type="dxa"/>
            <w:vAlign w:val="bottom"/>
          </w:tcPr>
          <w:p>
            <w:pPr>
              <w:jc w:val="right"/>
              <w:spacing w:after="0"/>
              <w:rPr>
                <w:sz w:val="20"/>
                <w:szCs w:val="20"/>
                <w:color w:val="auto"/>
              </w:rPr>
            </w:pPr>
            <w:r>
              <w:rPr>
                <w:rFonts w:ascii="Arial" w:cs="Arial" w:eastAsia="Arial" w:hAnsi="Arial"/>
                <w:sz w:val="14"/>
                <w:szCs w:val="14"/>
                <w:color w:val="auto"/>
              </w:rPr>
              <w:t>2.66</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1,537.7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37.6</w:t>
            </w:r>
          </w:p>
        </w:tc>
        <w:tc>
          <w:tcPr>
            <w:tcW w:w="1020" w:type="dxa"/>
            <w:vAlign w:val="bottom"/>
          </w:tcPr>
          <w:p>
            <w:pPr>
              <w:jc w:val="right"/>
              <w:spacing w:after="0"/>
              <w:rPr>
                <w:sz w:val="20"/>
                <w:szCs w:val="20"/>
                <w:color w:val="auto"/>
              </w:rPr>
            </w:pPr>
            <w:r>
              <w:rPr>
                <w:rFonts w:ascii="Arial" w:cs="Arial" w:eastAsia="Arial" w:hAnsi="Arial"/>
                <w:sz w:val="14"/>
                <w:szCs w:val="14"/>
                <w:color w:val="auto"/>
              </w:rPr>
              <w:t>2.44</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Non-Taxable</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15.9</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280"/>
              <w:spacing w:after="0"/>
              <w:rPr>
                <w:sz w:val="20"/>
                <w:szCs w:val="20"/>
                <w:color w:val="auto"/>
              </w:rPr>
            </w:pPr>
            <w:r>
              <w:rPr>
                <w:rFonts w:ascii="Arial" w:cs="Arial" w:eastAsia="Arial" w:hAnsi="Arial"/>
                <w:sz w:val="14"/>
                <w:szCs w:val="14"/>
                <w:color w:val="auto"/>
              </w:rPr>
              <w:t>Held-to-Maturity</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Taxable</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3,148.2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78.3</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3,468.4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78.4</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Non-Taxable</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137.8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236.5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5,606.1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145.5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4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5,820.5</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139.4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4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4"/>
                <w:szCs w:val="14"/>
                <w:color w:val="auto"/>
              </w:rPr>
              <w:t>Loans Held for Sale</w:t>
            </w:r>
          </w:p>
        </w:tc>
        <w:tc>
          <w:tcPr>
            <w:tcW w:w="2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0.9</w:t>
            </w:r>
          </w:p>
        </w:tc>
        <w:tc>
          <w:tcPr>
            <w:tcW w:w="1040" w:type="dxa"/>
            <w:vAlign w:val="bottom"/>
          </w:tcPr>
          <w:p>
            <w:pPr>
              <w:jc w:val="right"/>
              <w:spacing w:after="0"/>
              <w:rPr>
                <w:sz w:val="20"/>
                <w:szCs w:val="20"/>
                <w:color w:val="auto"/>
              </w:rPr>
            </w:pPr>
            <w:r>
              <w:rPr>
                <w:rFonts w:ascii="Arial" w:cs="Arial" w:eastAsia="Arial" w:hAnsi="Arial"/>
                <w:sz w:val="14"/>
                <w:szCs w:val="14"/>
                <w:color w:val="auto"/>
              </w:rPr>
              <w:t>3.92</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0.6</w:t>
            </w:r>
          </w:p>
        </w:tc>
        <w:tc>
          <w:tcPr>
            <w:tcW w:w="1020" w:type="dxa"/>
            <w:vAlign w:val="bottom"/>
          </w:tcPr>
          <w:p>
            <w:pPr>
              <w:jc w:val="right"/>
              <w:spacing w:after="0"/>
              <w:rPr>
                <w:sz w:val="20"/>
                <w:szCs w:val="20"/>
                <w:color w:val="auto"/>
              </w:rPr>
            </w:pPr>
            <w:r>
              <w:rPr>
                <w:rFonts w:ascii="Arial" w:cs="Arial" w:eastAsia="Arial" w:hAnsi="Arial"/>
                <w:sz w:val="14"/>
                <w:szCs w:val="14"/>
                <w:color w:val="auto"/>
              </w:rPr>
              <w:t>4.31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Loans and Leases </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1,370.9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57.9</w:t>
            </w:r>
          </w:p>
        </w:tc>
        <w:tc>
          <w:tcPr>
            <w:tcW w:w="1040" w:type="dxa"/>
            <w:vAlign w:val="bottom"/>
          </w:tcPr>
          <w:p>
            <w:pPr>
              <w:jc w:val="right"/>
              <w:spacing w:after="0"/>
              <w:rPr>
                <w:sz w:val="20"/>
                <w:szCs w:val="20"/>
                <w:color w:val="auto"/>
              </w:rPr>
            </w:pPr>
            <w:r>
              <w:rPr>
                <w:rFonts w:ascii="Arial" w:cs="Arial" w:eastAsia="Arial" w:hAnsi="Arial"/>
                <w:sz w:val="14"/>
                <w:szCs w:val="14"/>
                <w:color w:val="auto"/>
              </w:rPr>
              <w:t>4.23</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1,304.8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51.9</w:t>
            </w:r>
          </w:p>
        </w:tc>
        <w:tc>
          <w:tcPr>
            <w:tcW w:w="1020" w:type="dxa"/>
            <w:vAlign w:val="bottom"/>
          </w:tcPr>
          <w:p>
            <w:pPr>
              <w:jc w:val="right"/>
              <w:spacing w:after="0"/>
              <w:rPr>
                <w:sz w:val="20"/>
                <w:szCs w:val="20"/>
                <w:color w:val="auto"/>
              </w:rPr>
            </w:pPr>
            <w:r>
              <w:rPr>
                <w:rFonts w:ascii="Arial" w:cs="Arial" w:eastAsia="Arial" w:hAnsi="Arial"/>
                <w:sz w:val="14"/>
                <w:szCs w:val="14"/>
                <w:color w:val="auto"/>
              </w:rPr>
              <w:t>3.98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2,400.6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102.4</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2,164.6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89.7</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145.2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7.4</w:t>
            </w:r>
          </w:p>
        </w:tc>
        <w:tc>
          <w:tcPr>
            <w:tcW w:w="1040" w:type="dxa"/>
            <w:vAlign w:val="bottom"/>
          </w:tcPr>
          <w:p>
            <w:pPr>
              <w:jc w:val="right"/>
              <w:spacing w:after="0"/>
              <w:rPr>
                <w:sz w:val="20"/>
                <w:szCs w:val="20"/>
                <w:color w:val="auto"/>
              </w:rPr>
            </w:pPr>
            <w:r>
              <w:rPr>
                <w:rFonts w:ascii="Arial" w:cs="Arial" w:eastAsia="Arial" w:hAnsi="Arial"/>
                <w:sz w:val="14"/>
                <w:szCs w:val="14"/>
                <w:color w:val="auto"/>
              </w:rPr>
              <w:t>5.07</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8.6</w:t>
            </w:r>
          </w:p>
        </w:tc>
        <w:tc>
          <w:tcPr>
            <w:tcW w:w="1020" w:type="dxa"/>
            <w:vAlign w:val="bottom"/>
          </w:tcPr>
          <w:p>
            <w:pPr>
              <w:jc w:val="right"/>
              <w:spacing w:after="0"/>
              <w:rPr>
                <w:sz w:val="20"/>
                <w:szCs w:val="20"/>
                <w:color w:val="auto"/>
              </w:rPr>
            </w:pPr>
            <w:r>
              <w:rPr>
                <w:rFonts w:ascii="Arial" w:cs="Arial" w:eastAsia="Arial" w:hAnsi="Arial"/>
                <w:sz w:val="14"/>
                <w:szCs w:val="14"/>
                <w:color w:val="auto"/>
              </w:rPr>
              <w:t>4.68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Lease Financing</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2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3,768.2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144.7</w:t>
            </w:r>
          </w:p>
        </w:tc>
        <w:tc>
          <w:tcPr>
            <w:tcW w:w="1040" w:type="dxa"/>
            <w:vAlign w:val="bottom"/>
          </w:tcPr>
          <w:p>
            <w:pPr>
              <w:jc w:val="right"/>
              <w:spacing w:after="0"/>
              <w:rPr>
                <w:sz w:val="20"/>
                <w:szCs w:val="20"/>
                <w:color w:val="auto"/>
              </w:rPr>
            </w:pPr>
            <w:r>
              <w:rPr>
                <w:rFonts w:ascii="Arial" w:cs="Arial" w:eastAsia="Arial" w:hAnsi="Arial"/>
                <w:sz w:val="14"/>
                <w:szCs w:val="14"/>
                <w:color w:val="auto"/>
              </w:rPr>
              <w:t>3.84</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3,546.5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136.0</w:t>
            </w:r>
          </w:p>
        </w:tc>
        <w:tc>
          <w:tcPr>
            <w:tcW w:w="1020" w:type="dxa"/>
            <w:vAlign w:val="bottom"/>
          </w:tcPr>
          <w:p>
            <w:pPr>
              <w:jc w:val="right"/>
              <w:spacing w:after="0"/>
              <w:rPr>
                <w:sz w:val="20"/>
                <w:szCs w:val="20"/>
                <w:color w:val="auto"/>
              </w:rPr>
            </w:pPr>
            <w:r>
              <w:rPr>
                <w:rFonts w:ascii="Arial" w:cs="Arial" w:eastAsia="Arial" w:hAnsi="Arial"/>
                <w:sz w:val="14"/>
                <w:szCs w:val="14"/>
                <w:color w:val="auto"/>
              </w:rPr>
              <w:t>3.84</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1,689.4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64.1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1,620.9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2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694.9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25.1</w:t>
            </w:r>
          </w:p>
        </w:tc>
        <w:tc>
          <w:tcPr>
            <w:tcW w:w="1040" w:type="dxa"/>
            <w:vAlign w:val="bottom"/>
          </w:tcPr>
          <w:p>
            <w:pPr>
              <w:jc w:val="right"/>
              <w:spacing w:after="0"/>
              <w:rPr>
                <w:sz w:val="20"/>
                <w:szCs w:val="20"/>
                <w:color w:val="auto"/>
              </w:rPr>
            </w:pPr>
            <w:r>
              <w:rPr>
                <w:rFonts w:ascii="Arial" w:cs="Arial" w:eastAsia="Arial" w:hAnsi="Arial"/>
                <w:sz w:val="14"/>
                <w:szCs w:val="14"/>
                <w:color w:val="auto"/>
              </w:rPr>
              <w:t>3.62</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591.1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23.2</w:t>
            </w:r>
          </w:p>
        </w:tc>
        <w:tc>
          <w:tcPr>
            <w:tcW w:w="1020" w:type="dxa"/>
            <w:vAlign w:val="bottom"/>
          </w:tcPr>
          <w:p>
            <w:pPr>
              <w:jc w:val="right"/>
              <w:spacing w:after="0"/>
              <w:rPr>
                <w:sz w:val="20"/>
                <w:szCs w:val="20"/>
                <w:color w:val="auto"/>
              </w:rPr>
            </w:pPr>
            <w:r>
              <w:rPr>
                <w:rFonts w:ascii="Arial" w:cs="Arial" w:eastAsia="Arial" w:hAnsi="Arial"/>
                <w:sz w:val="14"/>
                <w:szCs w:val="14"/>
                <w:color w:val="auto"/>
              </w:rPr>
              <w:t>3.92</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464.8</w:t>
            </w:r>
          </w:p>
        </w:tc>
        <w:tc>
          <w:tcPr>
            <w:tcW w:w="1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33.3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4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454.1</w:t>
            </w:r>
          </w:p>
        </w:tc>
        <w:tc>
          <w:tcPr>
            <w:tcW w:w="1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35.6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4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Loans and Leases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10,688.4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438.6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10,043.7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410.2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35.1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4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4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Total Earning Assets </w:t>
            </w:r>
            <w:r>
              <w:rPr>
                <w:rFonts w:ascii="Arial" w:cs="Arial" w:eastAsia="Arial" w:hAnsi="Arial"/>
                <w:sz w:val="22"/>
                <w:szCs w:val="22"/>
                <w:b w:val="1"/>
                <w:bCs w:val="1"/>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16,520.1</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589.6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16,120.4</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555.3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Due from Banks</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783.5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609.0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17,537.6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16,971.0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Interest-Bearing Liabilities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4"/>
                <w:szCs w:val="14"/>
                <w:color w:val="auto"/>
              </w:rPr>
              <w:t>Interest-Bearing Deposits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Demand</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2,945.9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2,958.8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63"/>
        </w:trPr>
        <w:tc>
          <w:tcPr>
            <w:tcW w:w="4580" w:type="dxa"/>
            <w:vAlign w:val="bottom"/>
          </w:tcPr>
          <w:p>
            <w:pPr>
              <w:ind w:left="280"/>
              <w:spacing w:after="0"/>
              <w:rPr>
                <w:sz w:val="20"/>
                <w:szCs w:val="20"/>
                <w:color w:val="auto"/>
              </w:rPr>
            </w:pPr>
            <w:r>
              <w:rPr>
                <w:rFonts w:ascii="Arial" w:cs="Arial" w:eastAsia="Arial" w:hAnsi="Arial"/>
                <w:sz w:val="14"/>
                <w:szCs w:val="14"/>
                <w:color w:val="auto"/>
              </w:rPr>
              <w:t>Savings</w:t>
            </w:r>
          </w:p>
        </w:tc>
        <w:tc>
          <w:tcPr>
            <w:tcW w:w="2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6,034.0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32.4</w:t>
            </w:r>
          </w:p>
        </w:tc>
        <w:tc>
          <w:tcPr>
            <w:tcW w:w="1040" w:type="dxa"/>
            <w:vAlign w:val="bottom"/>
          </w:tcPr>
          <w:p>
            <w:pPr>
              <w:jc w:val="right"/>
              <w:spacing w:after="0"/>
              <w:rPr>
                <w:sz w:val="20"/>
                <w:szCs w:val="20"/>
                <w:color w:val="auto"/>
              </w:rPr>
            </w:pPr>
            <w:r>
              <w:rPr>
                <w:rFonts w:ascii="Arial" w:cs="Arial" w:eastAsia="Arial" w:hAnsi="Arial"/>
                <w:sz w:val="14"/>
                <w:szCs w:val="14"/>
                <w:color w:val="auto"/>
              </w:rPr>
              <w:t>0.54</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5,434.3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13.6</w:t>
            </w:r>
          </w:p>
        </w:tc>
        <w:tc>
          <w:tcPr>
            <w:tcW w:w="1020" w:type="dxa"/>
            <w:vAlign w:val="bottom"/>
          </w:tcPr>
          <w:p>
            <w:pPr>
              <w:jc w:val="right"/>
              <w:spacing w:after="0"/>
              <w:rPr>
                <w:sz w:val="20"/>
                <w:szCs w:val="20"/>
                <w:color w:val="auto"/>
              </w:rPr>
            </w:pPr>
            <w:r>
              <w:rPr>
                <w:rFonts w:ascii="Arial" w:cs="Arial" w:eastAsia="Arial" w:hAnsi="Arial"/>
                <w:sz w:val="14"/>
                <w:szCs w:val="14"/>
                <w:color w:val="auto"/>
              </w:rPr>
              <w:t>0.25</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5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Time</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1,816.3</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4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1,725.9</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22.8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4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Interest-Bearing Deposits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10,796.2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68.4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10,119.0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41.1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Borrowings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0.8</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531.9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17.5</w:t>
            </w:r>
          </w:p>
        </w:tc>
        <w:tc>
          <w:tcPr>
            <w:tcW w:w="1040" w:type="dxa"/>
            <w:vAlign w:val="bottom"/>
          </w:tcPr>
          <w:p>
            <w:pPr>
              <w:jc w:val="right"/>
              <w:spacing w:after="0"/>
              <w:rPr>
                <w:sz w:val="20"/>
                <w:szCs w:val="20"/>
                <w:color w:val="auto"/>
              </w:rPr>
            </w:pPr>
            <w:r>
              <w:rPr>
                <w:rFonts w:ascii="Arial" w:cs="Arial" w:eastAsia="Arial" w:hAnsi="Arial"/>
                <w:sz w:val="14"/>
                <w:szCs w:val="14"/>
                <w:color w:val="auto"/>
              </w:rPr>
              <w:t>3.29</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504.7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18.5</w:t>
            </w:r>
          </w:p>
        </w:tc>
        <w:tc>
          <w:tcPr>
            <w:tcW w:w="1020" w:type="dxa"/>
            <w:vAlign w:val="bottom"/>
          </w:tcPr>
          <w:p>
            <w:pPr>
              <w:jc w:val="right"/>
              <w:spacing w:after="0"/>
              <w:rPr>
                <w:sz w:val="20"/>
                <w:szCs w:val="20"/>
                <w:color w:val="auto"/>
              </w:rPr>
            </w:pPr>
            <w:r>
              <w:rPr>
                <w:rFonts w:ascii="Arial" w:cs="Arial" w:eastAsia="Arial" w:hAnsi="Arial"/>
                <w:sz w:val="14"/>
                <w:szCs w:val="14"/>
                <w:color w:val="auto"/>
              </w:rPr>
              <w:t>3.67</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Debt</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111.8</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4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211.3</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4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11,476.4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89.7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10,870.5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63.8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499.9</w:t>
            </w: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491.5</w:t>
            </w:r>
          </w:p>
        </w:tc>
        <w:tc>
          <w:tcPr>
            <w:tcW w:w="10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Interest Rate Spread</w:t>
            </w: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2.79</w:t>
            </w:r>
          </w:p>
        </w:tc>
        <w:tc>
          <w:tcPr>
            <w:tcW w:w="460" w:type="dxa"/>
            <w:vAlign w:val="bottom"/>
            <w:tcBorders>
              <w:top w:val="single" w:sz="8" w:color="CCEEFF"/>
              <w:bottom w:val="single" w:sz="8" w:color="CCEEFF"/>
            </w:tcBorders>
            <w:vMerge w:val="restart"/>
          </w:tcPr>
          <w:p>
            <w:pPr>
              <w:jc w:val="right"/>
              <w:ind w:right="252"/>
              <w:spacing w:after="0"/>
              <w:rPr>
                <w:sz w:val="20"/>
                <w:szCs w:val="20"/>
                <w:color w:val="auto"/>
              </w:rPr>
            </w:pPr>
            <w:r>
              <w:rPr>
                <w:rFonts w:ascii="Arial" w:cs="Arial" w:eastAsia="Arial" w:hAnsi="Arial"/>
                <w:sz w:val="14"/>
                <w:szCs w:val="14"/>
                <w:color w:val="auto"/>
                <w:w w:val="96"/>
              </w:rPr>
              <w:t>%</w:t>
            </w: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2.85</w:t>
            </w:r>
          </w:p>
        </w:tc>
        <w:tc>
          <w:tcPr>
            <w:tcW w:w="440" w:type="dxa"/>
            <w:vAlign w:val="bottom"/>
            <w:tcBorders>
              <w:top w:val="single" w:sz="8" w:color="CCEEFF"/>
              <w:bottom w:val="single" w:sz="8" w:color="CCEEFF"/>
            </w:tcBorders>
            <w:vMerge w:val="restart"/>
          </w:tcPr>
          <w:p>
            <w:pPr>
              <w:jc w:val="right"/>
              <w:ind w:right="23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line="20" w:lineRule="exact"/>
              <w:rPr>
                <w:sz w:val="1"/>
                <w:szCs w:val="1"/>
                <w:color w:val="auto"/>
              </w:rPr>
            </w:pPr>
          </w:p>
        </w:tc>
      </w:tr>
      <w:tr>
        <w:trPr>
          <w:trHeight w:val="244"/>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Margin</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4"/>
                <w:szCs w:val="14"/>
                <w:color w:val="auto"/>
              </w:rPr>
              <w:t>Noninterest-Bearing Demand Deposits</w:t>
            </w:r>
          </w:p>
        </w:tc>
        <w:tc>
          <w:tcPr>
            <w:tcW w:w="2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4,431.9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4,638.7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Shareholders’ Equity</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1,280.1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1,245.7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17,537.6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16,971.0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hanging="172"/>
        <w:spacing w:after="0"/>
        <w:tabs>
          <w:tab w:leader="none" w:pos="180" w:val="left"/>
        </w:tabs>
        <w:numPr>
          <w:ilvl w:val="0"/>
          <w:numId w:val="18"/>
        </w:numPr>
        <w:rPr>
          <w:rFonts w:ascii="Arial" w:cs="Arial" w:eastAsia="Arial" w:hAnsi="Arial"/>
          <w:sz w:val="8"/>
          <w:szCs w:val="8"/>
          <w:color w:val="auto"/>
        </w:rPr>
      </w:pPr>
      <w:r>
        <w:rPr>
          <w:rFonts w:ascii="Arial" w:cs="Arial" w:eastAsia="Arial" w:hAnsi="Arial"/>
          <w:sz w:val="10"/>
          <w:szCs w:val="10"/>
          <w:color w:val="auto"/>
        </w:rPr>
        <w:t>Interest income includes taxable-equivalent basis adjustments, based upon a federal statutory tax rate of 21% of $2.2 million and $5.2 million for the years ended December 31, 2019, and December 31, 2018, respectively.</w:t>
      </w:r>
    </w:p>
    <w:p>
      <w:pPr>
        <w:sectPr>
          <w:pgSz w:w="11900" w:h="16838" w:orient="portrait"/>
          <w:cols w:equalWidth="0" w:num="1">
            <w:col w:w="11420"/>
          </w:cols>
          <w:pgMar w:left="240" w:top="125" w:right="239" w:bottom="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Analysis of Change in Net Interest Income – Taxable-Equivalent Basis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2</w:t>
            </w:r>
          </w:p>
        </w:tc>
      </w:tr>
      <w:tr>
        <w:trPr>
          <w:trHeight w:val="33"/>
        </w:trPr>
        <w:tc>
          <w:tcPr>
            <w:tcW w:w="7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2019 Compared to 2018</w:t>
            </w:r>
          </w:p>
        </w:tc>
        <w:tc>
          <w:tcPr>
            <w:tcW w:w="8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(dollars in millions)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21"/>
                <w:szCs w:val="21"/>
                <w:b w:val="1"/>
                <w:bCs w:val="1"/>
                <w:color w:val="auto"/>
                <w:vertAlign w:val="superscript"/>
              </w:rPr>
              <w:t>1</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1</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Available-for-Sale</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Taxable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r>
      <w:tr>
        <w:trPr>
          <w:trHeight w:val="237"/>
        </w:trPr>
        <w:tc>
          <w:tcPr>
            <w:tcW w:w="7440" w:type="dxa"/>
            <w:vAlign w:val="bottom"/>
          </w:tcPr>
          <w:p>
            <w:pPr>
              <w:ind w:left="400"/>
              <w:spacing w:after="0"/>
              <w:rPr>
                <w:sz w:val="20"/>
                <w:szCs w:val="20"/>
                <w:color w:val="auto"/>
              </w:rPr>
            </w:pPr>
            <w:r>
              <w:rPr>
                <w:rFonts w:ascii="Arial" w:cs="Arial" w:eastAsia="Arial" w:hAnsi="Arial"/>
                <w:sz w:val="16"/>
                <w:szCs w:val="16"/>
                <w:color w:val="auto"/>
              </w:rPr>
              <w:t>Non-Taxable</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48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4.4</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0"/>
              <w:spacing w:after="0"/>
              <w:rPr>
                <w:sz w:val="20"/>
                <w:szCs w:val="20"/>
                <w:color w:val="auto"/>
              </w:rPr>
            </w:pPr>
            <w:r>
              <w:rPr>
                <w:rFonts w:ascii="Arial" w:cs="Arial" w:eastAsia="Arial" w:hAnsi="Arial"/>
                <w:sz w:val="16"/>
                <w:szCs w:val="16"/>
                <w:color w:val="auto"/>
              </w:rPr>
              <w:t>Taxable</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48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7.5</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Non-Taxable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1"/>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w:t>
            </w: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15.2</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7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Commercial Mortgage</w:t>
            </w:r>
          </w:p>
        </w:tc>
        <w:tc>
          <w:tcPr>
            <w:tcW w:w="3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48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4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Construction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Commercial Lease Financing</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48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3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48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4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74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w:t>
            </w: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26.0</w:t>
            </w: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31"/>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7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w:t>
            </w: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w:t>
            </w: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r>
      <w:tr>
        <w:trPr>
          <w:trHeight w:val="277"/>
        </w:trPr>
        <w:tc>
          <w:tcPr>
            <w:tcW w:w="74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Interest-Bearing Deposits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Demand</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Savings</w:t>
            </w:r>
          </w:p>
        </w:tc>
        <w:tc>
          <w:tcPr>
            <w:tcW w:w="3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17.2</w:t>
            </w:r>
          </w:p>
        </w:tc>
        <w:tc>
          <w:tcPr>
            <w:tcW w:w="4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31"/>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Interest-Bearing Deposits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24.4</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r>
      <w:tr>
        <w:trPr>
          <w:trHeight w:val="33"/>
        </w:trPr>
        <w:tc>
          <w:tcPr>
            <w:tcW w:w="7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3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1"/>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24.0</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w:t>
            </w:r>
          </w:p>
        </w:tc>
      </w:tr>
      <w:tr>
        <w:trPr>
          <w:trHeight w:val="33"/>
        </w:trPr>
        <w:tc>
          <w:tcPr>
            <w:tcW w:w="7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0"/>
        </w:trPr>
        <w:tc>
          <w:tcPr>
            <w:tcW w:w="7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4"/>
          <w:szCs w:val="14"/>
          <w:color w:val="auto"/>
        </w:rPr>
        <w:t>The change in interest income and expense are not solely due to changes in volume or rate has been allocated on a pro-rata basis to the volume and rate columns.</w:t>
      </w:r>
    </w:p>
    <w:p>
      <w:pPr>
        <w:spacing w:after="0" w:line="13"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8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interest income was $497.7 million in 2019, an increase of $11.4 million or 2% compared to 2018. On a taxable-equivalent basis, net interest income was $499.9 million in 2019, an increase of $8.4 million or 2% compared to 2018. This increase was primarily due to a higher level of earning assets, including growth in both our commercial and consumer lending portfolios. The higher level of earning assets was primarily funded by higher deposit balances. Net interest margin was 3.03% in 2019, a two basis point decrease from 2018, as we experienced higher rates paid on our interest-bearing deposits, a reflection of the higher short-term rate environment, which was partially offset by higher yields in our investment securities and commercial loans portfolio.</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Yields on our earning assets increased by 13 basis points in 2019 compared to 2018 primarily due to the shift in the mix of our earning assets from investment securities to loans, which generally have higher yields. Yield increases in our construction loans and commercial and industrial loans were primarily due to higher yields on floating rate loans. Yields on our construction loans increased by 39 basis points primarily due to new loans with higher rates than the loans that were paid off or transferred to commercial mortgage upon completion. Yields on our funds sold increased by 28 basis points primarily due to federal fund rate increases. In addition, yields on our investment securities portfolio increased by 21 basis points primarily due to a portfolio repositioning in 2019. These yield increases were partially offset by a 69 basis point decrease in our other loans portfolio primarily due to the completed sale of our MyBankoh Rewards Credit Card portfolio on November 1, 2018, combined with a 30 basis point decrease in our automobile loans portfolio.</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rates paid on our interest-bearing liabilities increased 19 basis points in 2019 compared to 2018. Increases to our funding costs were primarily due to higher rates paid on our interest-bearing deposits, a reflection of the higher short-term rate environment. Other debt, which is comprised primarily of FHLB advances, increased by 99 basis points primarily due to lower cost advances that matured during the time period combined with the addition of higher cost FHLB advances in December 2018. Our outstanding FHLB advances had a weighted average interest rate of 2.42% and 1.93% as of December 31, 2019, and December 31, 2018, respectively. Interest rates paid on our securities sold under agreements to repurchase decreased by 38 basis points from 2018 primarily due to the restructuring of ten repurchase agreements with private institutions with an aggregate total repurchase price of $275.0 million. These repurchase agreements had a weighted-average interest rate of 4.36%. The restructuring of the agreements extended the maturity dates to 2024 and lowered the weighted-average interest rate to 2.94% effective in the third quarter of 2019.</w:t>
      </w:r>
    </w:p>
    <w:p>
      <w:pPr>
        <w:spacing w:after="0" w:line="1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Average balances of our earning assets increased by $399.7 million or 2% in 2019 compared to 2018 primarily due to loan growth as the average balances of our loans and leases portfolio increased by $644.7 million. Offsetting this increase in the average balance of our loans and leases portfolio were a $214.4 million decrease in the average balance of investment securities and a $34.3 million decrease in the average balance of funds sold. The average balance of our commercial mortgage portfolio increased by $236.0 million as a result of continued demand from new and existing customers as the Hawaii economy continued to be strong. The average balance of our residential mortgage portfolio increased by $221.7 million primarily due to higher loan originations partially offset by an increase in payoff activity. The average balance of our automobile loans portfolio increased by $103.8 million primarily due to competitive loan programs and pricing. The average balance of our home equity portfolio increased by $68.5 million as a result of slightly lower but consistent loan demand in a strong Hawaii economy. Additionally, utilization rates remained steady on existing home equity lines during the year.</w:t>
      </w:r>
    </w:p>
    <w:p>
      <w:pPr>
        <w:spacing w:after="0" w:line="12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Average balances of our interest-bearing liabilities increased by $605.9 million or 6% in 2019 compared to 2018 primarily due to growth in our savings and time deposits which increased by $599.7 million and $90.4 million, respectively. Average balances in other debt decreased by $99.5 million primarily due to the maturing of FHLB advances.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provision for credit losses (the “Provision”) reflects our internal calculation and judgment of the appropriate amount of the Allowance. We maintain the Allowance at levels appropriate to cover our estimate of probable credit losses as of the end of the reporting period. The Allowance is determined through detailed quarterly analyses of our loan and lease portfolio. The Allowance is based on our loss experience and changes in the economic environment, as well as an ongoing assessment of our credit quality. We recorded a Provision of $16.0 million and $13.4 million in 2019 and 2018, respectively. For further discussion on the Allowance, see the “Corporate Risk Profile – Credit Risk” section in MD&amp;A.</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3 presents the major components of noninterest income for 2019 and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Noninterest Income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rPr>
              <w:t>Table 3</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8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20"/>
                <w:szCs w:val="20"/>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Dollar Change</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 Change</w:t>
            </w:r>
          </w:p>
        </w:tc>
      </w:tr>
      <w:tr>
        <w:trPr>
          <w:trHeight w:val="3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r>
      <w:tr>
        <w:trPr>
          <w:trHeight w:val="25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2019 to 2018</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Trust and Asset Management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44,233</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43,877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356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Mortgage Banking</w:t>
            </w:r>
          </w:p>
        </w:tc>
        <w:tc>
          <w:tcPr>
            <w:tcW w:w="3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13,686</w:t>
            </w:r>
          </w:p>
        </w:tc>
        <w:tc>
          <w:tcPr>
            <w:tcW w:w="5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8,437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5,249</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62</w:t>
            </w:r>
          </w:p>
        </w:tc>
      </w:tr>
      <w:tr>
        <w:trPr>
          <w:trHeight w:val="3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Charges on Deposit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30,074</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28,811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1,263</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3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57,893</w:t>
            </w:r>
          </w:p>
        </w:tc>
        <w:tc>
          <w:tcPr>
            <w:tcW w:w="5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57,482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411</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w:t>
            </w:r>
          </w:p>
        </w:tc>
      </w:tr>
      <w:tr>
        <w:trPr>
          <w:trHeight w:val="3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Gains (Losses),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Annuity and Insurance</w:t>
            </w:r>
          </w:p>
        </w:tc>
        <w:tc>
          <w:tcPr>
            <w:tcW w:w="3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6,934</w:t>
            </w:r>
          </w:p>
        </w:tc>
        <w:tc>
          <w:tcPr>
            <w:tcW w:w="5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1,112</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19</w:t>
            </w:r>
          </w:p>
        </w:tc>
      </w:tr>
      <w:tr>
        <w:trPr>
          <w:trHeight w:val="3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7,015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(184)</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27,489</w:t>
            </w:r>
          </w:p>
        </w:tc>
        <w:tc>
          <w:tcPr>
            <w:tcW w:w="5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21,233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6,256</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29</w:t>
            </w:r>
          </w:p>
        </w:tc>
      </w:tr>
      <w:tr>
        <w:trPr>
          <w:trHeight w:val="33"/>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183,338</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168,923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14,415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Trust and asset management income is comprised of fees earned from the management and administration of trusts and other customer assets. These fees are largely based upon the market value of the assets that we manage and the fee rate charged to customers. Total trust assets under administration were $10.3 billion and $9.4 billion as of December 31, 2019, and December 31, 2018, respectively. Trust and asset management income remained relatively unchanged in 2019 compared to 2018.</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Mortgage banking income is highly influenced by mortgage interest rates, the housing market, the amount of our loan sales, and our valuation of mortgage servicing rights. Mortgage banking income increased by $5.2 million or 62% in 2019 compared to 2018. This increase was primarily due to increased sales and margins on sales of conforming saleable loans from current production.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Service charges on deposit accounts increased by $1.3 million or 4% in 2019 compared to 2018. This increase was primarily due to an increase in overdraft fees.</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Fees, exchange, and other service charges are primarily comprised of debit and credit card income, fees from ATMs, merchant service activity, and other loan fees and special charges. Fees, exchange, and other service charges remained relatively unchanged in 2019 compared to 2018.</w:t>
      </w:r>
    </w:p>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Net gains (losses) on sales of investment securities totaled $(4.0) million and $(3.9) million in 2019 and 2018, respectively. The net loss in 2019 was primarily due to fees paid to the counterparties of our prior Visa Class B share sale transactions. In addition, in September 2019, Visa announced a reduction of the conversion ratio of its Class B shares from 1.6298 to 1.6228 effective September 27, 2019. As a result, the Company recorded a $0.5 million liability in September 2019, which was paid to previous buyers of our Visa Class B shares in October 2019. The net loss in 2018 was primarily due to fees paid to the counterparties of our prior Visa Class B share sale transactions. In addition, in June 2018, Visa announced a reduction of the conversion ratio of its Class B shares from 1.6483 to 1.6298 effective June 28, 2018. As a result, the Company recorded a $1.0 million liability in June 2018, which was paid to previous buyers of our Visa Class B shares in July 2018.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not be sufficient to cover these litigation claims, Visa is entitled to fund additional amounts to the escrow account by further reducing each member bank’s Class B conversion ratio to unrestricted Class A shares. Concurrent with the sale of these Visa Class B shares, we entered into an agreement with the buyer that requires payment to the buyer in the event Visa further reduces the conversion ratio. Based on the existing transfer restriction and the uncertainty of the covered litigation, the remaining 80,214 Visa Class B shares (130,171 Class A equivalent shares) that we own are carried at a zero cost basis as of December 31, 2019. We also contributed to the Bank of Hawaii Foundation 2,800 and 3,600, Visa Class B shares during 2019 and 2018, respectively.</w:t>
      </w:r>
    </w:p>
    <w:p>
      <w:pPr>
        <w:spacing w:after="0" w:line="1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Annuity and insurance income increased by $1.1 million or 19% in 2019 compared to 2018 primarily due to a one-time commission received related to insurance products offered through a third-party administrator.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Bank-owned life insurance decreased by $0.2 million or 3% in 2019 compared to 2018 primarily due to higher death benefits received in 2018.</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Other noninterest income increased by $6.3 million or 29% in 2019 compared to 2018. This increase was primarily due to a $5.7 million increase in fees related to our customer interest rate swap derivatives combined with a $3.6 million increase in net gain on sale of leased assets. These increases were partially offset by a distribution received in the first quarter of 2018 from a low-income housing investment sale totaling $2.8 million.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669"/>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Noninterest Expense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6540" w:type="dxa"/>
            <w:vAlign w:val="bottom"/>
            <w:gridSpan w:val="4"/>
          </w:tcPr>
          <w:p>
            <w:pPr>
              <w:spacing w:after="0"/>
              <w:rPr>
                <w:sz w:val="20"/>
                <w:szCs w:val="20"/>
                <w:color w:val="auto"/>
              </w:rPr>
            </w:pPr>
            <w:r>
              <w:rPr>
                <w:rFonts w:ascii="Arial" w:cs="Arial" w:eastAsia="Arial" w:hAnsi="Arial"/>
                <w:sz w:val="18"/>
                <w:szCs w:val="18"/>
                <w:color w:val="auto"/>
                <w:w w:val="98"/>
              </w:rPr>
              <w:t>Table 4 presents the major components of noninterest expense for 2019 and 2018.</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8"/>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Noninterest Expense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jc w:val="right"/>
              <w:ind w:right="107"/>
              <w:spacing w:after="0"/>
              <w:rPr>
                <w:sz w:val="20"/>
                <w:szCs w:val="20"/>
                <w:color w:val="auto"/>
              </w:rPr>
            </w:pPr>
            <w:r>
              <w:rPr>
                <w:rFonts w:ascii="Arial" w:cs="Arial" w:eastAsia="Arial" w:hAnsi="Arial"/>
                <w:sz w:val="18"/>
                <w:szCs w:val="18"/>
                <w:b w:val="1"/>
                <w:bCs w:val="1"/>
                <w:color w:val="auto"/>
              </w:rPr>
              <w:t>Table 4</w:t>
            </w:r>
          </w:p>
        </w:tc>
      </w:tr>
      <w:tr>
        <w:trPr>
          <w:trHeight w:val="27"/>
        </w:trPr>
        <w:tc>
          <w:tcPr>
            <w:tcW w:w="12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287"/>
              <w:spacing w:after="0"/>
              <w:rPr>
                <w:sz w:val="20"/>
                <w:szCs w:val="20"/>
                <w:color w:val="auto"/>
              </w:rPr>
            </w:pPr>
            <w:r>
              <w:rPr>
                <w:rFonts w:ascii="Arial" w:cs="Arial" w:eastAsia="Arial" w:hAnsi="Arial"/>
                <w:sz w:val="16"/>
                <w:szCs w:val="16"/>
                <w:b w:val="1"/>
                <w:bCs w:val="1"/>
                <w:color w:val="auto"/>
                <w:w w:val="97"/>
              </w:rPr>
              <w:t>Dollar Change</w:t>
            </w:r>
          </w:p>
        </w:tc>
        <w:tc>
          <w:tcPr>
            <w:tcW w:w="1520" w:type="dxa"/>
            <w:vAlign w:val="bottom"/>
          </w:tcPr>
          <w:p>
            <w:pPr>
              <w:jc w:val="right"/>
              <w:ind w:right="147"/>
              <w:spacing w:after="0"/>
              <w:rPr>
                <w:sz w:val="20"/>
                <w:szCs w:val="20"/>
                <w:color w:val="auto"/>
              </w:rPr>
            </w:pPr>
            <w:r>
              <w:rPr>
                <w:rFonts w:ascii="Arial" w:cs="Arial" w:eastAsia="Arial" w:hAnsi="Arial"/>
                <w:sz w:val="16"/>
                <w:szCs w:val="16"/>
                <w:b w:val="1"/>
                <w:bCs w:val="1"/>
                <w:color w:val="auto"/>
              </w:rPr>
              <w:t>Percent Change</w:t>
            </w:r>
          </w:p>
        </w:tc>
      </w:tr>
      <w:tr>
        <w:trPr>
          <w:trHeight w:val="33"/>
        </w:trPr>
        <w:tc>
          <w:tcPr>
            <w:tcW w:w="1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r>
      <w:tr>
        <w:trPr>
          <w:trHeight w:val="257"/>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2019</w:t>
            </w: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2"/>
          </w:tcPr>
          <w:p>
            <w:pPr>
              <w:jc w:val="right"/>
              <w:ind w:right="1047"/>
              <w:spacing w:after="0"/>
              <w:rPr>
                <w:sz w:val="20"/>
                <w:szCs w:val="20"/>
                <w:color w:val="auto"/>
              </w:rPr>
            </w:pPr>
            <w:r>
              <w:rPr>
                <w:rFonts w:ascii="Arial" w:cs="Arial" w:eastAsia="Arial" w:hAnsi="Arial"/>
                <w:sz w:val="16"/>
                <w:szCs w:val="16"/>
                <w:b w:val="1"/>
                <w:bCs w:val="1"/>
                <w:color w:val="auto"/>
              </w:rPr>
              <w:t>2019 to 2018</w:t>
            </w: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Salaries and Benefits: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5040" w:type="dxa"/>
            <w:vAlign w:val="bottom"/>
            <w:gridSpan w:val="2"/>
          </w:tcPr>
          <w:p>
            <w:pPr>
              <w:ind w:left="280"/>
              <w:spacing w:after="0"/>
              <w:rPr>
                <w:sz w:val="20"/>
                <w:szCs w:val="20"/>
                <w:color w:val="auto"/>
              </w:rPr>
            </w:pPr>
            <w:r>
              <w:rPr>
                <w:rFonts w:ascii="Arial" w:cs="Arial" w:eastAsia="Arial" w:hAnsi="Arial"/>
                <w:sz w:val="14"/>
                <w:szCs w:val="14"/>
                <w:color w:val="auto"/>
              </w:rPr>
              <w:t>Salaries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7"/>
              <w:spacing w:after="0"/>
              <w:rPr>
                <w:sz w:val="20"/>
                <w:szCs w:val="20"/>
                <w:color w:val="auto"/>
              </w:rPr>
            </w:pPr>
            <w:r>
              <w:rPr>
                <w:rFonts w:ascii="Arial" w:cs="Arial" w:eastAsia="Arial" w:hAnsi="Arial"/>
                <w:sz w:val="14"/>
                <w:szCs w:val="14"/>
                <w:color w:val="auto"/>
              </w:rPr>
              <w:t>132,237</w:t>
            </w:r>
          </w:p>
        </w:tc>
        <w:tc>
          <w:tcPr>
            <w:tcW w:w="9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w w:val="90"/>
              </w:rPr>
              <w:t>132,884</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27"/>
              <w:spacing w:after="0"/>
              <w:rPr>
                <w:sz w:val="20"/>
                <w:szCs w:val="20"/>
                <w:color w:val="auto"/>
              </w:rPr>
            </w:pPr>
            <w:r>
              <w:rPr>
                <w:rFonts w:ascii="Arial" w:cs="Arial" w:eastAsia="Arial" w:hAnsi="Arial"/>
                <w:sz w:val="14"/>
                <w:szCs w:val="14"/>
                <w:color w:val="auto"/>
              </w:rPr>
              <w:t>(647)</w:t>
            </w:r>
          </w:p>
        </w:tc>
        <w:tc>
          <w:tcPr>
            <w:tcW w:w="15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Incentive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21,913</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20,687</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1,226</w:t>
            </w:r>
          </w:p>
        </w:tc>
        <w:tc>
          <w:tcPr>
            <w:tcW w:w="15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6</w:t>
            </w:r>
          </w:p>
        </w:tc>
      </w:tr>
      <w:tr>
        <w:trPr>
          <w:trHeight w:val="264"/>
        </w:trPr>
        <w:tc>
          <w:tcPr>
            <w:tcW w:w="5040" w:type="dxa"/>
            <w:vAlign w:val="bottom"/>
            <w:gridSpan w:val="2"/>
          </w:tcPr>
          <w:p>
            <w:pPr>
              <w:ind w:left="28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22"/>
                <w:szCs w:val="22"/>
                <w:color w:val="auto"/>
              </w:rPr>
            </w:pPr>
          </w:p>
        </w:tc>
        <w:tc>
          <w:tcPr>
            <w:tcW w:w="1140" w:type="dxa"/>
            <w:vAlign w:val="bottom"/>
          </w:tcPr>
          <w:p>
            <w:pPr>
              <w:jc w:val="right"/>
              <w:ind w:right="67"/>
              <w:spacing w:after="0"/>
              <w:rPr>
                <w:sz w:val="20"/>
                <w:szCs w:val="20"/>
                <w:color w:val="auto"/>
              </w:rPr>
            </w:pPr>
            <w:r>
              <w:rPr>
                <w:rFonts w:ascii="Arial" w:cs="Arial" w:eastAsia="Arial" w:hAnsi="Arial"/>
                <w:sz w:val="14"/>
                <w:szCs w:val="14"/>
                <w:color w:val="auto"/>
              </w:rPr>
              <w:t>8,573</w:t>
            </w:r>
          </w:p>
        </w:tc>
        <w:tc>
          <w:tcPr>
            <w:tcW w:w="9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8,074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67"/>
              <w:spacing w:after="0"/>
              <w:rPr>
                <w:sz w:val="20"/>
                <w:szCs w:val="20"/>
                <w:color w:val="auto"/>
              </w:rPr>
            </w:pPr>
            <w:r>
              <w:rPr>
                <w:rFonts w:ascii="Arial" w:cs="Arial" w:eastAsia="Arial" w:hAnsi="Arial"/>
                <w:sz w:val="14"/>
                <w:szCs w:val="14"/>
                <w:color w:val="auto"/>
              </w:rPr>
              <w:t>499</w:t>
            </w:r>
          </w:p>
        </w:tc>
        <w:tc>
          <w:tcPr>
            <w:tcW w:w="1520" w:type="dxa"/>
            <w:vAlign w:val="bottom"/>
          </w:tcPr>
          <w:p>
            <w:pPr>
              <w:jc w:val="right"/>
              <w:ind w:right="107"/>
              <w:spacing w:after="0"/>
              <w:rPr>
                <w:sz w:val="20"/>
                <w:szCs w:val="20"/>
                <w:color w:val="auto"/>
              </w:rPr>
            </w:pPr>
            <w:r>
              <w:rPr>
                <w:rFonts w:ascii="Arial" w:cs="Arial" w:eastAsia="Arial" w:hAnsi="Arial"/>
                <w:sz w:val="14"/>
                <w:szCs w:val="14"/>
                <w:color w:val="auto"/>
              </w:rPr>
              <w:t>6</w:t>
            </w:r>
          </w:p>
        </w:tc>
      </w:tr>
      <w:tr>
        <w:trPr>
          <w:trHeight w:val="276"/>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Commission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6,474</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4,418</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2,056</w:t>
            </w:r>
          </w:p>
        </w:tc>
        <w:tc>
          <w:tcPr>
            <w:tcW w:w="15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47</w:t>
            </w:r>
          </w:p>
        </w:tc>
      </w:tr>
      <w:tr>
        <w:trPr>
          <w:trHeight w:val="264"/>
        </w:trPr>
        <w:tc>
          <w:tcPr>
            <w:tcW w:w="5040" w:type="dxa"/>
            <w:vAlign w:val="bottom"/>
            <w:gridSpan w:val="2"/>
          </w:tcPr>
          <w:p>
            <w:pPr>
              <w:ind w:left="280"/>
              <w:spacing w:after="0"/>
              <w:rPr>
                <w:sz w:val="20"/>
                <w:szCs w:val="20"/>
                <w:color w:val="auto"/>
              </w:rPr>
            </w:pPr>
            <w:r>
              <w:rPr>
                <w:rFonts w:ascii="Arial" w:cs="Arial" w:eastAsia="Arial" w:hAnsi="Arial"/>
                <w:sz w:val="14"/>
                <w:szCs w:val="14"/>
                <w:color w:val="auto"/>
              </w:rPr>
              <w:t>Retirement and Other Benefits</w:t>
            </w:r>
          </w:p>
        </w:tc>
        <w:tc>
          <w:tcPr>
            <w:tcW w:w="360" w:type="dxa"/>
            <w:vAlign w:val="bottom"/>
          </w:tcPr>
          <w:p>
            <w:pPr>
              <w:spacing w:after="0"/>
              <w:rPr>
                <w:sz w:val="22"/>
                <w:szCs w:val="22"/>
                <w:color w:val="auto"/>
              </w:rPr>
            </w:pPr>
          </w:p>
        </w:tc>
        <w:tc>
          <w:tcPr>
            <w:tcW w:w="1140" w:type="dxa"/>
            <w:vAlign w:val="bottom"/>
          </w:tcPr>
          <w:p>
            <w:pPr>
              <w:jc w:val="right"/>
              <w:ind w:right="67"/>
              <w:spacing w:after="0"/>
              <w:rPr>
                <w:sz w:val="20"/>
                <w:szCs w:val="20"/>
                <w:color w:val="auto"/>
              </w:rPr>
            </w:pPr>
            <w:r>
              <w:rPr>
                <w:rFonts w:ascii="Arial" w:cs="Arial" w:eastAsia="Arial" w:hAnsi="Arial"/>
                <w:sz w:val="14"/>
                <w:szCs w:val="14"/>
                <w:color w:val="auto"/>
              </w:rPr>
              <w:t>18,151</w:t>
            </w:r>
          </w:p>
        </w:tc>
        <w:tc>
          <w:tcPr>
            <w:tcW w:w="9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17,313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67"/>
              <w:spacing w:after="0"/>
              <w:rPr>
                <w:sz w:val="20"/>
                <w:szCs w:val="20"/>
                <w:color w:val="auto"/>
              </w:rPr>
            </w:pPr>
            <w:r>
              <w:rPr>
                <w:rFonts w:ascii="Arial" w:cs="Arial" w:eastAsia="Arial" w:hAnsi="Arial"/>
                <w:sz w:val="14"/>
                <w:szCs w:val="14"/>
                <w:color w:val="auto"/>
              </w:rPr>
              <w:t>838</w:t>
            </w:r>
          </w:p>
        </w:tc>
        <w:tc>
          <w:tcPr>
            <w:tcW w:w="1520" w:type="dxa"/>
            <w:vAlign w:val="bottom"/>
          </w:tcPr>
          <w:p>
            <w:pPr>
              <w:jc w:val="right"/>
              <w:ind w:right="107"/>
              <w:spacing w:after="0"/>
              <w:rPr>
                <w:sz w:val="20"/>
                <w:szCs w:val="20"/>
                <w:color w:val="auto"/>
              </w:rPr>
            </w:pPr>
            <w:r>
              <w:rPr>
                <w:rFonts w:ascii="Arial" w:cs="Arial" w:eastAsia="Arial" w:hAnsi="Arial"/>
                <w:sz w:val="14"/>
                <w:szCs w:val="14"/>
                <w:color w:val="auto"/>
              </w:rPr>
              <w:t>5</w:t>
            </w:r>
          </w:p>
        </w:tc>
      </w:tr>
      <w:tr>
        <w:trPr>
          <w:trHeight w:val="276"/>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Payroll Taxes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11,795</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11,389</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406</w:t>
            </w:r>
          </w:p>
        </w:tc>
        <w:tc>
          <w:tcPr>
            <w:tcW w:w="15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4</w:t>
            </w:r>
          </w:p>
        </w:tc>
      </w:tr>
      <w:tr>
        <w:trPr>
          <w:trHeight w:val="264"/>
        </w:trPr>
        <w:tc>
          <w:tcPr>
            <w:tcW w:w="5040" w:type="dxa"/>
            <w:vAlign w:val="bottom"/>
            <w:gridSpan w:val="2"/>
          </w:tcPr>
          <w:p>
            <w:pPr>
              <w:ind w:left="280"/>
              <w:spacing w:after="0"/>
              <w:rPr>
                <w:sz w:val="20"/>
                <w:szCs w:val="20"/>
                <w:color w:val="auto"/>
              </w:rPr>
            </w:pPr>
            <w:r>
              <w:rPr>
                <w:rFonts w:ascii="Arial" w:cs="Arial" w:eastAsia="Arial" w:hAnsi="Arial"/>
                <w:sz w:val="14"/>
                <w:szCs w:val="14"/>
                <w:color w:val="auto"/>
              </w:rPr>
              <w:t>Medical, Dental, and Life Insurance</w:t>
            </w:r>
          </w:p>
        </w:tc>
        <w:tc>
          <w:tcPr>
            <w:tcW w:w="360" w:type="dxa"/>
            <w:vAlign w:val="bottom"/>
          </w:tcPr>
          <w:p>
            <w:pPr>
              <w:spacing w:after="0"/>
              <w:rPr>
                <w:sz w:val="22"/>
                <w:szCs w:val="22"/>
                <w:color w:val="auto"/>
              </w:rPr>
            </w:pPr>
          </w:p>
        </w:tc>
        <w:tc>
          <w:tcPr>
            <w:tcW w:w="1140" w:type="dxa"/>
            <w:vAlign w:val="bottom"/>
          </w:tcPr>
          <w:p>
            <w:pPr>
              <w:jc w:val="right"/>
              <w:ind w:right="67"/>
              <w:spacing w:after="0"/>
              <w:rPr>
                <w:sz w:val="20"/>
                <w:szCs w:val="20"/>
                <w:color w:val="auto"/>
              </w:rPr>
            </w:pPr>
            <w:r>
              <w:rPr>
                <w:rFonts w:ascii="Arial" w:cs="Arial" w:eastAsia="Arial" w:hAnsi="Arial"/>
                <w:sz w:val="14"/>
                <w:szCs w:val="14"/>
                <w:color w:val="auto"/>
              </w:rPr>
              <w:t>15,202</w:t>
            </w:r>
          </w:p>
        </w:tc>
        <w:tc>
          <w:tcPr>
            <w:tcW w:w="9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16,134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27"/>
              <w:spacing w:after="0"/>
              <w:rPr>
                <w:sz w:val="20"/>
                <w:szCs w:val="20"/>
                <w:color w:val="auto"/>
              </w:rPr>
            </w:pPr>
            <w:r>
              <w:rPr>
                <w:rFonts w:ascii="Arial" w:cs="Arial" w:eastAsia="Arial" w:hAnsi="Arial"/>
                <w:sz w:val="14"/>
                <w:szCs w:val="14"/>
                <w:color w:val="auto"/>
              </w:rPr>
              <w:t>(932)</w:t>
            </w:r>
          </w:p>
        </w:tc>
        <w:tc>
          <w:tcPr>
            <w:tcW w:w="1520" w:type="dxa"/>
            <w:vAlign w:val="bottom"/>
          </w:tcPr>
          <w:p>
            <w:pPr>
              <w:jc w:val="right"/>
              <w:ind w:right="67"/>
              <w:spacing w:after="0"/>
              <w:rPr>
                <w:sz w:val="20"/>
                <w:szCs w:val="20"/>
                <w:color w:val="auto"/>
              </w:rPr>
            </w:pPr>
            <w:r>
              <w:rPr>
                <w:rFonts w:ascii="Arial" w:cs="Arial" w:eastAsia="Arial" w:hAnsi="Arial"/>
                <w:sz w:val="14"/>
                <w:szCs w:val="14"/>
                <w:color w:val="auto"/>
              </w:rPr>
              <w:t>(6)</w:t>
            </w:r>
          </w:p>
        </w:tc>
      </w:tr>
      <w:tr>
        <w:trPr>
          <w:trHeight w:val="270"/>
        </w:trPr>
        <w:tc>
          <w:tcPr>
            <w:tcW w:w="504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color w:val="auto"/>
              </w:rPr>
              <w:t>Separation Expense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1,761</w:t>
            </w:r>
          </w:p>
        </w:tc>
        <w:tc>
          <w:tcPr>
            <w:tcW w:w="9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2,309</w:t>
            </w:r>
          </w:p>
        </w:tc>
        <w:tc>
          <w:tcPr>
            <w:tcW w:w="2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(548)</w:t>
            </w:r>
          </w:p>
        </w:tc>
        <w:tc>
          <w:tcPr>
            <w:tcW w:w="15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(24)</w:t>
            </w:r>
          </w:p>
        </w:tc>
      </w:tr>
      <w:tr>
        <w:trPr>
          <w:trHeight w:val="264"/>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Total Salaries and Benefits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216,106</w:t>
            </w: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0"/>
              </w:rPr>
              <w:t>213,208</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color w:val="auto"/>
              </w:rPr>
              <w:t>2,898</w:t>
            </w:r>
          </w:p>
        </w:tc>
        <w:tc>
          <w:tcPr>
            <w:tcW w:w="15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w:t>
            </w: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Occupancy</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33,800</w:t>
            </w: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34,742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(942)</w:t>
            </w:r>
          </w:p>
        </w:tc>
        <w:tc>
          <w:tcPr>
            <w:tcW w:w="15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Net Equipment</w:t>
            </w:r>
          </w:p>
        </w:tc>
        <w:tc>
          <w:tcPr>
            <w:tcW w:w="360" w:type="dxa"/>
            <w:vAlign w:val="bottom"/>
          </w:tcPr>
          <w:p>
            <w:pPr>
              <w:spacing w:after="0"/>
              <w:rPr>
                <w:sz w:val="22"/>
                <w:szCs w:val="22"/>
                <w:color w:val="auto"/>
              </w:rPr>
            </w:pPr>
          </w:p>
        </w:tc>
        <w:tc>
          <w:tcPr>
            <w:tcW w:w="1140" w:type="dxa"/>
            <w:vAlign w:val="bottom"/>
          </w:tcPr>
          <w:p>
            <w:pPr>
              <w:jc w:val="right"/>
              <w:ind w:right="67"/>
              <w:spacing w:after="0"/>
              <w:rPr>
                <w:sz w:val="20"/>
                <w:szCs w:val="20"/>
                <w:color w:val="auto"/>
              </w:rPr>
            </w:pPr>
            <w:r>
              <w:rPr>
                <w:rFonts w:ascii="Arial" w:cs="Arial" w:eastAsia="Arial" w:hAnsi="Arial"/>
                <w:sz w:val="14"/>
                <w:szCs w:val="14"/>
                <w:color w:val="auto"/>
              </w:rPr>
              <w:t>29,295</w:t>
            </w:r>
          </w:p>
        </w:tc>
        <w:tc>
          <w:tcPr>
            <w:tcW w:w="9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23,852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67"/>
              <w:spacing w:after="0"/>
              <w:rPr>
                <w:sz w:val="20"/>
                <w:szCs w:val="20"/>
                <w:color w:val="auto"/>
              </w:rPr>
            </w:pPr>
            <w:r>
              <w:rPr>
                <w:rFonts w:ascii="Arial" w:cs="Arial" w:eastAsia="Arial" w:hAnsi="Arial"/>
                <w:sz w:val="14"/>
                <w:szCs w:val="14"/>
                <w:color w:val="auto"/>
              </w:rPr>
              <w:t>5,443</w:t>
            </w:r>
          </w:p>
        </w:tc>
        <w:tc>
          <w:tcPr>
            <w:tcW w:w="1520" w:type="dxa"/>
            <w:vAlign w:val="bottom"/>
          </w:tcPr>
          <w:p>
            <w:pPr>
              <w:jc w:val="right"/>
              <w:ind w:right="107"/>
              <w:spacing w:after="0"/>
              <w:rPr>
                <w:sz w:val="20"/>
                <w:szCs w:val="20"/>
                <w:color w:val="auto"/>
              </w:rPr>
            </w:pPr>
            <w:r>
              <w:rPr>
                <w:rFonts w:ascii="Arial" w:cs="Arial" w:eastAsia="Arial" w:hAnsi="Arial"/>
                <w:sz w:val="14"/>
                <w:szCs w:val="14"/>
                <w:color w:val="auto"/>
              </w:rPr>
              <w:t>23</w:t>
            </w: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Data Processing</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18,757</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17,846</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911</w:t>
            </w:r>
          </w:p>
        </w:tc>
        <w:tc>
          <w:tcPr>
            <w:tcW w:w="15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Professional Fees</w:t>
            </w:r>
          </w:p>
        </w:tc>
        <w:tc>
          <w:tcPr>
            <w:tcW w:w="360" w:type="dxa"/>
            <w:vAlign w:val="bottom"/>
          </w:tcPr>
          <w:p>
            <w:pPr>
              <w:spacing w:after="0"/>
              <w:rPr>
                <w:sz w:val="22"/>
                <w:szCs w:val="22"/>
                <w:color w:val="auto"/>
              </w:rPr>
            </w:pPr>
          </w:p>
        </w:tc>
        <w:tc>
          <w:tcPr>
            <w:tcW w:w="1140" w:type="dxa"/>
            <w:vAlign w:val="bottom"/>
          </w:tcPr>
          <w:p>
            <w:pPr>
              <w:jc w:val="right"/>
              <w:ind w:right="67"/>
              <w:spacing w:after="0"/>
              <w:rPr>
                <w:sz w:val="20"/>
                <w:szCs w:val="20"/>
                <w:color w:val="auto"/>
              </w:rPr>
            </w:pPr>
            <w:r>
              <w:rPr>
                <w:rFonts w:ascii="Arial" w:cs="Arial" w:eastAsia="Arial" w:hAnsi="Arial"/>
                <w:sz w:val="14"/>
                <w:szCs w:val="14"/>
                <w:color w:val="auto"/>
              </w:rPr>
              <w:t>10,071</w:t>
            </w:r>
          </w:p>
        </w:tc>
        <w:tc>
          <w:tcPr>
            <w:tcW w:w="9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9,992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67"/>
              <w:spacing w:after="0"/>
              <w:rPr>
                <w:sz w:val="20"/>
                <w:szCs w:val="20"/>
                <w:color w:val="auto"/>
              </w:rPr>
            </w:pPr>
            <w:r>
              <w:rPr>
                <w:rFonts w:ascii="Arial" w:cs="Arial" w:eastAsia="Arial" w:hAnsi="Arial"/>
                <w:sz w:val="14"/>
                <w:szCs w:val="14"/>
                <w:color w:val="auto"/>
              </w:rPr>
              <w:t>79</w:t>
            </w:r>
          </w:p>
        </w:tc>
        <w:tc>
          <w:tcPr>
            <w:tcW w:w="1520" w:type="dxa"/>
            <w:vAlign w:val="bottom"/>
          </w:tcPr>
          <w:p>
            <w:pPr>
              <w:jc w:val="right"/>
              <w:ind w:right="107"/>
              <w:spacing w:after="0"/>
              <w:rPr>
                <w:sz w:val="20"/>
                <w:szCs w:val="20"/>
                <w:color w:val="auto"/>
              </w:rPr>
            </w:pPr>
            <w:r>
              <w:rPr>
                <w:rFonts w:ascii="Arial" w:cs="Arial" w:eastAsia="Arial" w:hAnsi="Arial"/>
                <w:sz w:val="14"/>
                <w:szCs w:val="14"/>
                <w:color w:val="auto"/>
              </w:rPr>
              <w:t>1</w:t>
            </w:r>
          </w:p>
        </w:tc>
      </w:tr>
      <w:tr>
        <w:trPr>
          <w:trHeight w:val="276"/>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FDIC Insurance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5,192</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7,732</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(2,540)</w:t>
            </w:r>
          </w:p>
        </w:tc>
        <w:tc>
          <w:tcPr>
            <w:tcW w:w="15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(33)</w:t>
            </w: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Other Expense:</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Delivery and Postage Services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7,937</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8,535</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(598)</w:t>
            </w:r>
          </w:p>
        </w:tc>
        <w:tc>
          <w:tcPr>
            <w:tcW w:w="15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w:t>
            </w:r>
          </w:p>
        </w:tc>
      </w:tr>
      <w:tr>
        <w:trPr>
          <w:trHeight w:val="264"/>
        </w:trPr>
        <w:tc>
          <w:tcPr>
            <w:tcW w:w="5040" w:type="dxa"/>
            <w:vAlign w:val="bottom"/>
            <w:gridSpan w:val="2"/>
          </w:tcPr>
          <w:p>
            <w:pPr>
              <w:ind w:left="280"/>
              <w:spacing w:after="0"/>
              <w:rPr>
                <w:sz w:val="20"/>
                <w:szCs w:val="20"/>
                <w:color w:val="auto"/>
              </w:rPr>
            </w:pPr>
            <w:r>
              <w:rPr>
                <w:rFonts w:ascii="Arial" w:cs="Arial" w:eastAsia="Arial" w:hAnsi="Arial"/>
                <w:sz w:val="14"/>
                <w:szCs w:val="14"/>
                <w:color w:val="auto"/>
              </w:rPr>
              <w:t>Mileage Program Travel</w:t>
            </w:r>
          </w:p>
        </w:tc>
        <w:tc>
          <w:tcPr>
            <w:tcW w:w="360" w:type="dxa"/>
            <w:vAlign w:val="bottom"/>
          </w:tcPr>
          <w:p>
            <w:pPr>
              <w:spacing w:after="0"/>
              <w:rPr>
                <w:sz w:val="22"/>
                <w:szCs w:val="22"/>
                <w:color w:val="auto"/>
              </w:rPr>
            </w:pPr>
          </w:p>
        </w:tc>
        <w:tc>
          <w:tcPr>
            <w:tcW w:w="1140" w:type="dxa"/>
            <w:vAlign w:val="bottom"/>
          </w:tcPr>
          <w:p>
            <w:pPr>
              <w:jc w:val="right"/>
              <w:ind w:right="67"/>
              <w:spacing w:after="0"/>
              <w:rPr>
                <w:sz w:val="20"/>
                <w:szCs w:val="20"/>
                <w:color w:val="auto"/>
              </w:rPr>
            </w:pPr>
            <w:r>
              <w:rPr>
                <w:rFonts w:ascii="Arial" w:cs="Arial" w:eastAsia="Arial" w:hAnsi="Arial"/>
                <w:sz w:val="14"/>
                <w:szCs w:val="14"/>
                <w:color w:val="auto"/>
              </w:rPr>
              <w:t>4,761</w:t>
            </w:r>
          </w:p>
        </w:tc>
        <w:tc>
          <w:tcPr>
            <w:tcW w:w="9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4,697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67"/>
              <w:spacing w:after="0"/>
              <w:rPr>
                <w:sz w:val="20"/>
                <w:szCs w:val="20"/>
                <w:color w:val="auto"/>
              </w:rPr>
            </w:pPr>
            <w:r>
              <w:rPr>
                <w:rFonts w:ascii="Arial" w:cs="Arial" w:eastAsia="Arial" w:hAnsi="Arial"/>
                <w:sz w:val="14"/>
                <w:szCs w:val="14"/>
                <w:color w:val="auto"/>
              </w:rPr>
              <w:t>64</w:t>
            </w:r>
          </w:p>
        </w:tc>
        <w:tc>
          <w:tcPr>
            <w:tcW w:w="1520" w:type="dxa"/>
            <w:vAlign w:val="bottom"/>
          </w:tcPr>
          <w:p>
            <w:pPr>
              <w:jc w:val="right"/>
              <w:ind w:right="107"/>
              <w:spacing w:after="0"/>
              <w:rPr>
                <w:sz w:val="20"/>
                <w:szCs w:val="20"/>
                <w:color w:val="auto"/>
              </w:rPr>
            </w:pPr>
            <w:r>
              <w:rPr>
                <w:rFonts w:ascii="Arial" w:cs="Arial" w:eastAsia="Arial" w:hAnsi="Arial"/>
                <w:sz w:val="14"/>
                <w:szCs w:val="14"/>
                <w:color w:val="auto"/>
              </w:rPr>
              <w:t>1</w:t>
            </w:r>
          </w:p>
        </w:tc>
      </w:tr>
      <w:tr>
        <w:trPr>
          <w:trHeight w:val="276"/>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Merchant Transaction and Card Processing Fees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5,719</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5,247</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472</w:t>
            </w:r>
          </w:p>
        </w:tc>
        <w:tc>
          <w:tcPr>
            <w:tcW w:w="15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9</w:t>
            </w:r>
          </w:p>
        </w:tc>
      </w:tr>
      <w:tr>
        <w:trPr>
          <w:trHeight w:val="264"/>
        </w:trPr>
        <w:tc>
          <w:tcPr>
            <w:tcW w:w="5040" w:type="dxa"/>
            <w:vAlign w:val="bottom"/>
            <w:gridSpan w:val="2"/>
          </w:tcPr>
          <w:p>
            <w:pPr>
              <w:ind w:left="280"/>
              <w:spacing w:after="0"/>
              <w:rPr>
                <w:sz w:val="20"/>
                <w:szCs w:val="20"/>
                <w:color w:val="auto"/>
              </w:rPr>
            </w:pPr>
            <w:r>
              <w:rPr>
                <w:rFonts w:ascii="Arial" w:cs="Arial" w:eastAsia="Arial" w:hAnsi="Arial"/>
                <w:sz w:val="14"/>
                <w:szCs w:val="14"/>
                <w:color w:val="auto"/>
              </w:rPr>
              <w:t>Advertising</w:t>
            </w:r>
          </w:p>
        </w:tc>
        <w:tc>
          <w:tcPr>
            <w:tcW w:w="360" w:type="dxa"/>
            <w:vAlign w:val="bottom"/>
          </w:tcPr>
          <w:p>
            <w:pPr>
              <w:spacing w:after="0"/>
              <w:rPr>
                <w:sz w:val="22"/>
                <w:szCs w:val="22"/>
                <w:color w:val="auto"/>
              </w:rPr>
            </w:pPr>
          </w:p>
        </w:tc>
        <w:tc>
          <w:tcPr>
            <w:tcW w:w="1140" w:type="dxa"/>
            <w:vAlign w:val="bottom"/>
          </w:tcPr>
          <w:p>
            <w:pPr>
              <w:jc w:val="right"/>
              <w:ind w:right="67"/>
              <w:spacing w:after="0"/>
              <w:rPr>
                <w:sz w:val="20"/>
                <w:szCs w:val="20"/>
                <w:color w:val="auto"/>
              </w:rPr>
            </w:pPr>
            <w:r>
              <w:rPr>
                <w:rFonts w:ascii="Arial" w:cs="Arial" w:eastAsia="Arial" w:hAnsi="Arial"/>
                <w:sz w:val="14"/>
                <w:szCs w:val="14"/>
                <w:color w:val="auto"/>
              </w:rPr>
              <w:t>6,126</w:t>
            </w:r>
          </w:p>
        </w:tc>
        <w:tc>
          <w:tcPr>
            <w:tcW w:w="9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5,987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67"/>
              <w:spacing w:after="0"/>
              <w:rPr>
                <w:sz w:val="20"/>
                <w:szCs w:val="20"/>
                <w:color w:val="auto"/>
              </w:rPr>
            </w:pPr>
            <w:r>
              <w:rPr>
                <w:rFonts w:ascii="Arial" w:cs="Arial" w:eastAsia="Arial" w:hAnsi="Arial"/>
                <w:sz w:val="14"/>
                <w:szCs w:val="14"/>
                <w:color w:val="auto"/>
              </w:rPr>
              <w:t>139</w:t>
            </w:r>
          </w:p>
        </w:tc>
        <w:tc>
          <w:tcPr>
            <w:tcW w:w="1520" w:type="dxa"/>
            <w:vAlign w:val="bottom"/>
          </w:tcPr>
          <w:p>
            <w:pPr>
              <w:jc w:val="right"/>
              <w:ind w:right="107"/>
              <w:spacing w:after="0"/>
              <w:rPr>
                <w:sz w:val="20"/>
                <w:szCs w:val="20"/>
                <w:color w:val="auto"/>
              </w:rPr>
            </w:pPr>
            <w:r>
              <w:rPr>
                <w:rFonts w:ascii="Arial" w:cs="Arial" w:eastAsia="Arial" w:hAnsi="Arial"/>
                <w:sz w:val="14"/>
                <w:szCs w:val="14"/>
                <w:color w:val="auto"/>
              </w:rPr>
              <w:t>2</w:t>
            </w:r>
          </w:p>
        </w:tc>
      </w:tr>
      <w:tr>
        <w:trPr>
          <w:trHeight w:val="276"/>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Amortization - Solar Energy Partnership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3,760</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3,665</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95</w:t>
            </w:r>
          </w:p>
        </w:tc>
        <w:tc>
          <w:tcPr>
            <w:tcW w:w="15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w:t>
            </w:r>
          </w:p>
        </w:tc>
      </w:tr>
      <w:tr>
        <w:trPr>
          <w:trHeight w:val="264"/>
        </w:trPr>
        <w:tc>
          <w:tcPr>
            <w:tcW w:w="5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37,703</w:t>
            </w: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36,121</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color w:val="auto"/>
              </w:rPr>
              <w:t>1,582</w:t>
            </w:r>
          </w:p>
        </w:tc>
        <w:tc>
          <w:tcPr>
            <w:tcW w:w="15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4</w:t>
            </w:r>
          </w:p>
        </w:tc>
      </w:tr>
      <w:tr>
        <w:trPr>
          <w:trHeight w:val="264"/>
        </w:trPr>
        <w:tc>
          <w:tcPr>
            <w:tcW w:w="50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Other Expense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66,006</w:t>
            </w:r>
          </w:p>
        </w:tc>
        <w:tc>
          <w:tcPr>
            <w:tcW w:w="9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64,252</w:t>
            </w: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4"/>
                <w:szCs w:val="14"/>
                <w:color w:val="auto"/>
              </w:rPr>
              <w:t>1,754</w:t>
            </w:r>
          </w:p>
        </w:tc>
        <w:tc>
          <w:tcPr>
            <w:tcW w:w="15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3</w:t>
            </w:r>
          </w:p>
        </w:tc>
      </w:tr>
      <w:tr>
        <w:trPr>
          <w:trHeight w:val="264"/>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Noninterest Expense</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379,227</w:t>
            </w:r>
          </w:p>
        </w:tc>
        <w:tc>
          <w:tcPr>
            <w:tcW w:w="9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0"/>
              </w:rPr>
              <w:t>371,624</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color w:val="auto"/>
              </w:rPr>
              <w:t>7,603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Total salaries and benefits increased by $2.9 million or 1% in 2019 compared to 2018 primarily due to a $2.1 million increase in commission expense primarily due to an increase in loan origination and refinancing activity coupled with a $1.2 million increase in incentive compensation. Retirement and other benefits increased by $0.8 million due to higher contributions to our Bank of Hawaii Retirement Savings Plan. These increases were partially offset by a $0.9 million decrease in medical, dental, and life insurance primarily due to lower expenses related to lower medical insurance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occupancy expense decreased by $0.9 million or 3% in 2019 compared to 2018 primarily due to a decrease in net rental expense.</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Net equipment expense increased by $5.4 million or 23% in 2019 compared to 2018 primarily due to a $2.5 million increase in depreciation expense and a $1.9 million increase in software license fees and maintenance. In addition, equipment maintenance increased by $0.7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Data processing expense increased by $0.9 million or 5% in 2019 compared to 2018 due to ongoing information technology projects.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FDIC insurance decreased by $2.5 million or 33% in 2019 compared to 2018 due to the end of an FDIC surcharge in September 2018 and a decrease in FDIC assessment rates.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Other noninterest expense increased by $1.8 million or 3% in 2019 compared to 2018 due to a $3.3 million increase in legal settlements. Insurance expense increased by $1.1 million primarily due to a reserve increase in the fourth quarter of 2019. These increases were partially offset by a $2.8 million decrease in credit card expense due to the completed sale of our MyBankoh Rewards Credit Card portfolio on November 1, 2018.</w:t>
      </w:r>
    </w:p>
    <w:p>
      <w:pPr>
        <w:sectPr>
          <w:pgSz w:w="11900" w:h="16838" w:orient="portrait"/>
          <w:cols w:equalWidth="0" w:num="1">
            <w:col w:w="11420"/>
          </w:cols>
          <w:pgMar w:left="240" w:top="108"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08"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our provision for income taxes and effective tax rates for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2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0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5</w:t>
            </w:r>
          </w:p>
        </w:tc>
      </w:tr>
      <w:tr>
        <w:trPr>
          <w:trHeight w:val="33"/>
        </w:trPr>
        <w:tc>
          <w:tcPr>
            <w:tcW w:w="54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8"/>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1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Provision for Income Taxes</w:t>
            </w:r>
          </w:p>
        </w:tc>
        <w:tc>
          <w:tcPr>
            <w:tcW w:w="1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Effective Tax Rates</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59,913</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2018</w:t>
            </w:r>
          </w:p>
        </w:tc>
        <w:tc>
          <w:tcPr>
            <w:tcW w:w="2840" w:type="dxa"/>
            <w:vAlign w:val="bottom"/>
          </w:tcPr>
          <w:p>
            <w:pPr>
              <w:spacing w:after="0"/>
              <w:rPr>
                <w:sz w:val="20"/>
                <w:szCs w:val="20"/>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50,624</w:t>
            </w:r>
          </w:p>
        </w:tc>
        <w:tc>
          <w:tcPr>
            <w:tcW w:w="1900" w:type="dxa"/>
            <w:vAlign w:val="bottom"/>
          </w:tcPr>
          <w:p>
            <w:pPr>
              <w:jc w:val="right"/>
              <w:spacing w:after="0"/>
              <w:rPr>
                <w:sz w:val="20"/>
                <w:szCs w:val="20"/>
                <w:color w:val="auto"/>
              </w:rPr>
            </w:pPr>
            <w:r>
              <w:rPr>
                <w:rFonts w:ascii="Arial" w:cs="Arial" w:eastAsia="Arial" w:hAnsi="Arial"/>
                <w:sz w:val="16"/>
                <w:szCs w:val="16"/>
                <w:color w:val="auto"/>
              </w:rPr>
              <w:t>18.73%</w:t>
            </w:r>
          </w:p>
        </w:tc>
      </w:tr>
    </w:tbl>
    <w:p>
      <w:pPr>
        <w:spacing w:after="0" w:line="23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The provision for income taxes was $59.9 million in 2019, an increase of $9.3 million or 18% compared to 2018. The effective tax rate was 20.96% in 2019 compared to 18.73% in 2018. </w:t>
      </w:r>
      <w:r>
        <w:rPr>
          <w:rFonts w:ascii="Arial" w:cs="Arial" w:eastAsia="Arial" w:hAnsi="Arial"/>
          <w:sz w:val="17"/>
          <w:szCs w:val="17"/>
          <w:color w:val="1F497D"/>
        </w:rPr>
        <w:t>T</w:t>
      </w:r>
      <w:r>
        <w:rPr>
          <w:rFonts w:ascii="Arial" w:cs="Arial" w:eastAsia="Arial" w:hAnsi="Arial"/>
          <w:sz w:val="17"/>
          <w:szCs w:val="17"/>
          <w:color w:val="auto"/>
        </w:rPr>
        <w:t>he higher effective tax rate in 2019 compared to 2018 was primarily due to higher pretax income and the reduced tax benefit from municipal bonds, which were sold in 2019 as part of a portfolio repositioning. The tax rate in 2018 was also favorably impacted by a $2.0 million basis adjustment to the company’s low income housing investments. This was partially offset by the early buy-out of our equity interest in two leveraged leases, which resulted in $1.9 million and $1.8 million credits to the provision for income taxes in the first and fourth quarters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business segments are Retail Banking, Commercial Banking, Investment Services and Private Banking, and Treasury and Other. Table 6 summarizes net income from our business segments for 2019 and 2018. Additional information about segment performance is presented in Note 13 to the Consolidated Financial Statements.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8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94,028</w:t>
            </w:r>
          </w:p>
        </w:tc>
        <w:tc>
          <w:tcPr>
            <w:tcW w:w="10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87,632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4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104,177</w:t>
            </w:r>
          </w:p>
        </w:tc>
        <w:tc>
          <w:tcPr>
            <w:tcW w:w="10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94,230</w:t>
            </w:r>
          </w:p>
        </w:tc>
      </w:tr>
      <w:tr>
        <w:trPr>
          <w:trHeight w:val="33"/>
        </w:trPr>
        <w:tc>
          <w:tcPr>
            <w:tcW w:w="8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 and Private Banking</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22,152</w:t>
            </w: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22,661</w:t>
            </w:r>
          </w:p>
        </w:tc>
      </w:tr>
      <w:tr>
        <w:trPr>
          <w:trHeight w:val="231"/>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220,357</w:t>
            </w:r>
          </w:p>
        </w:tc>
        <w:tc>
          <w:tcPr>
            <w:tcW w:w="10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6"/>
              </w:rPr>
              <w:t>204,523</w:t>
            </w:r>
          </w:p>
        </w:tc>
      </w:tr>
      <w:tr>
        <w:trPr>
          <w:trHeight w:val="33"/>
        </w:trPr>
        <w:tc>
          <w:tcPr>
            <w:tcW w:w="8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5,556</w:t>
            </w: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15,079</w:t>
            </w:r>
          </w:p>
        </w:tc>
      </w:tr>
      <w:tr>
        <w:trPr>
          <w:trHeight w:val="231"/>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225,913</w:t>
            </w:r>
          </w:p>
        </w:tc>
        <w:tc>
          <w:tcPr>
            <w:tcW w:w="10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6"/>
              </w:rPr>
              <w:t>219,602</w:t>
            </w:r>
          </w:p>
        </w:tc>
      </w:tr>
      <w:tr>
        <w:trPr>
          <w:trHeight w:val="33"/>
        </w:trPr>
        <w:tc>
          <w:tcPr>
            <w:tcW w:w="8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Net income increased by $6.4 million or 7% in 2019 compared to 2018 primarily due to increases in noninterest income and net interest income, as well as a decrease in the Provision. This was partially offset by an increase in noninterest expense. The increase in noninterest income was primarily due to an increase in mortgage banking income, higher overdraft fees, and a one-time commission received related to insurance products offered through a third-party administrator. This was partially offset by lower credit card income related to the sale of our MyBankoh Rewards Credit Card portfolio on November 1, 2018. Mortgage banking income increased primarily due to increased sales of conforming saleable loans from current production. The decrease in the Provision was primarily due to lower net charge-offs due to the aforementioned sale of our MyBankoh Rewards Credit Card portfolio, as well as lower net charge-offs in our in our residential loan and auto loan portfolios. This was partially offset by higher net charge-offs in our installment loan portfolio. The increase in net interest income was primarily due to higher earnings credits on the segment’s deposit portfolio and higher average balances in the segment’s deposit and loan portfolios. This was partially offset by lower average rates in the segment’s loan portfolio. The increase in noninterest expense was primarily due to a $6.0 million increase in legal reserve related to the tentative settlement of overdraft litigation and higher equipment expense. In addition, allocated administrative and technology expense increased. This was partially offset by lower credit card expenses related to the sale of our MyBankoh Rewards Credit Card Portfolio and lower salaries expense. The provision for income taxes increased due to higher pretax book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income increased by $9.9 million or 11% in 2019 compared to 2018 primarily due to increases in noninterest income and net interest income. This was partially offset by an increase in noninterest expense. The increase in noninterest income was due to higher fees related to our customer interest rate swap derivative program and to higher net gains on the sale of equipment leases. The increase in net interest income was primarily due to growth in the segment’s loan and deposit portfolio. The decrease in the provision for taxes was due to the lower effective tax rate from lease early buyouts. The increase in noninterest expense was primarily due to higher allocated and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Net income decreased by $0.5 million or 2% in 2019 compared to 2018 primarily due to a decrease in net interest income and an increase in allocated expense. The reduction was partially offset by a decrease in noninterest expense, an increase in noninterest revenue, and a lower effective tax rate. The decrease in net interest income was primarily driven by lower earnings credits on the segment’s deposit portfolio. The decrease in noninterest expense was primarily due to a one-time charge off in 2018. The increase in noninterest revenue was driven by increased trust and shareholder service fees.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Net income decreased by $9.5 million or 63% in 2019 compared to 2018 primarily due to an increase in provision for taxes and provision for loan losses, and a decrease in noninterest income, partially offset by an increase in net interest income. The provision for income taxes in this business segment represents the residual amount to arrive at the total tax expense for the Company. The overall effective tax rate increased to 20.96% in 2019 compared to 18.73% in 2018.</w:t>
      </w:r>
    </w:p>
    <w:p>
      <w:pPr>
        <w:spacing w:after="0" w:line="254" w:lineRule="auto"/>
        <w:rPr>
          <w:sz w:val="20"/>
          <w:szCs w:val="20"/>
          <w:color w:val="auto"/>
        </w:rPr>
      </w:pPr>
      <w:r>
        <w:rPr>
          <w:rFonts w:ascii="Arial" w:cs="Arial" w:eastAsia="Arial" w:hAnsi="Arial"/>
          <w:sz w:val="18"/>
          <w:szCs w:val="18"/>
          <w:color w:val="auto"/>
        </w:rPr>
        <w:t>The provision for loan losses in this business segment represents the residual provision for credit losses to arrive at the total Provision for the Company. The decrease in noninterest income was primarily due to a $2.8 million distribution from a low-income housing partnership in 2018. The increase in net interest income was primarily due to an increase in funding income related to lending activities and an increase in interest income from investment securities, partially offset by higher deposit funding costs.</w:t>
      </w:r>
    </w:p>
    <w:p>
      <w:pPr>
        <w:spacing w:after="0" w:line="19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the maturity distribution at amortized cost, weighted-average yield to maturity, and fair value of our investment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Maturities and Average Yield on Securities</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6"/>
                <w:szCs w:val="16"/>
                <w:b w:val="1"/>
                <w:bCs w:val="1"/>
                <w:color w:val="auto"/>
              </w:rPr>
              <w:t>Table 7</w:t>
            </w:r>
          </w:p>
        </w:tc>
      </w:tr>
      <w:tr>
        <w:trPr>
          <w:trHeight w:val="33"/>
        </w:trPr>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47"/>
        </w:trPr>
        <w:tc>
          <w:tcPr>
            <w:tcW w:w="1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b w:val="1"/>
                <w:bCs w:val="1"/>
                <w:color w:val="auto"/>
              </w:rPr>
              <w:t>Weighted</w:t>
            </w:r>
          </w:p>
        </w:tc>
        <w:tc>
          <w:tcPr>
            <w:tcW w:w="800" w:type="dxa"/>
            <w:vAlign w:val="bottom"/>
          </w:tcPr>
          <w:p>
            <w:pPr>
              <w:jc w:val="right"/>
              <w:ind w:right="162"/>
              <w:spacing w:after="0"/>
              <w:rPr>
                <w:sz w:val="20"/>
                <w:szCs w:val="20"/>
                <w:color w:val="auto"/>
              </w:rPr>
            </w:pPr>
            <w:r>
              <w:rPr>
                <w:rFonts w:ascii="Arial" w:cs="Arial" w:eastAsia="Arial" w:hAnsi="Arial"/>
                <w:sz w:val="12"/>
                <w:szCs w:val="12"/>
                <w:b w:val="1"/>
                <w:bCs w:val="1"/>
                <w:color w:val="auto"/>
              </w:rPr>
              <w:t>After 1</w:t>
            </w:r>
          </w:p>
        </w:tc>
        <w:tc>
          <w:tcPr>
            <w:tcW w:w="860" w:type="dxa"/>
            <w:vAlign w:val="bottom"/>
          </w:tcPr>
          <w:p>
            <w:pPr>
              <w:jc w:val="right"/>
              <w:ind w:right="142"/>
              <w:spacing w:after="0"/>
              <w:rPr>
                <w:sz w:val="20"/>
                <w:szCs w:val="20"/>
                <w:color w:val="auto"/>
              </w:rPr>
            </w:pPr>
            <w:r>
              <w:rPr>
                <w:rFonts w:ascii="Arial" w:cs="Arial" w:eastAsia="Arial" w:hAnsi="Arial"/>
                <w:sz w:val="12"/>
                <w:szCs w:val="12"/>
                <w:b w:val="1"/>
                <w:bCs w:val="1"/>
                <w:color w:val="auto"/>
              </w:rPr>
              <w:t>Weighted</w:t>
            </w:r>
          </w:p>
        </w:tc>
        <w:tc>
          <w:tcPr>
            <w:tcW w:w="820" w:type="dxa"/>
            <w:vAlign w:val="bottom"/>
          </w:tcPr>
          <w:p>
            <w:pPr>
              <w:jc w:val="right"/>
              <w:ind w:right="162"/>
              <w:spacing w:after="0"/>
              <w:rPr>
                <w:sz w:val="20"/>
                <w:szCs w:val="20"/>
                <w:color w:val="auto"/>
              </w:rPr>
            </w:pPr>
            <w:r>
              <w:rPr>
                <w:rFonts w:ascii="Arial" w:cs="Arial" w:eastAsia="Arial" w:hAnsi="Arial"/>
                <w:sz w:val="12"/>
                <w:szCs w:val="12"/>
                <w:b w:val="1"/>
                <w:bCs w:val="1"/>
                <w:color w:val="auto"/>
              </w:rPr>
              <w:t>After 5</w:t>
            </w:r>
          </w:p>
        </w:tc>
        <w:tc>
          <w:tcPr>
            <w:tcW w:w="920" w:type="dxa"/>
            <w:vAlign w:val="bottom"/>
          </w:tcPr>
          <w:p>
            <w:pPr>
              <w:jc w:val="right"/>
              <w:ind w:right="182"/>
              <w:spacing w:after="0"/>
              <w:rPr>
                <w:sz w:val="20"/>
                <w:szCs w:val="20"/>
                <w:color w:val="auto"/>
              </w:rPr>
            </w:pPr>
            <w:r>
              <w:rPr>
                <w:rFonts w:ascii="Arial" w:cs="Arial" w:eastAsia="Arial" w:hAnsi="Arial"/>
                <w:sz w:val="12"/>
                <w:szCs w:val="12"/>
                <w:b w:val="1"/>
                <w:bCs w:val="1"/>
                <w:color w:val="auto"/>
              </w:rPr>
              <w:t>Weighted</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Over</w:t>
            </w:r>
          </w:p>
        </w:tc>
        <w:tc>
          <w:tcPr>
            <w:tcW w:w="980" w:type="dxa"/>
            <w:vAlign w:val="bottom"/>
          </w:tcPr>
          <w:p>
            <w:pPr>
              <w:jc w:val="right"/>
              <w:ind w:right="242"/>
              <w:spacing w:after="0"/>
              <w:rPr>
                <w:sz w:val="20"/>
                <w:szCs w:val="20"/>
                <w:color w:val="auto"/>
              </w:rPr>
            </w:pPr>
            <w:r>
              <w:rPr>
                <w:rFonts w:ascii="Arial" w:cs="Arial" w:eastAsia="Arial" w:hAnsi="Arial"/>
                <w:sz w:val="12"/>
                <w:szCs w:val="12"/>
                <w:b w:val="1"/>
                <w:bCs w:val="1"/>
                <w:color w:val="auto"/>
              </w:rPr>
              <w:t>Weighted</w:t>
            </w:r>
          </w:p>
        </w:tc>
        <w:tc>
          <w:tcPr>
            <w:tcW w:w="720" w:type="dxa"/>
            <w:vAlign w:val="bottom"/>
          </w:tcPr>
          <w:p>
            <w:pPr>
              <w:spacing w:after="0"/>
              <w:rPr>
                <w:sz w:val="12"/>
                <w:szCs w:val="12"/>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b w:val="1"/>
                <w:bCs w:val="1"/>
                <w:color w:val="auto"/>
              </w:rPr>
              <w:t>Weighted</w:t>
            </w:r>
          </w:p>
        </w:tc>
        <w:tc>
          <w:tcPr>
            <w:tcW w:w="820" w:type="dxa"/>
            <w:vAlign w:val="bottom"/>
          </w:tcPr>
          <w:p>
            <w:pPr>
              <w:spacing w:after="0"/>
              <w:rPr>
                <w:sz w:val="12"/>
                <w:szCs w:val="12"/>
                <w:color w:val="auto"/>
              </w:rPr>
            </w:pPr>
          </w:p>
        </w:tc>
      </w:tr>
      <w:tr>
        <w:trPr>
          <w:trHeight w:val="135"/>
        </w:trPr>
        <w:tc>
          <w:tcPr>
            <w:tcW w:w="1700" w:type="dxa"/>
            <w:vAlign w:val="bottom"/>
          </w:tcPr>
          <w:p>
            <w:pPr>
              <w:spacing w:after="0"/>
              <w:rPr>
                <w:sz w:val="11"/>
                <w:szCs w:val="11"/>
                <w:color w:val="auto"/>
              </w:rPr>
            </w:pPr>
          </w:p>
        </w:tc>
        <w:tc>
          <w:tcPr>
            <w:tcW w:w="14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1 Year</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Average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Year-5</w:t>
            </w:r>
          </w:p>
        </w:tc>
        <w:tc>
          <w:tcPr>
            <w:tcW w:w="8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Average</w:t>
            </w:r>
          </w:p>
        </w:tc>
        <w:tc>
          <w:tcPr>
            <w:tcW w:w="82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Years-10</w:t>
            </w:r>
          </w:p>
        </w:tc>
        <w:tc>
          <w:tcPr>
            <w:tcW w:w="9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Average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10</w:t>
            </w:r>
          </w:p>
        </w:tc>
        <w:tc>
          <w:tcPr>
            <w:tcW w:w="98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auto"/>
              </w:rPr>
              <w:t>Average</w:t>
            </w:r>
          </w:p>
        </w:tc>
        <w:tc>
          <w:tcPr>
            <w:tcW w:w="720" w:type="dxa"/>
            <w:vAlign w:val="bottom"/>
          </w:tcPr>
          <w:p>
            <w:pPr>
              <w:spacing w:after="0"/>
              <w:rPr>
                <w:sz w:val="11"/>
                <w:szCs w:val="11"/>
                <w:color w:val="auto"/>
              </w:rPr>
            </w:pPr>
          </w:p>
        </w:tc>
        <w:tc>
          <w:tcPr>
            <w:tcW w:w="90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Average</w:t>
            </w:r>
          </w:p>
        </w:tc>
        <w:tc>
          <w:tcPr>
            <w:tcW w:w="820" w:type="dxa"/>
            <w:vAlign w:val="bottom"/>
          </w:tcPr>
          <w:p>
            <w:pPr>
              <w:jc w:val="right"/>
              <w:ind w:right="74"/>
              <w:spacing w:after="0" w:line="135" w:lineRule="exact"/>
              <w:rPr>
                <w:sz w:val="20"/>
                <w:szCs w:val="20"/>
                <w:color w:val="auto"/>
              </w:rPr>
            </w:pPr>
            <w:r>
              <w:rPr>
                <w:rFonts w:ascii="Arial" w:cs="Arial" w:eastAsia="Arial" w:hAnsi="Arial"/>
                <w:sz w:val="12"/>
                <w:szCs w:val="12"/>
                <w:b w:val="1"/>
                <w:bCs w:val="1"/>
                <w:color w:val="auto"/>
              </w:rPr>
              <w:t>Fair</w:t>
            </w:r>
          </w:p>
        </w:tc>
      </w:tr>
      <w:tr>
        <w:trPr>
          <w:trHeight w:val="150"/>
        </w:trPr>
        <w:tc>
          <w:tcPr>
            <w:tcW w:w="1700" w:type="dxa"/>
            <w:vAlign w:val="bottom"/>
          </w:tcPr>
          <w:p>
            <w:pPr>
              <w:ind w:left="40"/>
              <w:spacing w:after="0"/>
              <w:rPr>
                <w:sz w:val="20"/>
                <w:szCs w:val="20"/>
                <w:color w:val="auto"/>
              </w:rPr>
            </w:pPr>
            <w:r>
              <w:rPr>
                <w:rFonts w:ascii="Arial" w:cs="Arial" w:eastAsia="Arial" w:hAnsi="Arial"/>
                <w:sz w:val="12"/>
                <w:szCs w:val="12"/>
                <w:color w:val="auto"/>
              </w:rPr>
              <w:t>(dollars in millions)</w:t>
            </w:r>
          </w:p>
        </w:tc>
        <w:tc>
          <w:tcPr>
            <w:tcW w:w="1400" w:type="dxa"/>
            <w:vAlign w:val="bottom"/>
          </w:tcPr>
          <w:p>
            <w:pPr>
              <w:ind w:left="720"/>
              <w:spacing w:after="0"/>
              <w:rPr>
                <w:sz w:val="20"/>
                <w:szCs w:val="20"/>
                <w:color w:val="auto"/>
              </w:rPr>
            </w:pPr>
            <w:r>
              <w:rPr>
                <w:rFonts w:ascii="Arial" w:cs="Arial" w:eastAsia="Arial" w:hAnsi="Arial"/>
                <w:sz w:val="12"/>
                <w:szCs w:val="12"/>
                <w:b w:val="1"/>
                <w:bCs w:val="1"/>
                <w:color w:val="auto"/>
              </w:rPr>
              <w:t>or Less</w:t>
            </w:r>
          </w:p>
        </w:tc>
        <w:tc>
          <w:tcPr>
            <w:tcW w:w="840" w:type="dxa"/>
            <w:vAlign w:val="bottom"/>
          </w:tcPr>
          <w:p>
            <w:pPr>
              <w:jc w:val="right"/>
              <w:ind w:right="182"/>
              <w:spacing w:after="0"/>
              <w:rPr>
                <w:sz w:val="20"/>
                <w:szCs w:val="20"/>
                <w:color w:val="auto"/>
              </w:rPr>
            </w:pPr>
            <w:r>
              <w:rPr>
                <w:rFonts w:ascii="Arial" w:cs="Arial" w:eastAsia="Arial" w:hAnsi="Arial"/>
                <w:sz w:val="12"/>
                <w:szCs w:val="12"/>
                <w:b w:val="1"/>
                <w:bCs w:val="1"/>
                <w:color w:val="auto"/>
              </w:rPr>
              <w:t>Yield</w:t>
            </w:r>
          </w:p>
        </w:tc>
        <w:tc>
          <w:tcPr>
            <w:tcW w:w="800" w:type="dxa"/>
            <w:vAlign w:val="bottom"/>
          </w:tcPr>
          <w:p>
            <w:pPr>
              <w:jc w:val="right"/>
              <w:ind w:right="142"/>
              <w:spacing w:after="0"/>
              <w:rPr>
                <w:sz w:val="20"/>
                <w:szCs w:val="20"/>
                <w:color w:val="auto"/>
              </w:rPr>
            </w:pPr>
            <w:r>
              <w:rPr>
                <w:rFonts w:ascii="Arial" w:cs="Arial" w:eastAsia="Arial" w:hAnsi="Arial"/>
                <w:sz w:val="12"/>
                <w:szCs w:val="12"/>
                <w:b w:val="1"/>
                <w:bCs w:val="1"/>
                <w:color w:val="auto"/>
              </w:rPr>
              <w:t>Years</w:t>
            </w:r>
          </w:p>
        </w:tc>
        <w:tc>
          <w:tcPr>
            <w:tcW w:w="860" w:type="dxa"/>
            <w:vAlign w:val="bottom"/>
          </w:tcPr>
          <w:p>
            <w:pPr>
              <w:jc w:val="right"/>
              <w:ind w:right="102"/>
              <w:spacing w:after="0"/>
              <w:rPr>
                <w:sz w:val="20"/>
                <w:szCs w:val="20"/>
                <w:color w:val="auto"/>
              </w:rPr>
            </w:pPr>
            <w:r>
              <w:rPr>
                <w:rFonts w:ascii="Arial" w:cs="Arial" w:eastAsia="Arial" w:hAnsi="Arial"/>
                <w:sz w:val="12"/>
                <w:szCs w:val="12"/>
                <w:b w:val="1"/>
                <w:bCs w:val="1"/>
                <w:color w:val="auto"/>
              </w:rPr>
              <w:t>Yield</w:t>
            </w:r>
          </w:p>
        </w:tc>
        <w:tc>
          <w:tcPr>
            <w:tcW w:w="820" w:type="dxa"/>
            <w:vAlign w:val="bottom"/>
          </w:tcPr>
          <w:p>
            <w:pPr>
              <w:jc w:val="right"/>
              <w:ind w:right="122"/>
              <w:spacing w:after="0"/>
              <w:rPr>
                <w:sz w:val="20"/>
                <w:szCs w:val="20"/>
                <w:color w:val="auto"/>
              </w:rPr>
            </w:pPr>
            <w:r>
              <w:rPr>
                <w:rFonts w:ascii="Arial" w:cs="Arial" w:eastAsia="Arial" w:hAnsi="Arial"/>
                <w:sz w:val="12"/>
                <w:szCs w:val="12"/>
                <w:b w:val="1"/>
                <w:bCs w:val="1"/>
                <w:color w:val="auto"/>
              </w:rPr>
              <w:t>Years</w:t>
            </w:r>
          </w:p>
        </w:tc>
        <w:tc>
          <w:tcPr>
            <w:tcW w:w="920" w:type="dxa"/>
            <w:vAlign w:val="bottom"/>
          </w:tcPr>
          <w:p>
            <w:pPr>
              <w:jc w:val="right"/>
              <w:ind w:right="162"/>
              <w:spacing w:after="0"/>
              <w:rPr>
                <w:sz w:val="20"/>
                <w:szCs w:val="20"/>
                <w:color w:val="auto"/>
              </w:rPr>
            </w:pPr>
            <w:r>
              <w:rPr>
                <w:rFonts w:ascii="Arial" w:cs="Arial" w:eastAsia="Arial" w:hAnsi="Arial"/>
                <w:sz w:val="12"/>
                <w:szCs w:val="12"/>
                <w:b w:val="1"/>
                <w:bCs w:val="1"/>
                <w:color w:val="auto"/>
              </w:rPr>
              <w:t>Yield</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Years</w:t>
            </w:r>
          </w:p>
        </w:tc>
        <w:tc>
          <w:tcPr>
            <w:tcW w:w="980" w:type="dxa"/>
            <w:vAlign w:val="bottom"/>
          </w:tcPr>
          <w:p>
            <w:pPr>
              <w:jc w:val="right"/>
              <w:ind w:right="222"/>
              <w:spacing w:after="0"/>
              <w:rPr>
                <w:sz w:val="20"/>
                <w:szCs w:val="20"/>
                <w:color w:val="auto"/>
              </w:rPr>
            </w:pPr>
            <w:r>
              <w:rPr>
                <w:rFonts w:ascii="Arial" w:cs="Arial" w:eastAsia="Arial" w:hAnsi="Arial"/>
                <w:sz w:val="12"/>
                <w:szCs w:val="12"/>
                <w:b w:val="1"/>
                <w:bCs w:val="1"/>
                <w:color w:val="auto"/>
              </w:rPr>
              <w:t>Yield</w:t>
            </w:r>
          </w:p>
        </w:tc>
        <w:tc>
          <w:tcPr>
            <w:tcW w:w="720" w:type="dxa"/>
            <w:vAlign w:val="bottom"/>
          </w:tcPr>
          <w:p>
            <w:pPr>
              <w:ind w:left="26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ind w:right="142"/>
              <w:spacing w:after="0"/>
              <w:rPr>
                <w:sz w:val="20"/>
                <w:szCs w:val="20"/>
                <w:color w:val="auto"/>
              </w:rPr>
            </w:pPr>
            <w:r>
              <w:rPr>
                <w:rFonts w:ascii="Arial" w:cs="Arial" w:eastAsia="Arial" w:hAnsi="Arial"/>
                <w:sz w:val="12"/>
                <w:szCs w:val="12"/>
                <w:b w:val="1"/>
                <w:bCs w:val="1"/>
                <w:color w:val="auto"/>
              </w:rPr>
              <w:t>Yield</w:t>
            </w:r>
          </w:p>
        </w:tc>
        <w:tc>
          <w:tcPr>
            <w:tcW w:w="820" w:type="dxa"/>
            <w:vAlign w:val="bottom"/>
          </w:tcPr>
          <w:p>
            <w:pPr>
              <w:jc w:val="right"/>
              <w:ind w:right="34"/>
              <w:spacing w:after="0"/>
              <w:rPr>
                <w:sz w:val="20"/>
                <w:szCs w:val="20"/>
                <w:color w:val="auto"/>
              </w:rPr>
            </w:pPr>
            <w:r>
              <w:rPr>
                <w:rFonts w:ascii="Arial" w:cs="Arial" w:eastAsia="Arial" w:hAnsi="Arial"/>
                <w:sz w:val="12"/>
                <w:szCs w:val="12"/>
                <w:b w:val="1"/>
                <w:bCs w:val="1"/>
                <w:color w:val="auto"/>
              </w:rPr>
              <w:t>Value</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As of December 31, 2019</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 xml:space="preserve">Available-for-Sale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1">
            <w:col w:w="11420"/>
          </w:cols>
          <w:pgMar w:left="240" w:top="125" w:right="239" w:bottom="393" w:gutter="0" w:footer="0" w:header="0"/>
        </w:sectPr>
      </w:pP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60" w:type="dxa"/>
            <w:vAlign w:val="bottom"/>
          </w:tcPr>
          <w:p>
            <w:pPr>
              <w:jc w:val="right"/>
              <w:ind w:right="197"/>
              <w:spacing w:after="0"/>
              <w:rPr>
                <w:sz w:val="20"/>
                <w:szCs w:val="20"/>
                <w:color w:val="auto"/>
              </w:rPr>
            </w:pPr>
            <w:r>
              <w:rPr>
                <w:rFonts w:ascii="Arial" w:cs="Arial" w:eastAsia="Arial" w:hAnsi="Arial"/>
                <w:sz w:val="13"/>
                <w:szCs w:val="13"/>
                <w:color w:val="auto"/>
                <w:w w:val="86"/>
              </w:rPr>
              <w:t>Debt Securities Issued by the U.S. Treasury</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460" w:type="dxa"/>
            <w:vAlign w:val="bottom"/>
          </w:tcPr>
          <w:p>
            <w:pPr>
              <w:jc w:val="right"/>
              <w:ind w:right="877"/>
              <w:spacing w:after="0" w:line="123" w:lineRule="exact"/>
              <w:rPr>
                <w:sz w:val="20"/>
                <w:szCs w:val="20"/>
                <w:color w:val="auto"/>
              </w:rPr>
            </w:pPr>
            <w:r>
              <w:rPr>
                <w:rFonts w:ascii="Arial" w:cs="Arial" w:eastAsia="Arial" w:hAnsi="Arial"/>
                <w:sz w:val="13"/>
                <w:szCs w:val="13"/>
                <w:color w:val="auto"/>
                <w:w w:val="92"/>
              </w:rPr>
              <w:t xml:space="preserve">and Government Agencies </w:t>
            </w:r>
            <w:r>
              <w:rPr>
                <w:rFonts w:ascii="Arial" w:cs="Arial" w:eastAsia="Arial" w:hAnsi="Arial"/>
                <w:sz w:val="8"/>
                <w:szCs w:val="8"/>
                <w:color w:val="auto"/>
                <w:w w:val="92"/>
              </w:rPr>
              <w:t>3</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8"/>
        </w:trPr>
        <w:tc>
          <w:tcPr>
            <w:tcW w:w="24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40"/>
        <w:spacing w:after="0" w:line="216" w:lineRule="auto"/>
        <w:rPr>
          <w:sz w:val="20"/>
          <w:szCs w:val="20"/>
          <w:color w:val="auto"/>
        </w:rPr>
      </w:pPr>
      <w:r>
        <w:rPr>
          <w:rFonts w:ascii="Arial" w:cs="Arial" w:eastAsia="Arial" w:hAnsi="Arial"/>
          <w:sz w:val="13"/>
          <w:szCs w:val="13"/>
          <w:color w:val="auto"/>
        </w:rPr>
        <w:t>Debt Securities Issued by States and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220" w:type="dxa"/>
            <w:vAlign w:val="bottom"/>
          </w:tcPr>
          <w:p>
            <w:pPr>
              <w:ind w:left="160"/>
              <w:spacing w:after="0"/>
              <w:rPr>
                <w:sz w:val="20"/>
                <w:szCs w:val="20"/>
                <w:color w:val="auto"/>
              </w:rPr>
            </w:pPr>
            <w:r>
              <w:rPr>
                <w:rFonts w:ascii="Arial" w:cs="Arial" w:eastAsia="Arial" w:hAnsi="Arial"/>
                <w:sz w:val="13"/>
                <w:szCs w:val="13"/>
                <w:color w:val="auto"/>
              </w:rPr>
              <w:t xml:space="preserve">Political Subdivisions </w:t>
            </w:r>
            <w:r>
              <w:rPr>
                <w:rFonts w:ascii="Arial" w:cs="Arial" w:eastAsia="Arial" w:hAnsi="Arial"/>
                <w:sz w:val="8"/>
                <w:szCs w:val="8"/>
                <w:color w:val="auto"/>
              </w:rPr>
              <w:t>2</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71"/>
        </w:trPr>
        <w:tc>
          <w:tcPr>
            <w:tcW w:w="22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220" w:type="dxa"/>
            <w:vAlign w:val="bottom"/>
          </w:tcPr>
          <w:p>
            <w:pPr>
              <w:spacing w:after="0"/>
              <w:rPr>
                <w:sz w:val="20"/>
                <w:szCs w:val="20"/>
                <w:color w:val="auto"/>
              </w:rPr>
            </w:pPr>
            <w:r>
              <w:rPr>
                <w:rFonts w:ascii="Arial" w:cs="Arial" w:eastAsia="Arial" w:hAnsi="Arial"/>
                <w:sz w:val="13"/>
                <w:szCs w:val="13"/>
                <w:color w:val="auto"/>
              </w:rPr>
              <w:t>Debt Securities Issued by U.S.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00"/>
              <w:spacing w:after="0"/>
              <w:rPr>
                <w:sz w:val="20"/>
                <w:szCs w:val="20"/>
                <w:color w:val="auto"/>
              </w:rPr>
            </w:pPr>
            <w:r>
              <w:rPr>
                <w:rFonts w:ascii="Arial" w:cs="Arial" w:eastAsia="Arial" w:hAnsi="Arial"/>
                <w:sz w:val="13"/>
                <w:szCs w:val="13"/>
                <w:color w:val="auto"/>
              </w:rPr>
              <w:t>Government-Sponsored Enterprises</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0"/>
                <w:szCs w:val="20"/>
                <w:color w:val="auto"/>
              </w:rPr>
            </w:pPr>
            <w:r>
              <w:rPr>
                <w:rFonts w:ascii="Arial" w:cs="Arial" w:eastAsia="Arial" w:hAnsi="Arial"/>
                <w:sz w:val="13"/>
                <w:szCs w:val="13"/>
                <w:color w:val="auto"/>
                <w:w w:val="97"/>
              </w:rPr>
              <w:t>Debt Securities Issued by Corporations</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3"/>
                <w:szCs w:val="13"/>
                <w:color w:val="auto"/>
              </w:rPr>
              <w:t xml:space="preserve">Mortgage-Backed Securities </w:t>
            </w:r>
            <w:r>
              <w:rPr>
                <w:rFonts w:ascii="Arial" w:cs="Arial" w:eastAsia="Arial" w:hAnsi="Arial"/>
                <w:sz w:val="8"/>
                <w:szCs w:val="8"/>
                <w:color w:val="auto"/>
              </w:rPr>
              <w:t>3</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600" w:type="dxa"/>
            <w:vAlign w:val="bottom"/>
          </w:tcPr>
          <w:p>
            <w:pPr>
              <w:spacing w:after="0"/>
              <w:rPr>
                <w:sz w:val="20"/>
                <w:szCs w:val="20"/>
                <w:color w:val="auto"/>
              </w:rPr>
            </w:pPr>
            <w:r>
              <w:rPr>
                <w:rFonts w:ascii="Arial" w:cs="Arial" w:eastAsia="Arial" w:hAnsi="Arial"/>
                <w:sz w:val="13"/>
                <w:szCs w:val="13"/>
                <w:color w:val="auto"/>
              </w:rPr>
              <w:t>2.6%   $</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222.1</w:t>
            </w:r>
          </w:p>
        </w:tc>
        <w:tc>
          <w:tcPr>
            <w:tcW w:w="940" w:type="dxa"/>
            <w:vAlign w:val="bottom"/>
          </w:tcPr>
          <w:p>
            <w:pPr>
              <w:ind w:left="360"/>
              <w:spacing w:after="0"/>
              <w:rPr>
                <w:sz w:val="20"/>
                <w:szCs w:val="20"/>
                <w:color w:val="auto"/>
              </w:rPr>
            </w:pPr>
            <w:r>
              <w:rPr>
                <w:rFonts w:ascii="Arial" w:cs="Arial" w:eastAsia="Arial" w:hAnsi="Arial"/>
                <w:sz w:val="13"/>
                <w:szCs w:val="13"/>
                <w:color w:val="auto"/>
              </w:rPr>
              <w:t>2.9%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   $</w:t>
            </w:r>
          </w:p>
        </w:tc>
        <w:tc>
          <w:tcPr>
            <w:tcW w:w="6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222.4</w:t>
            </w:r>
          </w:p>
        </w:tc>
        <w:tc>
          <w:tcPr>
            <w:tcW w:w="1020" w:type="dxa"/>
            <w:vAlign w:val="bottom"/>
          </w:tcPr>
          <w:p>
            <w:pPr>
              <w:ind w:left="380"/>
              <w:spacing w:after="0"/>
              <w:rPr>
                <w:sz w:val="20"/>
                <w:szCs w:val="20"/>
                <w:color w:val="auto"/>
              </w:rPr>
            </w:pPr>
            <w:r>
              <w:rPr>
                <w:rFonts w:ascii="Arial" w:cs="Arial" w:eastAsia="Arial" w:hAnsi="Arial"/>
                <w:sz w:val="13"/>
                <w:szCs w:val="13"/>
                <w:color w:val="auto"/>
              </w:rPr>
              <w:t>2.9%   $</w:t>
            </w:r>
          </w:p>
        </w:tc>
        <w:tc>
          <w:tcPr>
            <w:tcW w:w="440" w:type="dxa"/>
            <w:vAlign w:val="bottom"/>
          </w:tcPr>
          <w:p>
            <w:pPr>
              <w:jc w:val="right"/>
              <w:spacing w:after="0"/>
              <w:rPr>
                <w:sz w:val="20"/>
                <w:szCs w:val="20"/>
                <w:color w:val="auto"/>
              </w:rPr>
            </w:pPr>
            <w:r>
              <w:rPr>
                <w:rFonts w:ascii="Arial" w:cs="Arial" w:eastAsia="Arial" w:hAnsi="Arial"/>
                <w:sz w:val="13"/>
                <w:szCs w:val="13"/>
                <w:color w:val="auto"/>
              </w:rPr>
              <w:t>221.1</w:t>
            </w:r>
          </w:p>
        </w:tc>
      </w:tr>
      <w:tr>
        <w:trPr>
          <w:trHeight w:val="405"/>
        </w:trPr>
        <w:tc>
          <w:tcPr>
            <w:tcW w:w="600" w:type="dxa"/>
            <w:vAlign w:val="bottom"/>
          </w:tcPr>
          <w:p>
            <w:pPr>
              <w:spacing w:after="0"/>
              <w:rPr>
                <w:sz w:val="20"/>
                <w:szCs w:val="20"/>
                <w:color w:val="auto"/>
              </w:rPr>
            </w:pPr>
            <w:r>
              <w:rPr>
                <w:rFonts w:ascii="Arial" w:cs="Arial" w:eastAsia="Arial" w:hAnsi="Arial"/>
                <w:sz w:val="13"/>
                <w:szCs w:val="13"/>
                <w:color w:val="auto"/>
              </w:rPr>
              <w:t>3.1</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16.3</w:t>
            </w:r>
          </w:p>
        </w:tc>
        <w:tc>
          <w:tcPr>
            <w:tcW w:w="940" w:type="dxa"/>
            <w:vAlign w:val="bottom"/>
          </w:tcPr>
          <w:p>
            <w:pPr>
              <w:ind w:left="360"/>
              <w:spacing w:after="0"/>
              <w:rPr>
                <w:sz w:val="20"/>
                <w:szCs w:val="20"/>
                <w:color w:val="auto"/>
              </w:rPr>
            </w:pPr>
            <w:r>
              <w:rPr>
                <w:rFonts w:ascii="Arial" w:cs="Arial" w:eastAsia="Arial" w:hAnsi="Arial"/>
                <w:sz w:val="13"/>
                <w:szCs w:val="13"/>
                <w:color w:val="auto"/>
              </w:rPr>
              <w:t>4.5</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21.9</w:t>
            </w:r>
          </w:p>
        </w:tc>
        <w:tc>
          <w:tcPr>
            <w:tcW w:w="960" w:type="dxa"/>
            <w:vAlign w:val="bottom"/>
          </w:tcPr>
          <w:p>
            <w:pPr>
              <w:jc w:val="right"/>
              <w:ind w:right="377"/>
              <w:spacing w:after="0"/>
              <w:rPr>
                <w:sz w:val="20"/>
                <w:szCs w:val="20"/>
                <w:color w:val="auto"/>
              </w:rPr>
            </w:pPr>
            <w:r>
              <w:rPr>
                <w:rFonts w:ascii="Arial" w:cs="Arial" w:eastAsia="Arial" w:hAnsi="Arial"/>
                <w:sz w:val="13"/>
                <w:szCs w:val="13"/>
                <w:color w:val="auto"/>
              </w:rPr>
              <w:t>3.5</w:t>
            </w:r>
          </w:p>
        </w:tc>
        <w:tc>
          <w:tcPr>
            <w:tcW w:w="620" w:type="dxa"/>
            <w:vAlign w:val="bottom"/>
          </w:tcPr>
          <w:p>
            <w:pPr>
              <w:jc w:val="right"/>
              <w:ind w:right="297"/>
              <w:spacing w:after="0"/>
              <w:rPr>
                <w:sz w:val="20"/>
                <w:szCs w:val="20"/>
                <w:color w:val="auto"/>
              </w:rPr>
            </w:pPr>
            <w:r>
              <w:rPr>
                <w:rFonts w:ascii="Arial" w:cs="Arial" w:eastAsia="Arial" w:hAnsi="Arial"/>
                <w:sz w:val="13"/>
                <w:szCs w:val="13"/>
                <w:color w:val="auto"/>
              </w:rPr>
              <w:t>0.1</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5.6</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54.5</w:t>
            </w:r>
          </w:p>
        </w:tc>
        <w:tc>
          <w:tcPr>
            <w:tcW w:w="1020" w:type="dxa"/>
            <w:vAlign w:val="bottom"/>
          </w:tcPr>
          <w:p>
            <w:pPr>
              <w:ind w:left="380"/>
              <w:spacing w:after="0"/>
              <w:rPr>
                <w:sz w:val="20"/>
                <w:szCs w:val="20"/>
                <w:color w:val="auto"/>
              </w:rPr>
            </w:pPr>
            <w:r>
              <w:rPr>
                <w:rFonts w:ascii="Arial" w:cs="Arial" w:eastAsia="Arial" w:hAnsi="Arial"/>
                <w:sz w:val="13"/>
                <w:szCs w:val="13"/>
                <w:color w:val="auto"/>
              </w:rPr>
              <w:t>3.7</w:t>
            </w:r>
          </w:p>
        </w:tc>
        <w:tc>
          <w:tcPr>
            <w:tcW w:w="440" w:type="dxa"/>
            <w:vAlign w:val="bottom"/>
          </w:tcPr>
          <w:p>
            <w:pPr>
              <w:jc w:val="right"/>
              <w:spacing w:after="0"/>
              <w:rPr>
                <w:sz w:val="20"/>
                <w:szCs w:val="20"/>
                <w:color w:val="auto"/>
              </w:rPr>
            </w:pPr>
            <w:r>
              <w:rPr>
                <w:rFonts w:ascii="Arial" w:cs="Arial" w:eastAsia="Arial" w:hAnsi="Arial"/>
                <w:sz w:val="13"/>
                <w:szCs w:val="13"/>
                <w:color w:val="auto"/>
              </w:rPr>
              <w:t>55.1</w:t>
            </w:r>
          </w:p>
        </w:tc>
      </w:tr>
      <w:tr>
        <w:trPr>
          <w:trHeight w:val="405"/>
        </w:trPr>
        <w:tc>
          <w:tcPr>
            <w:tcW w:w="600" w:type="dxa"/>
            <w:vAlign w:val="bottom"/>
          </w:tcPr>
          <w:p>
            <w:pPr>
              <w:spacing w:after="0"/>
              <w:rPr>
                <w:sz w:val="20"/>
                <w:szCs w:val="20"/>
                <w:color w:val="auto"/>
              </w:rPr>
            </w:pPr>
            <w:r>
              <w:rPr>
                <w:rFonts w:ascii="Arial" w:cs="Arial" w:eastAsia="Arial" w:hAnsi="Arial"/>
                <w:sz w:val="13"/>
                <w:szCs w:val="13"/>
                <w:color w:val="auto"/>
              </w:rPr>
              <w:t>2.8</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21.4</w:t>
            </w:r>
          </w:p>
        </w:tc>
        <w:tc>
          <w:tcPr>
            <w:tcW w:w="940" w:type="dxa"/>
            <w:vAlign w:val="bottom"/>
          </w:tcPr>
          <w:p>
            <w:pPr>
              <w:ind w:left="360"/>
              <w:spacing w:after="0"/>
              <w:rPr>
                <w:sz w:val="20"/>
                <w:szCs w:val="20"/>
                <w:color w:val="auto"/>
              </w:rPr>
            </w:pPr>
            <w:r>
              <w:rPr>
                <w:rFonts w:ascii="Arial" w:cs="Arial" w:eastAsia="Arial" w:hAnsi="Arial"/>
                <w:sz w:val="13"/>
                <w:szCs w:val="13"/>
                <w:color w:val="auto"/>
              </w:rPr>
              <w:t>2.3</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0.7</w:t>
            </w:r>
          </w:p>
        </w:tc>
        <w:tc>
          <w:tcPr>
            <w:tcW w:w="960" w:type="dxa"/>
            <w:vAlign w:val="bottom"/>
          </w:tcPr>
          <w:p>
            <w:pPr>
              <w:jc w:val="right"/>
              <w:ind w:right="377"/>
              <w:spacing w:after="0"/>
              <w:rPr>
                <w:sz w:val="20"/>
                <w:szCs w:val="20"/>
                <w:color w:val="auto"/>
              </w:rPr>
            </w:pPr>
            <w:r>
              <w:rPr>
                <w:rFonts w:ascii="Arial" w:cs="Arial" w:eastAsia="Arial" w:hAnsi="Arial"/>
                <w:sz w:val="13"/>
                <w:szCs w:val="13"/>
                <w:color w:val="auto"/>
              </w:rPr>
              <w:t>2.2</w:t>
            </w:r>
          </w:p>
        </w:tc>
        <w:tc>
          <w:tcPr>
            <w:tcW w:w="6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22.1</w:t>
            </w:r>
          </w:p>
        </w:tc>
        <w:tc>
          <w:tcPr>
            <w:tcW w:w="1020" w:type="dxa"/>
            <w:vAlign w:val="bottom"/>
          </w:tcPr>
          <w:p>
            <w:pPr>
              <w:ind w:left="380"/>
              <w:spacing w:after="0"/>
              <w:rPr>
                <w:sz w:val="20"/>
                <w:szCs w:val="20"/>
                <w:color w:val="auto"/>
              </w:rPr>
            </w:pPr>
            <w:r>
              <w:rPr>
                <w:rFonts w:ascii="Arial" w:cs="Arial" w:eastAsia="Arial" w:hAnsi="Arial"/>
                <w:sz w:val="13"/>
                <w:szCs w:val="13"/>
                <w:color w:val="auto"/>
              </w:rPr>
              <w:t>2.2</w:t>
            </w:r>
          </w:p>
        </w:tc>
        <w:tc>
          <w:tcPr>
            <w:tcW w:w="440" w:type="dxa"/>
            <w:vAlign w:val="bottom"/>
          </w:tcPr>
          <w:p>
            <w:pPr>
              <w:jc w:val="right"/>
              <w:spacing w:after="0"/>
              <w:rPr>
                <w:sz w:val="20"/>
                <w:szCs w:val="20"/>
                <w:color w:val="auto"/>
              </w:rPr>
            </w:pPr>
            <w:r>
              <w:rPr>
                <w:rFonts w:ascii="Arial" w:cs="Arial" w:eastAsia="Arial" w:hAnsi="Arial"/>
                <w:sz w:val="13"/>
                <w:szCs w:val="13"/>
                <w:color w:val="auto"/>
              </w:rPr>
              <w:t>22.2</w:t>
            </w:r>
          </w:p>
        </w:tc>
      </w:tr>
      <w:tr>
        <w:trPr>
          <w:trHeight w:val="378"/>
        </w:trPr>
        <w:tc>
          <w:tcPr>
            <w:tcW w:w="600" w:type="dxa"/>
            <w:vAlign w:val="bottom"/>
          </w:tcPr>
          <w:p>
            <w:pPr>
              <w:spacing w:after="0"/>
              <w:rPr>
                <w:sz w:val="20"/>
                <w:szCs w:val="20"/>
                <w:color w:val="auto"/>
              </w:rPr>
            </w:pPr>
            <w:r>
              <w:rPr>
                <w:rFonts w:ascii="Arial" w:cs="Arial" w:eastAsia="Arial" w:hAnsi="Arial"/>
                <w:sz w:val="13"/>
                <w:szCs w:val="13"/>
                <w:color w:val="auto"/>
              </w:rPr>
              <w:t>2.5</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76.2</w:t>
            </w:r>
          </w:p>
        </w:tc>
        <w:tc>
          <w:tcPr>
            <w:tcW w:w="940" w:type="dxa"/>
            <w:vAlign w:val="bottom"/>
          </w:tcPr>
          <w:p>
            <w:pPr>
              <w:ind w:left="360"/>
              <w:spacing w:after="0"/>
              <w:rPr>
                <w:sz w:val="20"/>
                <w:szCs w:val="20"/>
                <w:color w:val="auto"/>
              </w:rPr>
            </w:pPr>
            <w:r>
              <w:rPr>
                <w:rFonts w:ascii="Arial" w:cs="Arial" w:eastAsia="Arial" w:hAnsi="Arial"/>
                <w:sz w:val="13"/>
                <w:szCs w:val="13"/>
                <w:color w:val="auto"/>
              </w:rPr>
              <w:t>2.6</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149.3</w:t>
            </w:r>
          </w:p>
        </w:tc>
        <w:tc>
          <w:tcPr>
            <w:tcW w:w="960" w:type="dxa"/>
            <w:vAlign w:val="bottom"/>
          </w:tcPr>
          <w:p>
            <w:pPr>
              <w:jc w:val="right"/>
              <w:ind w:right="377"/>
              <w:spacing w:after="0"/>
              <w:rPr>
                <w:sz w:val="20"/>
                <w:szCs w:val="20"/>
                <w:color w:val="auto"/>
              </w:rPr>
            </w:pPr>
            <w:r>
              <w:rPr>
                <w:rFonts w:ascii="Arial" w:cs="Arial" w:eastAsia="Arial" w:hAnsi="Arial"/>
                <w:sz w:val="13"/>
                <w:szCs w:val="13"/>
                <w:color w:val="auto"/>
              </w:rPr>
              <w:t>3.2</w:t>
            </w:r>
          </w:p>
        </w:tc>
        <w:tc>
          <w:tcPr>
            <w:tcW w:w="6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335.5</w:t>
            </w:r>
          </w:p>
        </w:tc>
        <w:tc>
          <w:tcPr>
            <w:tcW w:w="1020" w:type="dxa"/>
            <w:vAlign w:val="bottom"/>
          </w:tcPr>
          <w:p>
            <w:pPr>
              <w:ind w:left="380"/>
              <w:spacing w:after="0"/>
              <w:rPr>
                <w:sz w:val="20"/>
                <w:szCs w:val="20"/>
                <w:color w:val="auto"/>
              </w:rPr>
            </w:pPr>
            <w:r>
              <w:rPr>
                <w:rFonts w:ascii="Arial" w:cs="Arial" w:eastAsia="Arial" w:hAnsi="Arial"/>
                <w:sz w:val="13"/>
                <w:szCs w:val="13"/>
                <w:color w:val="auto"/>
              </w:rPr>
              <w:t>2.8</w:t>
            </w:r>
          </w:p>
        </w:tc>
        <w:tc>
          <w:tcPr>
            <w:tcW w:w="440" w:type="dxa"/>
            <w:vAlign w:val="bottom"/>
          </w:tcPr>
          <w:p>
            <w:pPr>
              <w:jc w:val="right"/>
              <w:spacing w:after="0"/>
              <w:rPr>
                <w:sz w:val="20"/>
                <w:szCs w:val="20"/>
                <w:color w:val="auto"/>
              </w:rPr>
            </w:pPr>
            <w:r>
              <w:rPr>
                <w:rFonts w:ascii="Arial" w:cs="Arial" w:eastAsia="Arial" w:hAnsi="Arial"/>
                <w:sz w:val="13"/>
                <w:szCs w:val="13"/>
                <w:color w:val="auto"/>
              </w:rPr>
              <w:t>336.3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-486410</wp:posOffset>
            </wp:positionV>
            <wp:extent cx="72466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10160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0" w:lineRule="exact"/>
        <w:rPr>
          <w:sz w:val="20"/>
          <w:szCs w:val="20"/>
          <w:color w:val="auto"/>
        </w:rPr>
      </w:pPr>
    </w:p>
    <w:p>
      <w:pPr>
        <w:sectPr>
          <w:pgSz w:w="11900" w:h="16838" w:orient="portrait"/>
          <w:cols w:equalWidth="0" w:num="2">
            <w:col w:w="2840" w:space="720"/>
            <w:col w:w="7860"/>
          </w:cols>
          <w:pgMar w:left="240" w:top="125" w:right="239" w:bottom="393"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300" w:type="dxa"/>
            <w:vAlign w:val="bottom"/>
          </w:tcPr>
          <w:p>
            <w:pPr>
              <w:ind w:left="160"/>
              <w:spacing w:after="0"/>
              <w:rPr>
                <w:sz w:val="20"/>
                <w:szCs w:val="20"/>
                <w:color w:val="auto"/>
              </w:rPr>
            </w:pPr>
            <w:r>
              <w:rPr>
                <w:rFonts w:ascii="Arial" w:cs="Arial" w:eastAsia="Arial" w:hAnsi="Arial"/>
                <w:sz w:val="13"/>
                <w:szCs w:val="13"/>
                <w:color w:val="auto"/>
              </w:rPr>
              <w:t>Residential - Government Agencies</w:t>
            </w:r>
          </w:p>
        </w:tc>
        <w:tc>
          <w:tcPr>
            <w:tcW w:w="1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8.6</w:t>
            </w: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1,028.4</w:t>
            </w:r>
          </w:p>
        </w:tc>
        <w:tc>
          <w:tcPr>
            <w:tcW w:w="1020" w:type="dxa"/>
            <w:vAlign w:val="bottom"/>
          </w:tcPr>
          <w:p>
            <w:pPr>
              <w:ind w:left="620"/>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127.5</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1,164.5</w:t>
            </w:r>
          </w:p>
        </w:tc>
        <w:tc>
          <w:tcPr>
            <w:tcW w:w="1020" w:type="dxa"/>
            <w:vAlign w:val="bottom"/>
          </w:tcPr>
          <w:p>
            <w:pPr>
              <w:ind w:left="620"/>
              <w:spacing w:after="0"/>
              <w:rPr>
                <w:sz w:val="20"/>
                <w:szCs w:val="20"/>
                <w:color w:val="auto"/>
              </w:rPr>
            </w:pPr>
            <w:r>
              <w:rPr>
                <w:rFonts w:ascii="Arial" w:cs="Arial" w:eastAsia="Arial" w:hAnsi="Arial"/>
                <w:sz w:val="13"/>
                <w:szCs w:val="13"/>
                <w:color w:val="auto"/>
              </w:rPr>
              <w:t>2.6</w:t>
            </w:r>
          </w:p>
        </w:tc>
        <w:tc>
          <w:tcPr>
            <w:tcW w:w="2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1,172.8</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Residential - U.S. Government-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Sponsored Enterprises</w:t>
            </w: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532.9</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50.3</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2.4</w:t>
            </w:r>
          </w:p>
        </w:tc>
        <w:tc>
          <w:tcPr>
            <w:tcW w:w="1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584.3</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2.6</w:t>
            </w:r>
          </w:p>
        </w:tc>
        <w:tc>
          <w:tcPr>
            <w:tcW w:w="2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586.8</w:t>
            </w:r>
          </w:p>
        </w:tc>
        <w:tc>
          <w:tcPr>
            <w:tcW w:w="0" w:type="dxa"/>
            <w:vAlign w:val="bottom"/>
          </w:tcPr>
          <w:p>
            <w:pPr>
              <w:spacing w:after="0"/>
              <w:rPr>
                <w:sz w:val="1"/>
                <w:szCs w:val="1"/>
                <w:color w:val="auto"/>
              </w:rPr>
            </w:pPr>
          </w:p>
        </w:tc>
      </w:tr>
      <w:tr>
        <w:trPr>
          <w:trHeight w:val="151"/>
        </w:trPr>
        <w:tc>
          <w:tcPr>
            <w:tcW w:w="2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300" w:type="dxa"/>
            <w:vAlign w:val="bottom"/>
          </w:tcPr>
          <w:p>
            <w:pPr>
              <w:ind w:left="160"/>
              <w:spacing w:after="0"/>
              <w:rPr>
                <w:sz w:val="20"/>
                <w:szCs w:val="20"/>
                <w:color w:val="auto"/>
              </w:rPr>
            </w:pPr>
            <w:r>
              <w:rPr>
                <w:rFonts w:ascii="Arial" w:cs="Arial" w:eastAsia="Arial" w:hAnsi="Arial"/>
                <w:sz w:val="13"/>
                <w:szCs w:val="13"/>
                <w:color w:val="auto"/>
              </w:rPr>
              <w:t>Commercial - Government Agencies</w:t>
            </w:r>
          </w:p>
        </w:tc>
        <w:tc>
          <w:tcPr>
            <w:tcW w:w="140" w:type="dxa"/>
            <w:vAlign w:val="bottom"/>
          </w:tcPr>
          <w:p>
            <w:pPr>
              <w:spacing w:after="0"/>
              <w:rPr>
                <w:sz w:val="19"/>
                <w:szCs w:val="1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1.1</w:t>
            </w:r>
          </w:p>
        </w:tc>
        <w:tc>
          <w:tcPr>
            <w:tcW w:w="1080" w:type="dxa"/>
            <w:vAlign w:val="bottom"/>
            <w:vMerge w:val="restart"/>
          </w:tcPr>
          <w:p>
            <w:pPr>
              <w:jc w:val="right"/>
              <w:ind w:right="217"/>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9"/>
                <w:szCs w:val="19"/>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183.0</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9"/>
                <w:szCs w:val="19"/>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40.2</w:t>
            </w:r>
          </w:p>
        </w:tc>
        <w:tc>
          <w:tcPr>
            <w:tcW w:w="1020" w:type="dxa"/>
            <w:vAlign w:val="bottom"/>
            <w:vMerge w:val="restart"/>
          </w:tcPr>
          <w:p>
            <w:pPr>
              <w:jc w:val="right"/>
              <w:ind w:right="177"/>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9"/>
                <w:szCs w:val="19"/>
                <w:color w:val="auto"/>
              </w:rPr>
            </w:pP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224.3</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2.7</w:t>
            </w:r>
          </w:p>
        </w:tc>
        <w:tc>
          <w:tcPr>
            <w:tcW w:w="200" w:type="dxa"/>
            <w:vAlign w:val="bottom"/>
          </w:tcPr>
          <w:p>
            <w:pPr>
              <w:spacing w:after="0"/>
              <w:rPr>
                <w:sz w:val="19"/>
                <w:szCs w:val="19"/>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224.7</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Mortgage-Backed Securities</w:t>
            </w:r>
          </w:p>
        </w:tc>
        <w:tc>
          <w:tcPr>
            <w:tcW w:w="14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1,744.3</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218.0</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1,973.1</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2.6</w:t>
            </w:r>
          </w:p>
        </w:tc>
        <w:tc>
          <w:tcPr>
            <w:tcW w:w="20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1,984.3</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108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300" w:type="dxa"/>
            <w:vAlign w:val="bottom"/>
          </w:tcPr>
          <w:p>
            <w:pPr>
              <w:ind w:left="40"/>
              <w:spacing w:after="0"/>
              <w:rPr>
                <w:sz w:val="20"/>
                <w:szCs w:val="20"/>
                <w:color w:val="auto"/>
              </w:rPr>
            </w:pPr>
            <w:r>
              <w:rPr>
                <w:rFonts w:ascii="Arial" w:cs="Arial" w:eastAsia="Arial" w:hAnsi="Arial"/>
                <w:sz w:val="13"/>
                <w:szCs w:val="13"/>
                <w:color w:val="auto"/>
              </w:rPr>
              <w:t>Total</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w w:val="98"/>
              </w:rPr>
              <w:t>137.3</w:t>
            </w:r>
          </w:p>
        </w:tc>
        <w:tc>
          <w:tcPr>
            <w:tcW w:w="1080" w:type="dxa"/>
            <w:vAlign w:val="bottom"/>
            <w:vMerge w:val="restart"/>
          </w:tcPr>
          <w:p>
            <w:pPr>
              <w:jc w:val="right"/>
              <w:ind w:right="97"/>
              <w:spacing w:after="0"/>
              <w:rPr>
                <w:sz w:val="20"/>
                <w:szCs w:val="20"/>
                <w:color w:val="auto"/>
              </w:rPr>
            </w:pPr>
            <w:r>
              <w:rPr>
                <w:rFonts w:ascii="Arial" w:cs="Arial" w:eastAsia="Arial" w:hAnsi="Arial"/>
                <w:sz w:val="13"/>
                <w:szCs w:val="13"/>
                <w:color w:val="auto"/>
              </w:rPr>
              <w:t>2.6%</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2,080.3</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2.7%</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389.9</w:t>
            </w: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2.9%</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0.1</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5.6%</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2,607.6</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2.7%</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2,619.0</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Held-to-Maturity</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w w:val="88"/>
              </w:rPr>
              <w:t>Debt Securities Issued by the U.S. Treasury</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300" w:type="dxa"/>
            <w:vAlign w:val="bottom"/>
          </w:tcPr>
          <w:p>
            <w:pPr>
              <w:ind w:left="140"/>
              <w:spacing w:after="0"/>
              <w:rPr>
                <w:sz w:val="20"/>
                <w:szCs w:val="20"/>
                <w:color w:val="auto"/>
              </w:rPr>
            </w:pPr>
            <w:r>
              <w:rPr>
                <w:rFonts w:ascii="Arial" w:cs="Arial" w:eastAsia="Arial" w:hAnsi="Arial"/>
                <w:sz w:val="13"/>
                <w:szCs w:val="13"/>
                <w:color w:val="auto"/>
              </w:rPr>
              <w:t>and Government Agencies</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w w:val="98"/>
              </w:rPr>
              <w:t>274.4</w:t>
            </w:r>
          </w:p>
        </w:tc>
        <w:tc>
          <w:tcPr>
            <w:tcW w:w="1080" w:type="dxa"/>
            <w:vAlign w:val="bottom"/>
            <w:vMerge w:val="restart"/>
          </w:tcPr>
          <w:p>
            <w:pPr>
              <w:jc w:val="right"/>
              <w:ind w:right="97"/>
              <w:spacing w:after="0"/>
              <w:rPr>
                <w:sz w:val="20"/>
                <w:szCs w:val="20"/>
                <w:color w:val="auto"/>
              </w:rPr>
            </w:pPr>
            <w:r>
              <w:rPr>
                <w:rFonts w:ascii="Arial" w:cs="Arial" w:eastAsia="Arial" w:hAnsi="Arial"/>
                <w:sz w:val="13"/>
                <w:szCs w:val="13"/>
                <w:color w:val="auto"/>
              </w:rPr>
              <w:t>2.3%</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274.4</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2.3%</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89"/>
        </w:trPr>
        <w:tc>
          <w:tcPr>
            <w:tcW w:w="23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States and</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 xml:space="preserve">Political Subdivisions </w:t>
            </w:r>
            <w:r>
              <w:rPr>
                <w:rFonts w:ascii="Arial" w:cs="Arial" w:eastAsia="Arial" w:hAnsi="Arial"/>
                <w:sz w:val="8"/>
                <w:szCs w:val="8"/>
                <w:color w:val="auto"/>
              </w:rPr>
              <w:t>2</w:t>
            </w: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20.4</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34.4</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54.8</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2.5</w:t>
            </w:r>
          </w:p>
        </w:tc>
        <w:tc>
          <w:tcPr>
            <w:tcW w:w="2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300" w:type="dxa"/>
            <w:vAlign w:val="bottom"/>
          </w:tcPr>
          <w:p>
            <w:pPr>
              <w:ind w:left="40"/>
              <w:spacing w:after="0"/>
              <w:rPr>
                <w:sz w:val="20"/>
                <w:szCs w:val="20"/>
                <w:color w:val="auto"/>
              </w:rPr>
            </w:pPr>
            <w:r>
              <w:rPr>
                <w:rFonts w:ascii="Arial" w:cs="Arial" w:eastAsia="Arial" w:hAnsi="Arial"/>
                <w:sz w:val="13"/>
                <w:szCs w:val="13"/>
                <w:color w:val="auto"/>
                <w:w w:val="99"/>
              </w:rPr>
              <w:t>Debt Securities Issued by Corporations</w:t>
            </w:r>
          </w:p>
        </w:tc>
        <w:tc>
          <w:tcPr>
            <w:tcW w:w="140" w:type="dxa"/>
            <w:vAlign w:val="bottom"/>
          </w:tcPr>
          <w:p>
            <w:pPr>
              <w:spacing w:after="0"/>
              <w:rPr>
                <w:sz w:val="19"/>
                <w:szCs w:val="1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15.0</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9"/>
                <w:szCs w:val="19"/>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15.0</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9"/>
                <w:szCs w:val="19"/>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Mortgage-Backed Securities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300" w:type="dxa"/>
            <w:vAlign w:val="bottom"/>
          </w:tcPr>
          <w:p>
            <w:pPr>
              <w:ind w:left="160"/>
              <w:spacing w:after="0"/>
              <w:rPr>
                <w:sz w:val="20"/>
                <w:szCs w:val="20"/>
                <w:color w:val="auto"/>
              </w:rPr>
            </w:pPr>
            <w:r>
              <w:rPr>
                <w:rFonts w:ascii="Arial" w:cs="Arial" w:eastAsia="Arial" w:hAnsi="Arial"/>
                <w:sz w:val="13"/>
                <w:szCs w:val="13"/>
                <w:color w:val="auto"/>
              </w:rPr>
              <w:t>Residential - Government Agencies</w:t>
            </w:r>
          </w:p>
        </w:tc>
        <w:tc>
          <w:tcPr>
            <w:tcW w:w="14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34.2</w:t>
            </w: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698.0</w:t>
            </w:r>
          </w:p>
        </w:tc>
        <w:tc>
          <w:tcPr>
            <w:tcW w:w="1020" w:type="dxa"/>
            <w:vAlign w:val="bottom"/>
          </w:tcPr>
          <w:p>
            <w:pPr>
              <w:ind w:left="620"/>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335.2</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22"/>
                <w:szCs w:val="22"/>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1,067.4</w:t>
            </w:r>
          </w:p>
        </w:tc>
        <w:tc>
          <w:tcPr>
            <w:tcW w:w="1020" w:type="dxa"/>
            <w:vAlign w:val="bottom"/>
          </w:tcPr>
          <w:p>
            <w:pPr>
              <w:ind w:left="620"/>
              <w:spacing w:after="0"/>
              <w:rPr>
                <w:sz w:val="20"/>
                <w:szCs w:val="20"/>
                <w:color w:val="auto"/>
              </w:rPr>
            </w:pPr>
            <w:r>
              <w:rPr>
                <w:rFonts w:ascii="Arial" w:cs="Arial" w:eastAsia="Arial" w:hAnsi="Arial"/>
                <w:sz w:val="13"/>
                <w:szCs w:val="13"/>
                <w:color w:val="auto"/>
              </w:rPr>
              <w:t>2.7</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1,075.3</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Residential - U.S. Government-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Sponsored Enterprises</w:t>
            </w: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1,285.6</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260.8</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1,546.4</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2.7</w:t>
            </w:r>
          </w:p>
        </w:tc>
        <w:tc>
          <w:tcPr>
            <w:tcW w:w="2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1,557.9</w:t>
            </w:r>
          </w:p>
        </w:tc>
        <w:tc>
          <w:tcPr>
            <w:tcW w:w="0" w:type="dxa"/>
            <w:vAlign w:val="bottom"/>
          </w:tcPr>
          <w:p>
            <w:pPr>
              <w:spacing w:after="0"/>
              <w:rPr>
                <w:sz w:val="1"/>
                <w:szCs w:val="1"/>
                <w:color w:val="auto"/>
              </w:rPr>
            </w:pPr>
          </w:p>
        </w:tc>
      </w:tr>
      <w:tr>
        <w:trPr>
          <w:trHeight w:val="151"/>
        </w:trPr>
        <w:tc>
          <w:tcPr>
            <w:tcW w:w="2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300" w:type="dxa"/>
            <w:vAlign w:val="bottom"/>
          </w:tcPr>
          <w:p>
            <w:pPr>
              <w:ind w:left="160"/>
              <w:spacing w:after="0"/>
              <w:rPr>
                <w:sz w:val="20"/>
                <w:szCs w:val="20"/>
                <w:color w:val="auto"/>
              </w:rPr>
            </w:pPr>
            <w:r>
              <w:rPr>
                <w:rFonts w:ascii="Arial" w:cs="Arial" w:eastAsia="Arial" w:hAnsi="Arial"/>
                <w:sz w:val="13"/>
                <w:szCs w:val="13"/>
                <w:color w:val="auto"/>
              </w:rPr>
              <w:t>Commercial - Government Agencies</w:t>
            </w:r>
          </w:p>
        </w:tc>
        <w:tc>
          <w:tcPr>
            <w:tcW w:w="140" w:type="dxa"/>
            <w:vAlign w:val="bottom"/>
          </w:tcPr>
          <w:p>
            <w:pPr>
              <w:spacing w:after="0"/>
              <w:rPr>
                <w:sz w:val="19"/>
                <w:szCs w:val="1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5.9</w:t>
            </w:r>
          </w:p>
        </w:tc>
        <w:tc>
          <w:tcPr>
            <w:tcW w:w="1080" w:type="dxa"/>
            <w:vAlign w:val="bottom"/>
            <w:vMerge w:val="restart"/>
          </w:tcPr>
          <w:p>
            <w:pPr>
              <w:jc w:val="right"/>
              <w:ind w:right="217"/>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19"/>
                <w:szCs w:val="19"/>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78.4</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9"/>
                <w:szCs w:val="19"/>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84.3</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2.5</w:t>
            </w:r>
          </w:p>
        </w:tc>
        <w:tc>
          <w:tcPr>
            <w:tcW w:w="200" w:type="dxa"/>
            <w:vAlign w:val="bottom"/>
          </w:tcPr>
          <w:p>
            <w:pPr>
              <w:spacing w:after="0"/>
              <w:rPr>
                <w:sz w:val="19"/>
                <w:szCs w:val="19"/>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83.1</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Mortgage-Backed Securities</w:t>
            </w:r>
          </w:p>
        </w:tc>
        <w:tc>
          <w:tcPr>
            <w:tcW w:w="14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40.1</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2,062.0</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596.0</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2,698.1</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2.7</w:t>
            </w:r>
          </w:p>
        </w:tc>
        <w:tc>
          <w:tcPr>
            <w:tcW w:w="20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2,716.3</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108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300" w:type="dxa"/>
            <w:vAlign w:val="bottom"/>
          </w:tcPr>
          <w:p>
            <w:pPr>
              <w:ind w:left="40"/>
              <w:spacing w:after="0"/>
              <w:rPr>
                <w:sz w:val="20"/>
                <w:szCs w:val="20"/>
                <w:color w:val="auto"/>
              </w:rPr>
            </w:pPr>
            <w:r>
              <w:rPr>
                <w:rFonts w:ascii="Arial" w:cs="Arial" w:eastAsia="Arial" w:hAnsi="Arial"/>
                <w:sz w:val="13"/>
                <w:szCs w:val="13"/>
                <w:color w:val="auto"/>
              </w:rPr>
              <w:t>Total</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w w:val="98"/>
              </w:rPr>
              <w:t>334.9</w:t>
            </w:r>
          </w:p>
        </w:tc>
        <w:tc>
          <w:tcPr>
            <w:tcW w:w="1080" w:type="dxa"/>
            <w:vAlign w:val="bottom"/>
            <w:vMerge w:val="restart"/>
          </w:tcPr>
          <w:p>
            <w:pPr>
              <w:jc w:val="right"/>
              <w:ind w:right="97"/>
              <w:spacing w:after="0"/>
              <w:rPr>
                <w:sz w:val="20"/>
                <w:szCs w:val="20"/>
                <w:color w:val="auto"/>
              </w:rPr>
            </w:pPr>
            <w:r>
              <w:rPr>
                <w:rFonts w:ascii="Arial" w:cs="Arial" w:eastAsia="Arial" w:hAnsi="Arial"/>
                <w:sz w:val="13"/>
                <w:szCs w:val="13"/>
                <w:color w:val="auto"/>
              </w:rPr>
              <w:t>2.4%</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2,111.4</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2.7%</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596.0</w:t>
            </w: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2.8%</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3,042.3</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2.7%</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3,062.9</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Investment Securities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300" w:type="dxa"/>
            <w:vAlign w:val="bottom"/>
          </w:tcPr>
          <w:p>
            <w:pPr>
              <w:ind w:left="40"/>
              <w:spacing w:after="0"/>
              <w:rPr>
                <w:sz w:val="20"/>
                <w:szCs w:val="20"/>
                <w:color w:val="auto"/>
              </w:rPr>
            </w:pPr>
            <w:r>
              <w:rPr>
                <w:rFonts w:ascii="Arial" w:cs="Arial" w:eastAsia="Arial" w:hAnsi="Arial"/>
                <w:sz w:val="13"/>
                <w:szCs w:val="13"/>
                <w:color w:val="auto"/>
              </w:rPr>
              <w:t>As of December 31, 2019</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w w:val="98"/>
              </w:rPr>
              <w:t>472.2</w:t>
            </w:r>
          </w:p>
        </w:tc>
        <w:tc>
          <w:tcPr>
            <w:tcW w:w="108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4,191.7</w:t>
            </w:r>
          </w:p>
        </w:tc>
        <w:tc>
          <w:tcPr>
            <w:tcW w:w="10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985.9</w:t>
            </w:r>
          </w:p>
        </w:tc>
        <w:tc>
          <w:tcPr>
            <w:tcW w:w="10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0.1</w:t>
            </w:r>
          </w:p>
        </w:tc>
        <w:tc>
          <w:tcPr>
            <w:tcW w:w="10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5,649.9</w:t>
            </w:r>
          </w:p>
        </w:tc>
        <w:tc>
          <w:tcPr>
            <w:tcW w:w="1020" w:type="dxa"/>
            <w:vAlign w:val="bottom"/>
          </w:tcPr>
          <w:p>
            <w:pPr>
              <w:spacing w:after="0"/>
              <w:rPr>
                <w:sz w:val="19"/>
                <w:szCs w:val="19"/>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5,681.9</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As of December 31, 2018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8"/>
              </w:rPr>
              <w:t>248.4</w:t>
            </w:r>
          </w:p>
        </w:tc>
        <w:tc>
          <w:tcPr>
            <w:tcW w:w="10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3,012.8</w:t>
            </w:r>
          </w:p>
        </w:tc>
        <w:tc>
          <w:tcPr>
            <w:tcW w:w="10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92"/>
              </w:rPr>
              <w:t>2,212.6</w:t>
            </w:r>
          </w:p>
        </w:tc>
        <w:tc>
          <w:tcPr>
            <w:tcW w:w="10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30.5</w:t>
            </w:r>
          </w:p>
        </w:tc>
        <w:tc>
          <w:tcPr>
            <w:tcW w:w="10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5,504.3</w:t>
            </w:r>
          </w:p>
        </w:tc>
        <w:tc>
          <w:tcPr>
            <w:tcW w:w="10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5,422.0</w:t>
            </w:r>
          </w:p>
        </w:tc>
        <w:tc>
          <w:tcPr>
            <w:tcW w:w="0" w:type="dxa"/>
            <w:vAlign w:val="bottom"/>
          </w:tcPr>
          <w:p>
            <w:pPr>
              <w:spacing w:after="0"/>
              <w:rPr>
                <w:sz w:val="1"/>
                <w:szCs w:val="1"/>
                <w:color w:val="auto"/>
              </w:rPr>
            </w:pPr>
          </w:p>
        </w:tc>
      </w:tr>
      <w:tr>
        <w:trPr>
          <w:trHeight w:val="131"/>
        </w:trPr>
        <w:tc>
          <w:tcPr>
            <w:tcW w:w="23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vMerge w:val="continue"/>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vMerge w:val="continue"/>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0"/>
          <w:szCs w:val="20"/>
          <w:color w:val="auto"/>
          <w:vertAlign w:val="superscript"/>
        </w:rPr>
      </w:pPr>
      <w:r>
        <w:rPr>
          <w:rFonts w:ascii="Arial" w:cs="Arial" w:eastAsia="Arial" w:hAnsi="Arial"/>
          <w:sz w:val="12"/>
          <w:szCs w:val="12"/>
          <w:color w:val="auto"/>
        </w:rPr>
        <w:t>Weighted-average yields on investment securities available-for-sale are based on amortized cost.</w:t>
      </w:r>
    </w:p>
    <w:p>
      <w:pPr>
        <w:ind w:left="180" w:hanging="172"/>
        <w:spacing w:after="0" w:line="187" w:lineRule="auto"/>
        <w:tabs>
          <w:tab w:leader="none" w:pos="180" w:val="left"/>
        </w:tabs>
        <w:numPr>
          <w:ilvl w:val="0"/>
          <w:numId w:val="22"/>
        </w:numPr>
        <w:rPr>
          <w:rFonts w:ascii="Arial" w:cs="Arial" w:eastAsia="Arial" w:hAnsi="Arial"/>
          <w:sz w:val="15"/>
          <w:szCs w:val="15"/>
          <w:color w:val="auto"/>
          <w:vertAlign w:val="superscript"/>
        </w:rPr>
      </w:pPr>
      <w:r>
        <w:rPr>
          <w:rFonts w:ascii="Arial" w:cs="Arial" w:eastAsia="Arial" w:hAnsi="Arial"/>
          <w:sz w:val="9"/>
          <w:szCs w:val="9"/>
          <w:color w:val="auto"/>
        </w:rPr>
        <w:t>Weighted-average yields on obligations of states and political subdivisions are generally tax-exempt and are computed on a taxable-equivalent basis using a federal statutory tax rate of 21%.</w:t>
      </w:r>
    </w:p>
    <w:p>
      <w:pPr>
        <w:ind w:left="180" w:hanging="172"/>
        <w:spacing w:after="0" w:line="182" w:lineRule="auto"/>
        <w:tabs>
          <w:tab w:leader="none" w:pos="180" w:val="left"/>
        </w:tabs>
        <w:numPr>
          <w:ilvl w:val="0"/>
          <w:numId w:val="23"/>
        </w:numPr>
        <w:rPr>
          <w:rFonts w:ascii="Arial" w:cs="Arial" w:eastAsia="Arial" w:hAnsi="Arial"/>
          <w:sz w:val="17"/>
          <w:szCs w:val="17"/>
          <w:color w:val="auto"/>
          <w:vertAlign w:val="superscript"/>
        </w:rPr>
      </w:pPr>
      <w:r>
        <w:rPr>
          <w:rFonts w:ascii="Arial" w:cs="Arial" w:eastAsia="Arial" w:hAnsi="Arial"/>
          <w:sz w:val="11"/>
          <w:szCs w:val="11"/>
          <w:color w:val="auto"/>
        </w:rPr>
        <w:t>Information for mortgage-backed securities and small business administration securities reflect weighted average life, including anticipated future prepayments.</w:t>
      </w:r>
    </w:p>
    <w:p>
      <w:pPr>
        <w:spacing w:after="0" w:line="19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carrying value of our investment securities portfolio was $5.7 billion as of December 31, 2019, an increase of $171.3 million or 3% compared to December 31, 2018, primarily due to an increase in mortgage-backed securities. As of December 31, 2019, our investment securities portfolio was comprised of securities with an average base duration of approximately 3.4 years.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 On June 10, 2019, prepayable debt securities with a carrying value of $1.0 billion and a net unrealized gain of $3.1 million were transferred from held-to-maturity to available-for-sale. The reclassified securities consisted of mortgage-backed securities issued by government agencies and U.S. government-sponsored enterprises, municipal debt securities, and corporate debt securities. See Note 1 to the Consolidated Financial Statements for more information.</w:t>
      </w:r>
    </w:p>
    <w:p>
      <w:pPr>
        <w:sectPr>
          <w:pgSz w:w="11900" w:h="16838" w:orient="portrait"/>
          <w:cols w:equalWidth="0" w:num="1">
            <w:col w:w="11420"/>
          </w:cols>
          <w:pgMar w:left="240" w:top="125" w:right="239" w:bottom="393" w:gutter="0" w:footer="0" w:header="0"/>
          <w:type w:val="continuous"/>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393"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2019, we reduced our positions in municipal debt securities and certain mortgage-backed securities as part of a portfolio repositioning. Ginnie Mae mortgage-backed securities continue to be the largest concentration in our portfolio. As of December 31, 2019, our portfolio of Ginnie Mae mortgage-backed securities was primarily comprised of securities issued in 2008 or later. As of December 31, 2019, these mortgage-backed securities were all AAA-rated, with a low probability of a change in their credit ratings in the near future. As of December 31, 2019, our available-for-sale investment securities portfolio was comprised of securities with an average base duration of approximately 3.0 years.</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unrealized gains in our investment securities portfolio were $51.1 million as of December 31, 2019, and $21.2 million as of December 31, 2018. Gross unrealized losses on our temporarily impaired investment securities were $19.2 million as of December 31, 2019, and $103.5 million as of December 31, 2018. The gross unrealized loss positions were primarily related to mortgage-backed securities issued by Ginnie Mae, Fannie Mae, and Freddie Mac. See Note 3 to the Consolidated Financial Statements for more information.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corporate bond holdings as of December 31, 2019, had a fair value of $351.2 million. Of this total, $39.7 million or 11% was fully guaranteed by the Export-Import Bank of the United States, an agency of the U.S. government. Of the remaining $311.5 million of corporate bonds, 35% were credit-rated A or better by Standard &amp; Poor’s while all of the remaining corporate bonds were credit-rated A- or better by at least one nationally recognized statistical rating organization.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Loans and Leases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December 31,</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1,379,152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1,331,149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1,279,347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1,249,791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1,115,168</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2,518,051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2,302,356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2,103,967</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1,889,551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1,677,147</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194,170</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170,061</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202,253</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270,018</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156,660</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122,454</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176,226</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180,931</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208,332</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204,877</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4,213,827</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3,979,792</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3,766,498</w:t>
            </w: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3,617,692</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3,153,852</w:t>
            </w: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3,891,100</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3,673,796</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3,466,773</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3,163,073</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2,925,605</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1,676,073</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1,681,442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1,585,455</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1,334,163</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1,069,400</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2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720,286</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658,133</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528,474</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454,333</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381,735</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tcBorders>
              <w:bottom w:val="single" w:sz="8" w:color="auto"/>
            </w:tcBorders>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489,606</w:t>
            </w: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455,611</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449,747</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380,524</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348,393</w:t>
            </w: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2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6,777,065</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6,468,982</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6,030,449</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5,332,093</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4,725,133</w:t>
            </w: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10,990,892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10,448,774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9,796,947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8,949,785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7,878,985</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00" w:hanging="92"/>
        <w:spacing w:after="0"/>
        <w:tabs>
          <w:tab w:leader="none" w:pos="10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Comprised of other revolving credit, installment, and lease financing.</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loans and leases were $11.0 billion as of December 31, 2019. This represents a $0.5 billion or 5% increase from December 31, 2018, primarily due to growth in many of our commercial and consumer loan and lease portfolios partially offset by a decrease in lease financing.</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commercial loan and lease portfolio is comprised of commercial and industrial loans, commercial mortgages, construction loans, and lease financing. Commercial and industrial loans are made primarily to corporations, middle market, and small businesses for the purpose of financing equipment acquisition, expansion, working capital, and other general business purposes. Commercial mortgages and construction loans are offered to real estate investors, developers, and builders primarily domiciled in Hawaii. Commercial mortgages are secured by first mortgages on commercial real estate at loan-to-value ratios generally not exceeding 75%. The commercial properties are predominantly developments such as retail centers, apartments, industrial properties, and to a lesser extent, specialized properties such as hotels. The primary source of repayment for investor property is cash flow from the property and for owner-occupied property is the operating cash flow from the business. Construction loans are for the purchase or construction of a property for which repayment will be generated by the property. We classify loans as construction until the completion of the construction phase. Following construction, if a loan is retained, the loan is reclassified to the commercial mortgage category. Lease financing consists of sales-type leases and leveraged leases and are used by commercial customers to finance capital purchases. Although our primary market is Hawaii, the commercial portfolio contains loans to some borrowers based on the U.S. Mainland, including some Shared National Credits.</w:t>
      </w:r>
    </w:p>
    <w:p>
      <w:pPr>
        <w:sectPr>
          <w:pgSz w:w="11900" w:h="16838" w:orient="portrait"/>
          <w:cols w:equalWidth="0" w:num="1">
            <w:col w:w="11420"/>
          </w:cols>
          <w:pgMar w:left="240" w:top="125"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Commercial loans and leases were $4.2 billion as of December 31, 2019, an increase of $234.0 million or 6% from December 31, 2018. Commercial mortgage loans increased by $215.7 million or 9% from December 31, 2018, primarily due to continued demand from new and existing customers as the Hawaii economy continued to be strong. Commercial and industrial loans increased by $48.0 million or 4% from December 31, 2018. Construction loans increased by $24.1 million or 14% from December 31, 2018, primarily due to an increase in construction activity in our market, partially offset by paydowns and successful completion of existing construction projects, such as condominiums and low income housing. Lease financing decreased by $53.8 million or 31% from December 31, 2018, primarily due to two lessees exercising their early buy-out option on leveraged leases in the first and third quarter of 2019.</w:t>
      </w:r>
    </w:p>
    <w:p>
      <w:pPr>
        <w:spacing w:after="0" w:line="1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consumer loan and lease portfolio is comprised of residential mortgage loans, home equity lines and loans, indirect auto loans and leases, and other consumer loans including personal credit lines, direct installment loans, and rewards-based consumer credit cards. These products are generally offered in the geographic markets we serve. Although we offer a variety of products, our residential mortgage loan portfolio is primarily comprised of fixed-rate loans concentrated in Hawaii. We also offer a variety of home equity lines and loans, usually secured by second mortgages on residential property of the borrower. Automobile lending activities include loans and leases secured by new or used automobiles. We originate automobile loans and leases on an indirect basis through selected dealerships. Direct installment loans are generally unsecured and are often used for personal expenses or for debt consolidation.</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Consumer loans and leases were $6.8 billion as of December 31, 2019, an increase of $308.1 million or 5% from December 31, 2018. Residential mortgage loans increased by $217.3 million or 6% from December 31, 2018, primarily due to higher loan originations, partially offset by an increase in payoff activity. Automobile loans increased by $62.2 million or 9% from December 31, 2018 primarily driven by competitive loan programs and pricing. Other consumer loans increased by $34.0 million or 7% from December 31, 2018, primarily due to growth in our installment loans. Despite ongoing steady new production and loan demand, the home equity portfolio decreased by $5.4 million or less than 1% from December 31, 2018, as a result of increased runoff rates driven by lower mortgage rate environment.</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4 to the Consolidated Financial Statements and the “Corporate Risk Profile – Credit Risk” section of MD&amp;A for more information on our loan and lease portfolio.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Table 9 presents the geographic distribution of our loan and lease portfolio.</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gridSpan w:val="3"/>
          </w:tcPr>
          <w:p>
            <w:pPr>
              <w:ind w:left="40"/>
              <w:spacing w:after="0"/>
              <w:rPr>
                <w:sz w:val="20"/>
                <w:szCs w:val="20"/>
                <w:color w:val="auto"/>
              </w:rPr>
            </w:pPr>
            <w:r>
              <w:rPr>
                <w:rFonts w:ascii="Arial" w:cs="Arial" w:eastAsia="Arial" w:hAnsi="Arial"/>
                <w:sz w:val="16"/>
                <w:szCs w:val="16"/>
                <w:b w:val="1"/>
                <w:bCs w:val="1"/>
                <w:color w:val="auto"/>
              </w:rPr>
              <w:t>Geographic Distribution of Loan and Lease Portfolio</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9</w:t>
            </w:r>
          </w:p>
        </w:tc>
      </w:tr>
      <w:tr>
        <w:trPr>
          <w:trHeight w:val="33"/>
        </w:trPr>
        <w:tc>
          <w:tcPr>
            <w:tcW w:w="3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gridSpan w:val="3"/>
          </w:tcPr>
          <w:p>
            <w:pPr>
              <w:jc w:val="right"/>
              <w:ind w:right="718"/>
              <w:spacing w:after="0"/>
              <w:rPr>
                <w:sz w:val="20"/>
                <w:szCs w:val="20"/>
                <w:color w:val="auto"/>
              </w:rPr>
            </w:pPr>
            <w:r>
              <w:rPr>
                <w:rFonts w:ascii="Arial" w:cs="Arial" w:eastAsia="Arial" w:hAnsi="Arial"/>
                <w:sz w:val="16"/>
                <w:szCs w:val="16"/>
                <w:b w:val="1"/>
                <w:bCs w:val="1"/>
                <w:color w:val="auto"/>
              </w:rPr>
              <w:t>December 31, 2019</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258"/>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38"/>
              <w:spacing w:after="0"/>
              <w:rPr>
                <w:sz w:val="20"/>
                <w:szCs w:val="20"/>
                <w:color w:val="auto"/>
              </w:rPr>
            </w:pPr>
            <w:r>
              <w:rPr>
                <w:rFonts w:ascii="Arial" w:cs="Arial" w:eastAsia="Arial" w:hAnsi="Arial"/>
                <w:sz w:val="16"/>
                <w:szCs w:val="16"/>
                <w:b w:val="1"/>
                <w:bCs w:val="1"/>
                <w:color w:val="auto"/>
              </w:rPr>
              <w:t>U.S.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258"/>
              <w:spacing w:after="0"/>
              <w:rPr>
                <w:sz w:val="20"/>
                <w:szCs w:val="20"/>
                <w:color w:val="auto"/>
              </w:rPr>
            </w:pPr>
            <w:r>
              <w:rPr>
                <w:rFonts w:ascii="Arial" w:cs="Arial" w:eastAsia="Arial" w:hAnsi="Arial"/>
                <w:sz w:val="16"/>
                <w:szCs w:val="16"/>
                <w:b w:val="1"/>
                <w:bCs w:val="1"/>
                <w:color w:val="auto"/>
              </w:rPr>
              <w:t>Pacific</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3"/>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Hawaii</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 xml:space="preserve">Mainland </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Guam</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Islands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98"/>
              </w:rPr>
              <w:t xml:space="preserve">Foreign </w:t>
            </w:r>
            <w:r>
              <w:rPr>
                <w:rFonts w:ascii="Arial" w:cs="Arial" w:eastAsia="Arial" w:hAnsi="Arial"/>
                <w:sz w:val="21"/>
                <w:szCs w:val="21"/>
                <w:b w:val="1"/>
                <w:bCs w:val="1"/>
                <w:color w:val="auto"/>
                <w:w w:val="98"/>
                <w:vertAlign w:val="superscript"/>
              </w:rPr>
              <w:t>2</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8"/>
              <w:spacing w:after="0"/>
              <w:rPr>
                <w:sz w:val="20"/>
                <w:szCs w:val="20"/>
                <w:color w:val="auto"/>
              </w:rPr>
            </w:pPr>
            <w:r>
              <w:rPr>
                <w:rFonts w:ascii="Arial" w:cs="Arial" w:eastAsia="Arial" w:hAnsi="Arial"/>
                <w:sz w:val="16"/>
                <w:szCs w:val="16"/>
                <w:color w:val="auto"/>
              </w:rPr>
              <w:t>1,182,908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99,884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87,101</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9,244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15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1,379,152</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2,144,627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131,425</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241,531</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468</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2,518,051</w:t>
            </w: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20"/>
                <w:szCs w:val="20"/>
                <w:color w:val="auto"/>
              </w:rPr>
            </w:pPr>
          </w:p>
        </w:tc>
        <w:tc>
          <w:tcPr>
            <w:tcW w:w="1160" w:type="dxa"/>
            <w:vAlign w:val="bottom"/>
          </w:tcPr>
          <w:p>
            <w:pPr>
              <w:jc w:val="right"/>
              <w:ind w:right="218"/>
              <w:spacing w:after="0"/>
              <w:rPr>
                <w:sz w:val="20"/>
                <w:szCs w:val="20"/>
                <w:color w:val="auto"/>
              </w:rPr>
            </w:pPr>
            <w:r>
              <w:rPr>
                <w:rFonts w:ascii="Arial" w:cs="Arial" w:eastAsia="Arial" w:hAnsi="Arial"/>
                <w:sz w:val="16"/>
                <w:szCs w:val="16"/>
                <w:color w:val="auto"/>
              </w:rPr>
              <w:t>194,170</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194,170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69,542</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50,225</w:t>
            </w: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570</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2,117</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122,454</w:t>
            </w:r>
          </w:p>
        </w:tc>
      </w:tr>
      <w:tr>
        <w:trPr>
          <w:trHeight w:val="231"/>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3,591,247</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281,534</w:t>
            </w: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329,202</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9,712</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2,132</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4,213,827</w:t>
            </w:r>
          </w:p>
        </w:tc>
      </w:tr>
      <w:tr>
        <w:trPr>
          <w:trHeight w:val="33"/>
        </w:trPr>
        <w:tc>
          <w:tcPr>
            <w:tcW w:w="3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1160" w:type="dxa"/>
            <w:vAlign w:val="bottom"/>
          </w:tcPr>
          <w:p>
            <w:pPr>
              <w:jc w:val="right"/>
              <w:ind w:right="218"/>
              <w:spacing w:after="0"/>
              <w:rPr>
                <w:sz w:val="20"/>
                <w:szCs w:val="20"/>
                <w:color w:val="auto"/>
              </w:rPr>
            </w:pPr>
            <w:r>
              <w:rPr>
                <w:rFonts w:ascii="Arial" w:cs="Arial" w:eastAsia="Arial" w:hAnsi="Arial"/>
                <w:sz w:val="16"/>
                <w:szCs w:val="16"/>
                <w:color w:val="auto"/>
              </w:rPr>
              <w:t>3,818,529</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71,493</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1,078</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3,891,100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1,636,627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122</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38,999</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325</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1,676,073</w:t>
            </w: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240" w:type="dxa"/>
            <w:vAlign w:val="bottom"/>
          </w:tcPr>
          <w:p>
            <w:pPr>
              <w:spacing w:after="0"/>
              <w:rPr>
                <w:sz w:val="20"/>
                <w:szCs w:val="20"/>
                <w:color w:val="auto"/>
              </w:rPr>
            </w:pPr>
          </w:p>
        </w:tc>
        <w:tc>
          <w:tcPr>
            <w:tcW w:w="1160" w:type="dxa"/>
            <w:vAlign w:val="bottom"/>
          </w:tcPr>
          <w:p>
            <w:pPr>
              <w:jc w:val="right"/>
              <w:ind w:right="218"/>
              <w:spacing w:after="0"/>
              <w:rPr>
                <w:sz w:val="20"/>
                <w:szCs w:val="20"/>
                <w:color w:val="auto"/>
              </w:rPr>
            </w:pPr>
            <w:r>
              <w:rPr>
                <w:rFonts w:ascii="Arial" w:cs="Arial" w:eastAsia="Arial" w:hAnsi="Arial"/>
                <w:sz w:val="16"/>
                <w:szCs w:val="16"/>
                <w:color w:val="auto"/>
              </w:rPr>
              <w:t>553,388</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147,790</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19,108</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720,286</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404,262</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59,250</w:t>
            </w: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26,094</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489,606</w:t>
            </w:r>
          </w:p>
        </w:tc>
      </w:tr>
      <w:tr>
        <w:trPr>
          <w:trHeight w:val="231"/>
        </w:trPr>
        <w:tc>
          <w:tcPr>
            <w:tcW w:w="31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240" w:type="dxa"/>
            <w:vAlign w:val="bottom"/>
          </w:tcPr>
          <w:p>
            <w:pPr>
              <w:spacing w:after="0"/>
              <w:rPr>
                <w:sz w:val="20"/>
                <w:szCs w:val="20"/>
                <w:color w:val="auto"/>
              </w:rPr>
            </w:pPr>
          </w:p>
        </w:tc>
        <w:tc>
          <w:tcPr>
            <w:tcW w:w="1160" w:type="dxa"/>
            <w:vAlign w:val="bottom"/>
          </w:tcPr>
          <w:p>
            <w:pPr>
              <w:jc w:val="right"/>
              <w:ind w:right="218"/>
              <w:spacing w:after="0"/>
              <w:rPr>
                <w:sz w:val="20"/>
                <w:szCs w:val="20"/>
                <w:color w:val="auto"/>
              </w:rPr>
            </w:pPr>
            <w:r>
              <w:rPr>
                <w:rFonts w:ascii="Arial" w:cs="Arial" w:eastAsia="Arial" w:hAnsi="Arial"/>
                <w:sz w:val="16"/>
                <w:szCs w:val="16"/>
                <w:color w:val="auto"/>
              </w:rPr>
              <w:t>6,412,806</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122</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317,532</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46,605</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6,777,065</w:t>
            </w:r>
          </w:p>
        </w:tc>
      </w:tr>
      <w:tr>
        <w:trPr>
          <w:trHeight w:val="33"/>
        </w:trPr>
        <w:tc>
          <w:tcPr>
            <w:tcW w:w="3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10,004,053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281,656</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646,734</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56,317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2,132</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10,990,892</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Percentage of Total Loans and Leases</w:t>
            </w:r>
          </w:p>
        </w:tc>
        <w:tc>
          <w:tcPr>
            <w:tcW w:w="24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
        </w:trPr>
        <w:tc>
          <w:tcPr>
            <w:tcW w:w="3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8"/>
          <w:szCs w:val="8"/>
          <w:color w:val="auto"/>
        </w:rPr>
      </w:pPr>
      <w:r>
        <w:rPr>
          <w:rFonts w:ascii="Arial" w:cs="Arial" w:eastAsia="Arial" w:hAnsi="Arial"/>
          <w:sz w:val="12"/>
          <w:szCs w:val="12"/>
          <w:color w:val="auto"/>
        </w:rPr>
        <w:t>For secured loans and leases, classification as U.S. Mainland is made based on where the collateral is located. For unsecured loans and leases, classification as U.S. Mainland is made based on the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9"/>
          <w:szCs w:val="9"/>
          <w:color w:val="auto"/>
        </w:rPr>
      </w:pPr>
      <w:r>
        <w:rPr>
          <w:rFonts w:ascii="Arial" w:cs="Arial" w:eastAsia="Arial" w:hAnsi="Arial"/>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 Our consumer loan and lease portfolio includes limited lending activities on the U.S. Mainland.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$576.8 million or 6% from December 31, 2018, reflective of a stable Hawaii economy.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a maturity distribution for selected loan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Maturities for Selected Loan Categories </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b w:val="1"/>
                <w:bCs w:val="1"/>
                <w:color w:val="auto"/>
              </w:rPr>
              <w:t>Due in</w:t>
            </w:r>
          </w:p>
        </w:tc>
        <w:tc>
          <w:tcPr>
            <w:tcW w:w="3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Due After One</w:t>
            </w:r>
          </w:p>
        </w:tc>
        <w:tc>
          <w:tcPr>
            <w:tcW w:w="3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Due After</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One Year or Less</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xml:space="preserve">to Five Years </w:t>
            </w:r>
            <w:r>
              <w:rPr>
                <w:rFonts w:ascii="Arial" w:cs="Arial" w:eastAsia="Arial" w:hAnsi="Arial"/>
                <w:sz w:val="21"/>
                <w:szCs w:val="21"/>
                <w:b w:val="1"/>
                <w:bCs w:val="1"/>
                <w:color w:val="auto"/>
                <w:vertAlign w:val="superscript"/>
              </w:rPr>
              <w:t>2</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 xml:space="preserve">Five Years </w:t>
            </w:r>
            <w:r>
              <w:rPr>
                <w:rFonts w:ascii="Arial" w:cs="Arial" w:eastAsia="Arial" w:hAnsi="Arial"/>
                <w:sz w:val="21"/>
                <w:szCs w:val="21"/>
                <w:b w:val="1"/>
                <w:bCs w:val="1"/>
                <w:color w:val="auto"/>
                <w:w w:val="93"/>
                <w:vertAlign w:val="superscript"/>
              </w:rPr>
              <w:t>2</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370,248</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481,796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527,108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1,379,152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Construction</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68,953</w:t>
            </w:r>
          </w:p>
        </w:tc>
        <w:tc>
          <w:tcPr>
            <w:tcW w:w="38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62,302</w:t>
            </w:r>
          </w:p>
        </w:tc>
        <w:tc>
          <w:tcPr>
            <w:tcW w:w="3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62,915</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194,170</w:t>
            </w:r>
          </w:p>
        </w:tc>
      </w:tr>
      <w:tr>
        <w:trPr>
          <w:trHeight w:val="33"/>
        </w:trPr>
        <w:tc>
          <w:tcPr>
            <w:tcW w:w="5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439,201</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544,098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590,023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1,573,322</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80" w:hanging="72"/>
        <w:spacing w:after="0"/>
        <w:tabs>
          <w:tab w:leader="none" w:pos="80" w:val="left"/>
        </w:tabs>
        <w:numPr>
          <w:ilvl w:val="0"/>
          <w:numId w:val="28"/>
        </w:numPr>
        <w:rPr>
          <w:rFonts w:ascii="Arial" w:cs="Arial" w:eastAsia="Arial" w:hAnsi="Arial"/>
          <w:sz w:val="9"/>
          <w:szCs w:val="9"/>
          <w:color w:val="auto"/>
        </w:rPr>
      </w:pPr>
      <w:r>
        <w:rPr>
          <w:rFonts w:ascii="Arial" w:cs="Arial" w:eastAsia="Arial" w:hAnsi="Arial"/>
          <w:sz w:val="14"/>
          <w:szCs w:val="14"/>
          <w:color w:val="auto"/>
        </w:rPr>
        <w:t>Based on contractual maturities.</w:t>
      </w:r>
    </w:p>
    <w:p>
      <w:pPr>
        <w:spacing w:after="0" w:line="13" w:lineRule="exact"/>
        <w:rPr>
          <w:sz w:val="20"/>
          <w:szCs w:val="20"/>
          <w:color w:val="auto"/>
        </w:rPr>
      </w:pPr>
    </w:p>
    <w:p>
      <w:pPr>
        <w:ind w:left="80" w:hanging="72"/>
        <w:spacing w:after="0"/>
        <w:tabs>
          <w:tab w:leader="none" w:pos="80" w:val="left"/>
        </w:tabs>
        <w:numPr>
          <w:ilvl w:val="0"/>
          <w:numId w:val="29"/>
        </w:numPr>
        <w:rPr>
          <w:rFonts w:ascii="Arial" w:cs="Arial" w:eastAsia="Arial" w:hAnsi="Arial"/>
          <w:sz w:val="9"/>
          <w:szCs w:val="9"/>
          <w:color w:val="auto"/>
        </w:rPr>
      </w:pPr>
      <w:r>
        <w:rPr>
          <w:rFonts w:ascii="Arial" w:cs="Arial" w:eastAsia="Arial" w:hAnsi="Arial"/>
          <w:sz w:val="14"/>
          <w:szCs w:val="14"/>
          <w:color w:val="auto"/>
        </w:rPr>
        <w:t>As of December 31, 2019, loans maturing after one year consisted of $648.3 million in variable rate loans and $485.8 million in fixed rate loans.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Goodwill was $31.5 million as of December 31, 2019, and December 31, 2018. As of December 31, 2019, based on our qualitative assessment, there were no reporting units where we believed it was more likely than not that the fair value of a reporting unit was less than its carrying amount, including goodwill. As a result, we had no reporting units where there was a reasonable possibility of failing Step 1 of the goodwill impairment test. See Note 1 to the Consolidated Financial Statements for more information on our goodwill impairment policy.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Other assets were $272.7 million as of December 31, 2019, an increase of $41.8 million or 18% from December 31, 2018. This increase was due to a $14.3 million increase in derivative financial instruments, which was primarily due to fair value increases of our interest rate swap agreement assets, which are impacted by prevailing interest rates. Pledged collateral increased by $11.5 million due to a lower rate environment which is included in other assets. Deferred compensation plan assets increased by $9.6 million primarily due to an increase in the executive deferred compensation plan. See Note 7 to the Consolidated Financial Statements for more information on the composition of our other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components of our deposits by major customer categories as of December 31, 2019, and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8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8,118,494</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7,726,731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6,324,214</w:t>
            </w: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6,098,186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1,341,774</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1,202,325</w:t>
            </w:r>
          </w:p>
        </w:tc>
      </w:tr>
      <w:tr>
        <w:trPr>
          <w:trHeight w:val="231"/>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15,784,482</w:t>
            </w:r>
          </w:p>
        </w:tc>
        <w:tc>
          <w:tcPr>
            <w:tcW w:w="5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15,027,242</w:t>
            </w:r>
          </w:p>
        </w:tc>
      </w:tr>
      <w:tr>
        <w:trPr>
          <w:trHeight w:val="33"/>
        </w:trPr>
        <w:tc>
          <w:tcPr>
            <w:tcW w:w="8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Total deposits were $15.8 billion as of December 31, 2019, a $757.2 million or 5% increase from December 31, 2018. This increase was primarily due to an increase in consumer and commercial deposits. Consumer deposits increased by $391.8 million due to an increase in core deposits and time deposits of $335.1 million and $56.7 million, respectively. Commercial deposits increased by $226.0 million or 4% due to a $305.5 million increase in core deposits offset by a $79.5 million decrease in time deposits. In addition, public and other deposits increased by $139.4 million or 12% due to an increase in public time and demand deposits of $79.7 million and $59.7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components of our savings deposits as of December 31, 2019, and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8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2,519,414</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1,973,979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3,845,907</w:t>
            </w:r>
          </w:p>
        </w:tc>
        <w:tc>
          <w:tcPr>
            <w:tcW w:w="6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3,565,220</w:t>
            </w:r>
          </w:p>
        </w:tc>
      </w:tr>
      <w:tr>
        <w:trPr>
          <w:trHeight w:val="33"/>
        </w:trPr>
        <w:tc>
          <w:tcPr>
            <w:tcW w:w="8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6,365,321</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5,539,199</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8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4,306</w:t>
            </w:r>
          </w:p>
        </w:tc>
        <w:tc>
          <w:tcPr>
            <w:tcW w:w="6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4,296</w:t>
            </w:r>
          </w:p>
        </w:tc>
      </w:tr>
      <w:tr>
        <w:trPr>
          <w:trHeight w:val="33"/>
        </w:trPr>
        <w:tc>
          <w:tcPr>
            <w:tcW w:w="8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604,306</w:t>
            </w:r>
          </w:p>
        </w:tc>
        <w:tc>
          <w:tcPr>
            <w:tcW w:w="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Securities sold under agreements to repurchase as of December 31, 2019, increased by $100.0 million or 20% from December 31, 2018. This increase was primarily due to additional repurchase agreements during September 2019. As of December 31, 2019, the weighted-average maturity was 390 days for our repurchase agreements with government entities and 4.0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3.42 years. As of December 31, 2019, and December 31, 2018, the weighted-average interest rate for repurchase agreements with government entities was 1.49% and 1.19%, respectively, while the weighted-average interest rate for repurchase agreements with private institutions as of December 31, 2019, and December 31, 2018, was 2.68% and 3.64%, respectively, with all rates being fixed. Each of our repurchase agreements is accounted for as collateralized financing arrangements (i.e., a secured borrowing) and not as a sale and subsequent repurchase of securities.</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third quarter of 2019, we restructured 10 of our repurchase agreements with private institutions with an aggregate total purchase price of $275.0 million. These repurchase agreements were scheduled to mature in 2020 to 2021 and had a weighted-average interest rate of 4.36%. The restructuring of the agreements extended the maturity dates through July 2024 to September 2024 and lowered the weighted-average interest rate to 2.94% effective September 2019. See Note 9 and 19 to the Consolidated Financial Statements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debt was $85.6 million as of December 31, 2019, a decrease of $50.1 million or 37% from December 31, 2018. This decrease was primarily due to two FHLB advances totaling $50.0 million which matured during 2019. As of December 31, 2019, this balance was mainly comprised of $75.0 million in FHLB advances with a weighted-average interest rate of 2.42% and maturity dates during 2020. These advances were primarily for asset/liability management purposes. As of December 31, 2019, our remaining line of credit with the FHLB was $2.5 billion.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Plan Obligations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Retirement benefits payable were $44.5 million as of December 31, 2019, a $4.0 million or 10% increase from December 31, 2018. Our pension and postretirement benefit obligations and net periodic benefit cost are actuarially determined based on a number of key assumptions, including the discount rate, the expected return on plan assets, and the health-care cost trend rate. The accounting for pension and postretirement benefit plans reflect the long-term nature of the obligations and the investment horizon of the plan assets. The increase in retirement benefits payable was primarily due to change in discount rate.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discount rate is used to determine the present value of future benefit obligations and the net periodic benefit cost. The discount rate used to value the present value of future benefit obligations as of each year-end is the rate used to estimate the net periodic benefit cost for the following year. Table 14 presents a sensitivity analysis of a 25 basis point change in discount rates to the pension and postretirement benefit plan’s net periodic benefit cost and benefit obligations: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Discount Rate Sensitivity Analysis</w:t>
            </w: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rPr>
              <w:t>Table 14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Impact of</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gridSpan w:val="3"/>
          </w:tcPr>
          <w:p>
            <w:pPr>
              <w:ind w:left="140"/>
              <w:spacing w:after="0"/>
              <w:rPr>
                <w:sz w:val="20"/>
                <w:szCs w:val="20"/>
                <w:color w:val="auto"/>
              </w:rPr>
            </w:pPr>
            <w:r>
              <w:rPr>
                <w:rFonts w:ascii="Arial" w:cs="Arial" w:eastAsia="Arial" w:hAnsi="Arial"/>
                <w:sz w:val="16"/>
                <w:szCs w:val="16"/>
                <w:b w:val="1"/>
                <w:bCs w:val="1"/>
                <w:color w:val="auto"/>
              </w:rPr>
              <w:t>Discount Rate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Discount Rate</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2960" w:type="dxa"/>
            <w:vAlign w:val="bottom"/>
            <w:gridSpan w:val="3"/>
          </w:tcPr>
          <w:p>
            <w:pPr>
              <w:ind w:left="720"/>
              <w:spacing w:after="0"/>
              <w:rPr>
                <w:sz w:val="20"/>
                <w:szCs w:val="20"/>
                <w:color w:val="auto"/>
              </w:rPr>
            </w:pPr>
            <w:r>
              <w:rPr>
                <w:rFonts w:ascii="Arial" w:cs="Arial" w:eastAsia="Arial" w:hAnsi="Arial"/>
                <w:sz w:val="16"/>
                <w:szCs w:val="16"/>
                <w:b w:val="1"/>
                <w:bCs w:val="1"/>
                <w:color w:val="auto"/>
              </w:rPr>
              <w:t>Base Discount Rate</w:t>
            </w:r>
          </w:p>
        </w:tc>
        <w:tc>
          <w:tcPr>
            <w:tcW w:w="160" w:type="dxa"/>
            <w:vAlign w:val="bottom"/>
          </w:tcPr>
          <w:p>
            <w:pPr>
              <w:spacing w:after="0"/>
              <w:rPr>
                <w:sz w:val="18"/>
                <w:szCs w:val="18"/>
                <w:color w:val="auto"/>
              </w:rPr>
            </w:pPr>
          </w:p>
        </w:tc>
        <w:tc>
          <w:tcPr>
            <w:tcW w:w="228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25 Basis Point Increase</w:t>
            </w:r>
          </w:p>
        </w:tc>
        <w:tc>
          <w:tcPr>
            <w:tcW w:w="100" w:type="dxa"/>
            <w:vAlign w:val="bottom"/>
          </w:tcPr>
          <w:p>
            <w:pPr>
              <w:spacing w:after="0"/>
              <w:rPr>
                <w:sz w:val="18"/>
                <w:szCs w:val="18"/>
                <w:color w:val="auto"/>
              </w:rPr>
            </w:pPr>
          </w:p>
        </w:tc>
        <w:tc>
          <w:tcPr>
            <w:tcW w:w="22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25 Basis Point Decrease</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Pension</w:t>
            </w:r>
          </w:p>
        </w:tc>
        <w:tc>
          <w:tcPr>
            <w:tcW w:w="16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Postretirement</w:t>
            </w:r>
          </w:p>
        </w:tc>
        <w:tc>
          <w:tcPr>
            <w:tcW w:w="16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Pension</w:t>
            </w:r>
          </w:p>
        </w:tc>
        <w:tc>
          <w:tcPr>
            <w:tcW w:w="148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Postretirement</w:t>
            </w:r>
          </w:p>
        </w:tc>
        <w:tc>
          <w:tcPr>
            <w:tcW w:w="10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Pension</w:t>
            </w:r>
          </w:p>
        </w:tc>
        <w:tc>
          <w:tcPr>
            <w:tcW w:w="13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Postretirement</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Benefits</w:t>
            </w:r>
          </w:p>
        </w:tc>
        <w:tc>
          <w:tcPr>
            <w:tcW w:w="16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Benefits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Benefits</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94"/>
              </w:rPr>
              <w:t>Benefits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8"/>
              </w:rPr>
              <w:t>Benefits</w:t>
            </w: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8"/>
              </w:rPr>
              <w:t>Benefits</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Net Periodic Benefit Cost</w:t>
            </w:r>
          </w:p>
        </w:tc>
        <w:tc>
          <w:tcPr>
            <w:tcW w:w="13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4.41%</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2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32</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(39)</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94"/>
        </w:trPr>
        <w:tc>
          <w:tcPr>
            <w:tcW w:w="366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44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880" w:type="dxa"/>
            <w:vAlign w:val="bottom"/>
            <w:tcBorders>
              <w:bottom w:val="single" w:sz="8" w:color="CCEEFF"/>
            </w:tcBorders>
            <w:vMerge w:val="continue"/>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0"/>
              <w:spacing w:after="0"/>
              <w:rPr>
                <w:sz w:val="20"/>
                <w:szCs w:val="20"/>
                <w:color w:val="auto"/>
              </w:rPr>
            </w:pPr>
            <w:r>
              <w:rPr>
                <w:rFonts w:ascii="Arial" w:cs="Arial" w:eastAsia="Arial" w:hAnsi="Arial"/>
                <w:sz w:val="16"/>
                <w:szCs w:val="16"/>
                <w:color w:val="auto"/>
              </w:rPr>
              <w:t>Benefit Plan Obligations as of December 31, 2019</w:t>
            </w:r>
          </w:p>
        </w:tc>
        <w:tc>
          <w:tcPr>
            <w:tcW w:w="1300" w:type="dxa"/>
            <w:vAlign w:val="bottom"/>
            <w:vMerge w:val="restart"/>
          </w:tcPr>
          <w:p>
            <w:pPr>
              <w:jc w:val="right"/>
              <w:ind w:right="159"/>
              <w:spacing w:after="0"/>
              <w:rPr>
                <w:sz w:val="20"/>
                <w:szCs w:val="20"/>
                <w:color w:val="auto"/>
              </w:rPr>
            </w:pPr>
            <w:r>
              <w:rPr>
                <w:rFonts w:ascii="Arial" w:cs="Arial" w:eastAsia="Arial" w:hAnsi="Arial"/>
                <w:sz w:val="16"/>
                <w:szCs w:val="16"/>
                <w:color w:val="auto"/>
              </w:rPr>
              <w:t>3.36%</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(2,790)</w:t>
            </w:r>
          </w:p>
        </w:tc>
        <w:tc>
          <w:tcPr>
            <w:tcW w:w="5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restart"/>
          </w:tcPr>
          <w:p>
            <w:pPr>
              <w:jc w:val="right"/>
              <w:ind w:right="219"/>
              <w:spacing w:after="0"/>
              <w:rPr>
                <w:sz w:val="20"/>
                <w:szCs w:val="20"/>
                <w:color w:val="auto"/>
              </w:rPr>
            </w:pPr>
            <w:r>
              <w:rPr>
                <w:rFonts w:ascii="Arial" w:cs="Arial" w:eastAsia="Arial" w:hAnsi="Arial"/>
                <w:sz w:val="16"/>
                <w:szCs w:val="16"/>
                <w:color w:val="auto"/>
              </w:rPr>
              <w:t>2,863</w:t>
            </w:r>
          </w:p>
        </w:tc>
        <w:tc>
          <w:tcPr>
            <w:tcW w:w="700" w:type="dxa"/>
            <w:vAlign w:val="bottom"/>
          </w:tcPr>
          <w:p>
            <w:pPr>
              <w:spacing w:after="0"/>
              <w:rPr>
                <w:sz w:val="19"/>
                <w:szCs w:val="19"/>
                <w:color w:val="auto"/>
              </w:rPr>
            </w:pPr>
          </w:p>
        </w:tc>
        <w:tc>
          <w:tcPr>
            <w:tcW w:w="680" w:type="dxa"/>
            <w:vAlign w:val="bottom"/>
            <w:vMerge w:val="restart"/>
          </w:tcPr>
          <w:p>
            <w:pPr>
              <w:jc w:val="right"/>
              <w:ind w:right="19"/>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2020 Net Periodic Benefit Cost</w:t>
            </w:r>
          </w:p>
        </w:tc>
        <w:tc>
          <w:tcPr>
            <w:tcW w:w="13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3.36%</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50</w:t>
            </w:r>
          </w:p>
        </w:tc>
        <w:tc>
          <w:tcPr>
            <w:tcW w:w="5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(59)</w:t>
            </w:r>
          </w:p>
        </w:tc>
        <w:tc>
          <w:tcPr>
            <w:tcW w:w="7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81"/>
        </w:trPr>
        <w:tc>
          <w:tcPr>
            <w:tcW w:w="366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6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Consolidated Financial Statements for more information on our pension and 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Activities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Cross-border outstandings are defined as loans (including accrued interest), acceptances, interest-bearing deposits with other banks, other interest-bearing investments, and any other monetary assets which are denominated in dollars or other non-local currency. As of December 31, 2019, December 31, 2018, and December 31, 2017, we did not have cross-border outstandings to any foreign country which exceeded 0.75% of our total assets.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Managing risk is an essential part of successfully operating our business. Management believes that the most prominent risk exposures for the Company are credit risk, market risk, liquidity risk management, capital management, and operational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Credit risk is the risk that borrowers or counterparties will be unable or unwilling to repay their obligations in accordance with the underlying contractual terms. We manage and control credit risk in the loan and lease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also includes an independent credit review process that assesses compliance with commercial and consumer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w:t>
      </w:r>
    </w:p>
    <w:p>
      <w:pPr>
        <w:spacing w:after="0" w:line="17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Commercial and industrial loans are made primarily for the purpose of financing equipment acquisition, expansion, working capital, and other general business purposes. Lease financing consists of sales-type leases and leveraged leases that are used by commercial customers to finance capital purchases ranging from computer equipment to transportation equipment. The credit decisions for these transactions are based upon an assessment of the overall financial capacity of the applicant. A determination is made as to the applicant’s ability to repay in accordance with the proposed terms as well as an overall assessment of the risks involved. In addition to an evaluation of the applicant’s financial condition, a determination is made of the probable adequacy of the primary and secondary sources of repayment, such as additional collateral or personal guarantees, to be relied upon in the transaction. Credit agency reports of the applicant’s credit history supplement the analysis of the applicant’s creditworthiness.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Commercial mortgages and construction loans are offered to real estate investors, developers, builders, and owner-occupants primarily domiciled in Hawaii. These loans are secured by first mortgages on real estate at loan-to-value (“LTV”) ratios deemed appropriate based on the property type, location, overall quality, and sponsorship. Generally, these LTV ratios do not exceed 75%. The commercial properties are predominantly developments such as retail centers, apartments, industrial properties and, to a lesser extent, more specialized properties such as hotels. Substantially our entire commercial mortgage loans are secured by properties located in our primary market area.</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underwriting of our commercial mortgage loans, we obtain appraisals for the underlying properties. Decisions to lend are based on the economic fundamentals of the property and the creditworthiness of the borrower. In evaluating a proposed commercial mortgage loan, we primarily emphasize the ratio of the property’s projected net cash flows to the loan’s debt service requirement. The debt service coverage ratio normally is not less than 120% and it is computed after deducting for a vacancy factor and property expenses as appropriate. In addition, a personal guarantee of the loan or a portion thereof is sometimes required from the principal(s) of the borrower. We typically require title insurance insuring the priority of our lien, fire, and extended coverage casualty insurance, and flood insurance, if appropriate, in order to protect our security interest in the underlying property. In addition, business interruption insurance or other insurance may be required. Owner-occupant commercial mortgage loans are underwritten based upon the cash flow of the business provided that the real estate asset is utilized in the operation of the business. Real estate is evaluated independently as a secondary source of repayment. As noted above, LTV ratios generally do not exceed 75%.</w:t>
      </w:r>
    </w:p>
    <w:p>
      <w:pPr>
        <w:spacing w:after="0" w:line="18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Construction loans are underwritten against projected cash flows derived from rental income, business income from an owner-occupant, or the sale of the property to an end-user. We may mitigate the risks associated with these types of loans by requiring fixed-price construction contracts, performance and payment bonding, controlled disbursements, and pre-sale contracts or pre-lease agreements.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offer a variety of first mortgage and junior lien loans to consumers within our markets with residential home mortgages comprising our largest loan category. These loans are generally secured by a primary residence and are underwritten using traditional underwriting systems to assess the credit risks and financial capacity and repayment ability of the consumer. Decisions are primarily based on LTV ratios, debt-to-income (“DTI”) ratios, liquidity, and credit scores. LTV ratios generally do not exceed 80%, although higher levels are permitted with mortgage insurance. We offer variable rate mortgage loans with interest rates that are subject to change every year after the first, third, fifth, or seventh year, depending on the product and are based on the London Interbank Offered Rate (“LIBOR”). Variable rate mortgage loans are underwritten at fully-indexed interest rates. We do not offer payment-option facilities, sub-prime or Alt-A loans, or any product with negative amortization. We selectively offer interest-only mortgage loans to Private Banking clients.</w:t>
      </w:r>
    </w:p>
    <w:p>
      <w:pPr>
        <w:spacing w:after="0" w:line="16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Home equity loans are secured by both first and second liens on residential property of the borrower. The underwriting terms for the home equity product generally permits borrowing availability, in the aggregate, up to 85% of the value of the collateral property at the time of origination. We offer fixed and variable rate home equity loans, with variable rate loans underwritten at fully-indexed interest rates. Our procedures for underwriting home equity loans include an assessment of an applicant’s overall financial capacity and repayment ability. Decisions are primarily based on LTV ratios, DTI ratios, and credit scores. Maximum amount and LTVs are determined by collateral value and channel.</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Automobile lending activities include loans and leases secured by new or used automobiles. We originate automobile loans and leases on an indirect basis through selected dealerships in Hawaii, Guam and Saipan. Our procedures for underwriting automobile loans include an assessment of an applicant’s overall financial capacity and repayment ability, credit history, and the ability to meet existing obligations and payments on the proposed loan. Although an applicant’s creditworthiness is the primary consideration, the underwriting process also includes a comparison of the value of the collateral security to the proposed loan amount. We require borrowers to maintain full coverage automobile insurance on automobile loans and leases, with the Bank listed as either the loss payee or additional insured.</w:t>
      </w:r>
    </w:p>
    <w:p>
      <w:pPr>
        <w:spacing w:after="0" w:line="19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General economic conditions in Hawaii remained stable during 2019 due to low interest rates, a relatively healthy construction sector and growing visitor arrivals. Our overall credit risk position reflects these positive economic trends and our loan portfolio growth and composition.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69"/>
        </w:trPr>
        <w:tc>
          <w:tcPr>
            <w:tcW w:w="6160" w:type="dxa"/>
            <w:vAlign w:val="bottom"/>
            <w:gridSpan w:val="6"/>
          </w:tcPr>
          <w:p>
            <w:pPr>
              <w:spacing w:after="0"/>
              <w:rPr>
                <w:sz w:val="20"/>
                <w:szCs w:val="20"/>
                <w:color w:val="auto"/>
              </w:rPr>
            </w:pPr>
            <w:r>
              <w:rPr>
                <w:rFonts w:ascii="Arial" w:cs="Arial" w:eastAsia="Arial" w:hAnsi="Arial"/>
                <w:sz w:val="18"/>
                <w:szCs w:val="18"/>
                <w:i w:val="1"/>
                <w:iCs w:val="1"/>
                <w:color w:val="auto"/>
                <w:w w:val="92"/>
              </w:rPr>
              <w:t>Non-Performing Assets and Accruing Loans and Leases Past Due 90 Days or More</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8660" w:type="dxa"/>
            <w:vAlign w:val="bottom"/>
            <w:gridSpan w:val="9"/>
          </w:tcPr>
          <w:p>
            <w:pPr>
              <w:spacing w:after="0"/>
              <w:rPr>
                <w:sz w:val="20"/>
                <w:szCs w:val="20"/>
                <w:color w:val="auto"/>
              </w:rPr>
            </w:pPr>
            <w:r>
              <w:rPr>
                <w:rFonts w:ascii="Arial" w:cs="Arial" w:eastAsia="Arial" w:hAnsi="Arial"/>
                <w:sz w:val="18"/>
                <w:szCs w:val="18"/>
                <w:color w:val="auto"/>
                <w:w w:val="90"/>
              </w:rPr>
              <w:t>Table 15 presents a five-year history of non-performing assets and accruing loans and leases past due 90 days or more.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7220" w:type="dxa"/>
            <w:vAlign w:val="bottom"/>
            <w:gridSpan w:val="6"/>
          </w:tcPr>
          <w:p>
            <w:pPr>
              <w:ind w:left="2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Table 15</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4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2015</w:t>
            </w: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Non-Performing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Non-Accrual Loans and Leases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480"/>
              <w:spacing w:after="0"/>
              <w:rPr>
                <w:sz w:val="20"/>
                <w:szCs w:val="20"/>
                <w:color w:val="auto"/>
              </w:rPr>
            </w:pPr>
            <w:r>
              <w:rPr>
                <w:rFonts w:ascii="Arial" w:cs="Arial" w:eastAsia="Arial" w:hAnsi="Arial"/>
                <w:sz w:val="16"/>
                <w:szCs w:val="16"/>
                <w:color w:val="auto"/>
              </w:rPr>
              <w:t>Commercial and Industrial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830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448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151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5,829</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Commercial Mortgage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9,244</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2,040</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1,398</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997</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3,469</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10,074</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2,582</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1,846</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1,148</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9,298</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48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4,125</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5,321</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9,243</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13,780</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14,598</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Home Equity</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3,181</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3,671</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3,991</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3,147</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4,081</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color w:val="auto"/>
              </w:rPr>
              <w:t>Total Consumer</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7,306</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8,992</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13,234</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16,927</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18,679</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Non-Accrual Loans and Leases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17,380</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11,574</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15,080</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18,075</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27,977</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Foreclosed Real Estate</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2,737</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1,356</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1,040</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1,686</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824</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Non-Performing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20,117</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12,930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16,120</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19,761</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28,801</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10</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1,839</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2,446</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2,703</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3,127</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4,453</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4,125</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2,684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1,624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1,457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1,710</w:t>
            </w:r>
          </w:p>
        </w:tc>
      </w:tr>
      <w:tr>
        <w:trPr>
          <w:trHeight w:val="237"/>
        </w:trPr>
        <w:tc>
          <w:tcPr>
            <w:tcW w:w="2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6"/>
                <w:szCs w:val="16"/>
                <w:color w:val="auto"/>
              </w:rPr>
              <w:t>Automobile</w:t>
            </w:r>
          </w:p>
        </w:tc>
        <w:tc>
          <w:tcPr>
            <w:tcW w:w="24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949</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513</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886</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894</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315</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48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1,493</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914</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1,934</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1,592</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1,096</w:t>
            </w:r>
          </w:p>
        </w:tc>
      </w:tr>
      <w:tr>
        <w:trPr>
          <w:trHeight w:val="231"/>
        </w:trPr>
        <w:tc>
          <w:tcPr>
            <w:tcW w:w="2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6"/>
                <w:szCs w:val="16"/>
                <w:color w:val="auto"/>
              </w:rPr>
              <w:t>Total Consumer</w:t>
            </w:r>
          </w:p>
        </w:tc>
        <w:tc>
          <w:tcPr>
            <w:tcW w:w="24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8,406</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6,557</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7,147</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7,070</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7,574</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Accruing Loans and Leases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Past Due 90 Days or More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8,406</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6,567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7,147</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7,070</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7,574</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Restructured Loans on Accrual Status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ind w:left="160"/>
              <w:spacing w:after="0"/>
              <w:rPr>
                <w:sz w:val="20"/>
                <w:szCs w:val="20"/>
                <w:color w:val="auto"/>
              </w:rPr>
            </w:pPr>
            <w:r>
              <w:rPr>
                <w:rFonts w:ascii="Arial" w:cs="Arial" w:eastAsia="Arial" w:hAnsi="Arial"/>
                <w:sz w:val="16"/>
                <w:szCs w:val="16"/>
                <w:b w:val="1"/>
                <w:bCs w:val="1"/>
                <w:color w:val="auto"/>
              </w:rPr>
              <w:t>and Not Past Due 90 Days or More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63,103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48,731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55,672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52,208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49,430</w:t>
            </w:r>
          </w:p>
        </w:tc>
      </w:tr>
      <w:tr>
        <w:trPr>
          <w:trHeight w:val="73"/>
        </w:trPr>
        <w:tc>
          <w:tcPr>
            <w:tcW w:w="2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56"/>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Loans and Leases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10,990,892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10,448,774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9,796,947</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8,949,785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7,878,985</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Ratio of Non-Accrual Loans and Leases to</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ind w:left="140"/>
              <w:spacing w:after="0"/>
              <w:rPr>
                <w:sz w:val="20"/>
                <w:szCs w:val="20"/>
                <w:color w:val="auto"/>
              </w:rPr>
            </w:pPr>
            <w:r>
              <w:rPr>
                <w:rFonts w:ascii="Arial" w:cs="Arial" w:eastAsia="Arial" w:hAnsi="Arial"/>
                <w:sz w:val="16"/>
                <w:szCs w:val="16"/>
                <w:color w:val="auto"/>
              </w:rPr>
              <w:t>Total Loans and Leases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0.16 %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0.11 %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0.15 %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0.20 %</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0.36 %</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Ratio of Non-Performing Assets to Total Loans and Leases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20" w:type="dxa"/>
            <w:vAlign w:val="bottom"/>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and Foreclosed Real Estate</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0.12 %</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0.16 %</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0.22 %</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0.37 %</w:t>
            </w:r>
          </w:p>
        </w:tc>
      </w:tr>
      <w:tr>
        <w:trPr>
          <w:trHeight w:val="213"/>
        </w:trPr>
        <w:tc>
          <w:tcPr>
            <w:tcW w:w="20" w:type="dxa"/>
            <w:vAlign w:val="bottom"/>
          </w:tcPr>
          <w:p>
            <w:pPr>
              <w:spacing w:after="0"/>
              <w:rPr>
                <w:sz w:val="18"/>
                <w:szCs w:val="18"/>
                <w:color w:val="auto"/>
              </w:rPr>
            </w:pPr>
          </w:p>
        </w:tc>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Ratio of Commercial Non-Performing Assets to</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ind w:left="140"/>
              <w:spacing w:after="0"/>
              <w:rPr>
                <w:sz w:val="20"/>
                <w:szCs w:val="20"/>
                <w:color w:val="auto"/>
              </w:rPr>
            </w:pPr>
            <w:r>
              <w:rPr>
                <w:rFonts w:ascii="Arial" w:cs="Arial" w:eastAsia="Arial" w:hAnsi="Arial"/>
                <w:sz w:val="16"/>
                <w:szCs w:val="16"/>
                <w:color w:val="auto"/>
              </w:rPr>
              <w:t>Total Commercial Loans and Leases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ind w:left="160"/>
              <w:spacing w:after="0"/>
              <w:rPr>
                <w:sz w:val="20"/>
                <w:szCs w:val="20"/>
                <w:color w:val="auto"/>
              </w:rPr>
            </w:pPr>
            <w:r>
              <w:rPr>
                <w:rFonts w:ascii="Arial" w:cs="Arial" w:eastAsia="Arial" w:hAnsi="Arial"/>
                <w:sz w:val="16"/>
                <w:szCs w:val="16"/>
                <w:color w:val="auto"/>
              </w:rPr>
              <w:t>and Commercial Foreclosed Real Estate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0.24 %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0.06 %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0.05 %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0.03 %</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0.29 %</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Ratio of Consumer Non-Performing Assets to</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Consumer Loans and Leases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and Consumer Foreclosed Real Estate</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0.16 %</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0.24 %</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0.35 %</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0.41 %</w:t>
            </w:r>
          </w:p>
        </w:tc>
      </w:tr>
      <w:tr>
        <w:trPr>
          <w:trHeight w:val="213"/>
        </w:trPr>
        <w:tc>
          <w:tcPr>
            <w:tcW w:w="20" w:type="dxa"/>
            <w:vAlign w:val="bottom"/>
          </w:tcPr>
          <w:p>
            <w:pPr>
              <w:spacing w:after="0"/>
              <w:rPr>
                <w:sz w:val="18"/>
                <w:szCs w:val="18"/>
                <w:color w:val="auto"/>
              </w:rPr>
            </w:pPr>
          </w:p>
        </w:tc>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Ratio of Non-Performing Assets and Accruing</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ind w:left="160"/>
              <w:spacing w:after="0"/>
              <w:rPr>
                <w:sz w:val="20"/>
                <w:szCs w:val="20"/>
                <w:color w:val="auto"/>
              </w:rPr>
            </w:pPr>
            <w:r>
              <w:rPr>
                <w:rFonts w:ascii="Arial" w:cs="Arial" w:eastAsia="Arial" w:hAnsi="Arial"/>
                <w:sz w:val="16"/>
                <w:szCs w:val="16"/>
                <w:color w:val="auto"/>
              </w:rPr>
              <w:t>Loans and Leases Past Due 90 Days or More to</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ind w:left="140"/>
              <w:spacing w:after="0"/>
              <w:rPr>
                <w:sz w:val="20"/>
                <w:szCs w:val="20"/>
                <w:color w:val="auto"/>
              </w:rPr>
            </w:pPr>
            <w:r>
              <w:rPr>
                <w:rFonts w:ascii="Arial" w:cs="Arial" w:eastAsia="Arial" w:hAnsi="Arial"/>
                <w:sz w:val="16"/>
                <w:szCs w:val="16"/>
                <w:color w:val="auto"/>
              </w:rPr>
              <w:t>Total Loans and Leases and Foreclosed Real Estate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0.26 %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0.19 %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0.24 %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0.30 %</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0.46 %</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ind w:left="80" w:hanging="72"/>
        <w:spacing w:after="0"/>
        <w:tabs>
          <w:tab w:leader="none" w:pos="80" w:val="left"/>
        </w:tabs>
        <w:numPr>
          <w:ilvl w:val="0"/>
          <w:numId w:val="30"/>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ectPr>
          <w:pgSz w:w="11900" w:h="16838" w:orient="portrait"/>
          <w:cols w:equalWidth="0" w:num="1">
            <w:col w:w="11400"/>
          </w:cols>
          <w:pgMar w:left="240" w:top="108" w:right="25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08" w:right="2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69"/>
        </w:trPr>
        <w:tc>
          <w:tcPr>
            <w:tcW w:w="7900" w:type="dxa"/>
            <w:vAlign w:val="bottom"/>
            <w:gridSpan w:val="2"/>
          </w:tcPr>
          <w:p>
            <w:pPr>
              <w:spacing w:after="0"/>
              <w:rPr>
                <w:sz w:val="20"/>
                <w:szCs w:val="20"/>
                <w:color w:val="auto"/>
              </w:rPr>
            </w:pPr>
            <w:r>
              <w:rPr>
                <w:rFonts w:ascii="Arial" w:cs="Arial" w:eastAsia="Arial" w:hAnsi="Arial"/>
                <w:sz w:val="18"/>
                <w:szCs w:val="18"/>
                <w:color w:val="auto"/>
              </w:rPr>
              <w:t>Table 16 presents the activity in Non-Performing Assets (“NPAs”) for 2019:</w:t>
            </w: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Non-Performing Assets  </w:t>
            </w:r>
            <w:r>
              <w:rPr>
                <w:rFonts w:ascii="Arial" w:cs="Arial" w:eastAsia="Arial" w:hAnsi="Arial"/>
                <w:sz w:val="14"/>
                <w:szCs w:val="14"/>
                <w:color w:val="auto"/>
              </w:rPr>
              <w:t>(dollars in thousands)</w:t>
            </w:r>
          </w:p>
        </w:tc>
        <w:tc>
          <w:tcPr>
            <w:tcW w:w="26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128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12,930</w:t>
            </w: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Additions</w:t>
            </w:r>
          </w:p>
        </w:tc>
        <w:tc>
          <w:tcPr>
            <w:tcW w:w="26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16,321</w:t>
            </w:r>
          </w:p>
        </w:tc>
      </w:tr>
      <w:tr>
        <w:trPr>
          <w:trHeight w:val="33"/>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Reductions</w:t>
            </w:r>
          </w:p>
        </w:tc>
        <w:tc>
          <w:tcPr>
            <w:tcW w:w="2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Payments</w:t>
            </w:r>
          </w:p>
        </w:tc>
        <w:tc>
          <w:tcPr>
            <w:tcW w:w="2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(2,909)</w:t>
            </w:r>
          </w:p>
        </w:tc>
      </w:tr>
      <w:tr>
        <w:trPr>
          <w:trHeight w:val="33"/>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Return to Accrual Status</w:t>
            </w:r>
          </w:p>
        </w:tc>
        <w:tc>
          <w:tcPr>
            <w:tcW w:w="26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(3,333)</w:t>
            </w:r>
          </w:p>
        </w:tc>
      </w:tr>
      <w:tr>
        <w:trPr>
          <w:trHeight w:val="224"/>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Sales of Foreclosed Real Estate</w:t>
            </w:r>
          </w:p>
        </w:tc>
        <w:tc>
          <w:tcPr>
            <w:tcW w:w="2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33"/>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Charge-offs/Write-downs</w:t>
            </w:r>
          </w:p>
        </w:tc>
        <w:tc>
          <w:tcPr>
            <w:tcW w:w="26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(2,317)</w:t>
            </w:r>
          </w:p>
        </w:tc>
      </w:tr>
      <w:tr>
        <w:trPr>
          <w:trHeight w:val="217"/>
        </w:trPr>
        <w:tc>
          <w:tcPr>
            <w:tcW w:w="79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Total Reductions</w:t>
            </w:r>
          </w:p>
        </w:tc>
        <w:tc>
          <w:tcPr>
            <w:tcW w:w="26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(9,134)</w:t>
            </w:r>
          </w:p>
        </w:tc>
      </w:tr>
      <w:tr>
        <w:trPr>
          <w:trHeight w:val="33"/>
        </w:trPr>
        <w:tc>
          <w:tcPr>
            <w:tcW w:w="128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20,117</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662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Total NPAs were $20.1 million as of December 31, 2019, an increase of $7.2 million or 56% from December 31, 2018. The increase was experienced primarily in the commercial lending portfolio. The ratio of our NPAs to total loans and leases, and foreclosed real estate was 0.18% as of December 31, 2019, and 0.12% as of December 31, 2018.</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Commercial mortgage non-accrual loans increased by $7.2 million or 353% from December 31, 2018 primarily due to two additional loans. We have individually evaluated the two commercial mortgage non-accrual loans for impairment and have recorded a cumulative charge-off of $1.6 million on one of the loans in 2019. As of December 31, 2019, the non-accrual balance in this category was comprised of three commercial mortgage borrowers. The largest component of our NPAs is now commercial mortgage loans.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Residential mortgage non-accrual loans decreased by $1.2 million or 22% from December 31, 2018 primarily due to paydowns and payoffs. In addition, two loans modified in a troubled debt restructuring (“TDR”) were returned to accrual status. As of December 31, 2019, our residential mortgage non-accrual loans were comprised of 14 loans with a weighted average current LTV ratio of 52%.</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increased by $1.4 million or 102% from December 31, 2018 primarily due to residential properties with higher outstanding balances combined with two more residential properties as of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well-secured and in the process of collection. Loans and leases past due 90 days or more and still accruing interest were $8.4 million as of December 31, 2019, a $1.8 million or 28% increase from December 31, 2018. This increase was primarily in our home equity portfolio.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$75.2 million as of December 31, 2019, and $54.6 million as of December 31, 2018, and had a related Allowance of $5.9 million as of December 31, 2019, and $4.0 million as of December 31, 2018. The change in impaired loans was primarily due to the increase in impaired Commercial and Industrial, and Commercial Mortgage loans, which was partially offset by the decrease in impaired Residential Mortgage loans. As of December 31, 2019, we recorded cumulative net charge-offs of $9.0 million related to our total impaired loans. Our impaired loans are considered in management’s assessment of the overall adequacy of the Allowance.</w:t>
      </w:r>
    </w:p>
    <w:p>
      <w:pPr>
        <w:spacing w:after="0" w:line="18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If interest due on the balances of all non-accrual loans as of December 31, 2019, had been accrued under the original terms, approximately $1.2 million in total interest income would have been recorded in 2019, compared to $0.1 million actually recorded as interest income on those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Modified in a Troubled Debt Restructuring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whose terms have been modified in a TDR: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21,278</w:t>
            </w:r>
          </w:p>
        </w:tc>
        <w:tc>
          <w:tcPr>
            <w:tcW w:w="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6,198</w:t>
            </w: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6,830</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4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1,190</w:t>
            </w:r>
          </w:p>
        </w:tc>
        <w:tc>
          <w:tcPr>
            <w:tcW w:w="6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1,321</w:t>
            </w:r>
          </w:p>
        </w:tc>
      </w:tr>
      <w:tr>
        <w:trPr>
          <w:trHeight w:val="33"/>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29,298</w:t>
            </w:r>
          </w:p>
        </w:tc>
        <w:tc>
          <w:tcPr>
            <w:tcW w:w="6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11,663</w:t>
            </w:r>
          </w:p>
        </w:tc>
      </w:tr>
      <w:tr>
        <w:trPr>
          <w:trHeight w:val="231"/>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17,939</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19,753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4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3,085</w:t>
            </w:r>
          </w:p>
        </w:tc>
        <w:tc>
          <w:tcPr>
            <w:tcW w:w="6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3,359</w:t>
            </w: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17,086</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17,117</w:t>
            </w:r>
          </w:p>
        </w:tc>
      </w:tr>
      <w:tr>
        <w:trPr>
          <w:trHeight w:val="270"/>
        </w:trPr>
        <w:tc>
          <w:tcPr>
            <w:tcW w:w="83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1,650</w:t>
            </w:r>
          </w:p>
        </w:tc>
        <w:tc>
          <w:tcPr>
            <w:tcW w:w="6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2,098</w:t>
            </w: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39,760</w:t>
            </w:r>
          </w:p>
        </w:tc>
        <w:tc>
          <w:tcPr>
            <w:tcW w:w="6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42,327</w:t>
            </w:r>
          </w:p>
        </w:tc>
      </w:tr>
      <w:tr>
        <w:trPr>
          <w:trHeight w:val="231"/>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69,058</w:t>
            </w:r>
          </w:p>
        </w:tc>
        <w:tc>
          <w:tcPr>
            <w:tcW w:w="6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53,990</w:t>
            </w:r>
          </w:p>
        </w:tc>
      </w:tr>
      <w:tr>
        <w:trPr>
          <w:trHeight w:val="33"/>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and installment financing.</w:t>
      </w:r>
    </w:p>
    <w:p>
      <w:pPr>
        <w:spacing w:after="0" w:line="22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Loans modified in a TDR increased by $15.1 million from December 31, 2018. The increase was primarily due to one commercial and industrial loan modified in a TDR during the fourth quarter of 2019. Commercial and industrial loans is our largest TDR loan class. As of December 31, 2019, $63.1 million or 91% of loans modified in a TDR were performing in accordance with their modified contractual terms and were on accrual status.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loans modified in a TDR are returned to accrual status after the borrower has demonstrated performance under the modified terms by making at least six consecutive payments. See Note 4 to the Consolidated Financial Statements for a description of the modification programs that we currently offer to our customers.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reserve for credit losses is comprised of two components, the Allowance and the reserve for unfunded commitments (the “Unfunded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Reserve”). Table 18 presents the activity in the Company’s reserve for credit losses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Table 18</w:t>
            </w:r>
          </w:p>
        </w:tc>
      </w:tr>
      <w:tr>
        <w:trPr>
          <w:trHeight w:val="27"/>
        </w:trPr>
        <w:tc>
          <w:tcPr>
            <w:tcW w:w="4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113,515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114,168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110,845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108,952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114,575</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5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(1,122)</w:t>
            </w:r>
          </w:p>
        </w:tc>
        <w:tc>
          <w:tcPr>
            <w:tcW w:w="30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(1,505)</w:t>
            </w:r>
          </w:p>
        </w:tc>
        <w:tc>
          <w:tcPr>
            <w:tcW w:w="34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(1,408)</w:t>
            </w:r>
          </w:p>
        </w:tc>
        <w:tc>
          <w:tcPr>
            <w:tcW w:w="3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(865)</w:t>
            </w:r>
          </w:p>
        </w:tc>
        <w:tc>
          <w:tcPr>
            <w:tcW w:w="3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(954)</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(1,616)</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37"/>
        </w:trPr>
        <w:tc>
          <w:tcPr>
            <w:tcW w:w="4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(112)</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(729)</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(613)</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5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(900)</w:t>
            </w:r>
          </w:p>
        </w:tc>
        <w:tc>
          <w:tcPr>
            <w:tcW w:w="30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(665)</w:t>
            </w:r>
          </w:p>
        </w:tc>
        <w:tc>
          <w:tcPr>
            <w:tcW w:w="34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(995)</w:t>
            </w:r>
          </w:p>
        </w:tc>
        <w:tc>
          <w:tcPr>
            <w:tcW w:w="3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(1,104)</w:t>
            </w:r>
          </w:p>
        </w:tc>
        <w:tc>
          <w:tcPr>
            <w:tcW w:w="3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(1,330)</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(7,130)</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(8,218)</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(7,737)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(6,355)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(5,860)</w:t>
            </w:r>
          </w:p>
        </w:tc>
      </w:tr>
      <w:tr>
        <w:trPr>
          <w:trHeight w:val="270"/>
        </w:trPr>
        <w:tc>
          <w:tcPr>
            <w:tcW w:w="40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(13,075)</w:t>
            </w: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(14,075)</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(12,386)</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(9,462)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(7,682)</w:t>
            </w: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5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(23,955)</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(24,564)</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(23,255)</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(18,509)</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(16,439)</w:t>
            </w: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7"/>
              </w:rPr>
              <w:t>Recoveries on Loans and Leases Previously Charged-Off</w:t>
            </w:r>
          </w:p>
        </w:tc>
        <w:tc>
          <w:tcPr>
            <w:tcW w:w="5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1,513</w:t>
            </w:r>
          </w:p>
        </w:tc>
        <w:tc>
          <w:tcPr>
            <w:tcW w:w="30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2,039</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1,482</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8,058</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1,948</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61</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32</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132</w:t>
            </w:r>
          </w:p>
        </w:tc>
      </w:tr>
      <w:tr>
        <w:trPr>
          <w:trHeight w:val="237"/>
        </w:trPr>
        <w:tc>
          <w:tcPr>
            <w:tcW w:w="4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1,927</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807</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639</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1,151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1,297</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2,339</w:t>
            </w:r>
          </w:p>
        </w:tc>
        <w:tc>
          <w:tcPr>
            <w:tcW w:w="30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2,001</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2,681</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1,776</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2,489</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2,961</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2,902</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2,495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2,207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1,917</w:t>
            </w:r>
          </w:p>
        </w:tc>
      </w:tr>
      <w:tr>
        <w:trPr>
          <w:trHeight w:val="270"/>
        </w:trPr>
        <w:tc>
          <w:tcPr>
            <w:tcW w:w="40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2,549</w:t>
            </w: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2,737</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2,128</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1,881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1,755</w:t>
            </w:r>
          </w:p>
        </w:tc>
      </w:tr>
      <w:tr>
        <w:trPr>
          <w:trHeight w:val="209"/>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Recoveries on Loans and Leases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8"/>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Previously Charged-Off</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11,289</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10,486</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9,428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15,152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9,631</w:t>
            </w: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Loans and Leases Charged-Off</w:t>
            </w:r>
          </w:p>
        </w:tc>
        <w:tc>
          <w:tcPr>
            <w:tcW w:w="5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(12,666)</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(14,078)</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(13,827)</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(3,357)</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(6,808)</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16,000</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13,425</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16,900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4,750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1,000</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Provision for Unfunded Commitments</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250</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500</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185</w:t>
            </w:r>
          </w:p>
        </w:tc>
      </w:tr>
      <w:tr>
        <w:trPr>
          <w:trHeight w:val="33"/>
        </w:trPr>
        <w:tc>
          <w:tcPr>
            <w:tcW w:w="4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21"/>
                <w:szCs w:val="21"/>
                <w:b w:val="1"/>
                <w:bCs w:val="1"/>
                <w:color w:val="auto"/>
                <w:vertAlign w:val="superscript"/>
              </w:rPr>
              <w:t>2</w:t>
            </w:r>
          </w:p>
        </w:tc>
        <w:tc>
          <w:tcPr>
            <w:tcW w:w="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116,849</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113,515</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114,168</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110,845</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108,952</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8"/>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Components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110,027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106,693</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107,346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104,273</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102,880</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Reserve for Unfunded Commitments</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6,822</w:t>
            </w:r>
          </w:p>
        </w:tc>
        <w:tc>
          <w:tcPr>
            <w:tcW w:w="30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6,822</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6,822</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6,572</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6,072</w:t>
            </w:r>
          </w:p>
        </w:tc>
      </w:tr>
      <w:tr>
        <w:trPr>
          <w:trHeight w:val="33"/>
        </w:trPr>
        <w:tc>
          <w:tcPr>
            <w:tcW w:w="4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116,849</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113,515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114,168</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110,845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108,952</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10,688,424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10,043,661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9,346,828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8,362,210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7,423,572</w:t>
            </w:r>
          </w:p>
        </w:tc>
      </w:tr>
      <w:tr>
        <w:trPr>
          <w:trHeight w:val="73"/>
        </w:trPr>
        <w:tc>
          <w:tcPr>
            <w:tcW w:w="40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0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Average Loans and Leases Outstanding</w:t>
            </w:r>
          </w:p>
        </w:tc>
        <w:tc>
          <w:tcPr>
            <w:tcW w:w="5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0.12 %</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0.14 %</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0.04 %</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0.09 %</w:t>
            </w:r>
          </w:p>
        </w:tc>
      </w:tr>
      <w:tr>
        <w:trPr>
          <w:trHeight w:val="220"/>
        </w:trPr>
        <w:tc>
          <w:tcPr>
            <w:tcW w:w="4060" w:type="dxa"/>
            <w:vAlign w:val="bottom"/>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4060" w:type="dxa"/>
            <w:vAlign w:val="bottom"/>
          </w:tcPr>
          <w:p>
            <w:pPr>
              <w:ind w:left="40"/>
              <w:spacing w:after="0"/>
              <w:rPr>
                <w:sz w:val="20"/>
                <w:szCs w:val="20"/>
                <w:color w:val="auto"/>
              </w:rPr>
            </w:pPr>
            <w:r>
              <w:rPr>
                <w:rFonts w:ascii="Arial" w:cs="Arial" w:eastAsia="Arial" w:hAnsi="Arial"/>
                <w:sz w:val="16"/>
                <w:szCs w:val="16"/>
                <w:color w:val="auto"/>
              </w:rPr>
              <w:t>Loans and Leases Outstanding</w:t>
            </w:r>
          </w:p>
        </w:tc>
        <w:tc>
          <w:tcPr>
            <w:tcW w:w="5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3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3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36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1.31%</w:t>
            </w:r>
          </w:p>
        </w:tc>
      </w:tr>
    </w:tbl>
    <w:p>
      <w:pPr>
        <w:spacing w:after="0" w:line="122"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19 presents the allocation of the Allowance by loan and lease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Allocation of Allowance for Loan and Lease Losses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19</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29,281</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26,408</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24,750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22,797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22,052</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38,335</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34,869</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34,890</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33,893</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31,889</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4,840</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4,398</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5,109</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7,771</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5,541</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1,345</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1,199</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1,219</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73,801</w:t>
            </w: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66,874</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65,822</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65,680</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60,714</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6,366</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6,870</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6,515</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6,435</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11,151</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9,777</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11,240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12,520</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13,442</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9,269</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11,576</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10,940</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9,763</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8,516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10,814</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10,133</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11,549</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8,953</w:t>
            </w: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9,381</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36,226</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39,819</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41,524</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38,593</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42,166</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Allocation of Allowance for Loan and Lease Losses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110,027</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106,693</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107,346</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104,273</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102,880</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ind w:left="44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224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740"/>
              <w:spacing w:after="0"/>
              <w:rPr>
                <w:sz w:val="20"/>
                <w:szCs w:val="20"/>
                <w:color w:val="auto"/>
              </w:rPr>
            </w:pPr>
            <w:r>
              <w:rPr>
                <w:rFonts w:ascii="Arial" w:cs="Arial" w:eastAsia="Arial" w:hAnsi="Arial"/>
                <w:sz w:val="16"/>
                <w:szCs w:val="16"/>
                <w:b w:val="1"/>
                <w:bCs w:val="1"/>
                <w:color w:val="auto"/>
                <w:w w:val="89"/>
              </w:rPr>
              <w:t>2015</w:t>
            </w:r>
          </w:p>
        </w:tc>
        <w:tc>
          <w:tcPr>
            <w:tcW w:w="680" w:type="dxa"/>
            <w:vAlign w:val="bottom"/>
          </w:tcPr>
          <w:p>
            <w:pPr>
              <w:spacing w:after="0"/>
              <w:rPr>
                <w:sz w:val="20"/>
                <w:szCs w:val="20"/>
                <w:color w:val="auto"/>
              </w:rPr>
            </w:pPr>
          </w:p>
        </w:tc>
      </w:tr>
      <w:tr>
        <w:trPr>
          <w:trHeight w:val="33"/>
        </w:trPr>
        <w:tc>
          <w:tcPr>
            <w:tcW w:w="2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56"/>
        </w:trPr>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Loan</w:t>
            </w:r>
          </w:p>
        </w:tc>
        <w:tc>
          <w:tcPr>
            <w:tcW w:w="1060" w:type="dxa"/>
            <w:vAlign w:val="bottom"/>
          </w:tcPr>
          <w:p>
            <w:pPr>
              <w:spacing w:after="0"/>
              <w:rPr>
                <w:sz w:val="13"/>
                <w:szCs w:val="13"/>
                <w:color w:val="auto"/>
              </w:rPr>
            </w:pPr>
          </w:p>
        </w:tc>
        <w:tc>
          <w:tcPr>
            <w:tcW w:w="80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Loan</w:t>
            </w:r>
          </w:p>
        </w:tc>
        <w:tc>
          <w:tcPr>
            <w:tcW w:w="1060" w:type="dxa"/>
            <w:vAlign w:val="bottom"/>
          </w:tcPr>
          <w:p>
            <w:pPr>
              <w:spacing w:after="0"/>
              <w:rPr>
                <w:sz w:val="13"/>
                <w:szCs w:val="13"/>
                <w:color w:val="auto"/>
              </w:rPr>
            </w:pPr>
          </w:p>
        </w:tc>
        <w:tc>
          <w:tcPr>
            <w:tcW w:w="80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Loan</w:t>
            </w:r>
          </w:p>
        </w:tc>
        <w:tc>
          <w:tcPr>
            <w:tcW w:w="1060" w:type="dxa"/>
            <w:vAlign w:val="bottom"/>
          </w:tcPr>
          <w:p>
            <w:pPr>
              <w:spacing w:after="0"/>
              <w:rPr>
                <w:sz w:val="13"/>
                <w:szCs w:val="13"/>
                <w:color w:val="auto"/>
              </w:rPr>
            </w:pPr>
          </w:p>
        </w:tc>
        <w:tc>
          <w:tcPr>
            <w:tcW w:w="80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Loan</w:t>
            </w:r>
          </w:p>
        </w:tc>
        <w:tc>
          <w:tcPr>
            <w:tcW w:w="1080" w:type="dxa"/>
            <w:vAlign w:val="bottom"/>
          </w:tcPr>
          <w:p>
            <w:pPr>
              <w:spacing w:after="0"/>
              <w:rPr>
                <w:sz w:val="13"/>
                <w:szCs w:val="13"/>
                <w:color w:val="auto"/>
              </w:rPr>
            </w:pPr>
          </w:p>
        </w:tc>
        <w:tc>
          <w:tcPr>
            <w:tcW w:w="68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Loan</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Alloc.</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2"/>
              </w:rPr>
              <w:t>category</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Alloc.</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2"/>
              </w:rPr>
              <w:t>category</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Alloc.</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category</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Alloc.</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category</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Alloc.</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w w:val="82"/>
              </w:rPr>
              <w:t>category</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Allow. as</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as % of</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Allow. as</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as % of</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Allow. as</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as % of</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Allow. as</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as % of</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Allow. as</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w w:val="97"/>
              </w:rPr>
              <w:t>as % of</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 of</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 of</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loan or</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loan or</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loan or</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loan or</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loans</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loan or</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rPr>
              <w:t>loans</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lease</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lease</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lease</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lease</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and</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lease</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rPr>
              <w:t>and</w:t>
            </w:r>
          </w:p>
        </w:tc>
      </w:tr>
      <w:tr>
        <w:trPr>
          <w:trHeight w:val="182"/>
        </w:trPr>
        <w:tc>
          <w:tcPr>
            <w:tcW w:w="2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leases</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leases</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leases</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leases</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leases</w:t>
            </w:r>
          </w:p>
        </w:tc>
      </w:tr>
      <w:tr>
        <w:trPr>
          <w:trHeight w:val="270"/>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1060" w:type="dxa"/>
            <w:vAlign w:val="bottom"/>
          </w:tcPr>
          <w:p>
            <w:pPr>
              <w:ind w:left="420"/>
              <w:spacing w:after="0"/>
              <w:rPr>
                <w:sz w:val="20"/>
                <w:szCs w:val="20"/>
                <w:color w:val="auto"/>
              </w:rPr>
            </w:pPr>
            <w:r>
              <w:rPr>
                <w:rFonts w:ascii="Arial" w:cs="Arial" w:eastAsia="Arial" w:hAnsi="Arial"/>
                <w:sz w:val="14"/>
                <w:szCs w:val="14"/>
                <w:color w:val="auto"/>
              </w:rPr>
              <w:t>2.12%</w:t>
            </w:r>
          </w:p>
        </w:tc>
        <w:tc>
          <w:tcPr>
            <w:tcW w:w="68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1.98%</w:t>
            </w:r>
          </w:p>
        </w:tc>
        <w:tc>
          <w:tcPr>
            <w:tcW w:w="680" w:type="dxa"/>
            <w:vAlign w:val="bottom"/>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1.93%</w:t>
            </w:r>
          </w:p>
        </w:tc>
        <w:tc>
          <w:tcPr>
            <w:tcW w:w="700" w:type="dxa"/>
            <w:vAlign w:val="bottom"/>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1.82%</w:t>
            </w:r>
          </w:p>
        </w:tc>
        <w:tc>
          <w:tcPr>
            <w:tcW w:w="700" w:type="dxa"/>
            <w:vAlign w:val="bottom"/>
          </w:tcPr>
          <w:p>
            <w:pPr>
              <w:jc w:val="right"/>
              <w:spacing w:after="0"/>
              <w:rPr>
                <w:sz w:val="20"/>
                <w:szCs w:val="20"/>
                <w:color w:val="auto"/>
              </w:rPr>
            </w:pPr>
            <w:r>
              <w:rPr>
                <w:rFonts w:ascii="Arial" w:cs="Arial" w:eastAsia="Arial" w:hAnsi="Arial"/>
                <w:sz w:val="14"/>
                <w:szCs w:val="14"/>
                <w:color w:val="auto"/>
              </w:rPr>
              <w:t>13.96%</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1.98%</w:t>
            </w:r>
          </w:p>
        </w:tc>
        <w:tc>
          <w:tcPr>
            <w:tcW w:w="680" w:type="dxa"/>
            <w:vAlign w:val="bottom"/>
          </w:tcPr>
          <w:p>
            <w:pPr>
              <w:jc w:val="right"/>
              <w:spacing w:after="0"/>
              <w:rPr>
                <w:sz w:val="20"/>
                <w:szCs w:val="20"/>
                <w:color w:val="auto"/>
              </w:rPr>
            </w:pPr>
            <w:r>
              <w:rPr>
                <w:rFonts w:ascii="Arial" w:cs="Arial" w:eastAsia="Arial" w:hAnsi="Arial"/>
                <w:sz w:val="14"/>
                <w:szCs w:val="14"/>
                <w:color w:val="auto"/>
              </w:rPr>
              <w:t>14.15%</w:t>
            </w:r>
          </w:p>
        </w:tc>
      </w:tr>
      <w:tr>
        <w:trPr>
          <w:trHeight w:val="276"/>
        </w:trPr>
        <w:tc>
          <w:tcPr>
            <w:tcW w:w="2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1.52</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22.91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1.51</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22.03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1.66</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21.48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1.79</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21.11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1.90</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21.29</w:t>
            </w: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1060" w:type="dxa"/>
            <w:vAlign w:val="bottom"/>
          </w:tcPr>
          <w:p>
            <w:pPr>
              <w:ind w:left="420"/>
              <w:spacing w:after="0"/>
              <w:rPr>
                <w:sz w:val="20"/>
                <w:szCs w:val="20"/>
                <w:color w:val="auto"/>
              </w:rPr>
            </w:pPr>
            <w:r>
              <w:rPr>
                <w:rFonts w:ascii="Arial" w:cs="Arial" w:eastAsia="Arial" w:hAnsi="Arial"/>
                <w:sz w:val="14"/>
                <w:szCs w:val="14"/>
                <w:color w:val="auto"/>
              </w:rPr>
              <w:t>2.49</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2.59</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2.53</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2.88</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3.54</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1.99</w:t>
            </w:r>
          </w:p>
        </w:tc>
      </w:tr>
      <w:tr>
        <w:trPr>
          <w:trHeight w:val="270"/>
        </w:trPr>
        <w:tc>
          <w:tcPr>
            <w:tcW w:w="2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1.10</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0.68</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1.69</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0.59</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0.59</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0.60</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2.60</w:t>
            </w: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1.75</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38.34</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1.68</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38.09</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1.75</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38.45</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1.82</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40.42</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1.93</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40.03</w:t>
            </w:r>
          </w:p>
        </w:tc>
      </w:tr>
      <w:tr>
        <w:trPr>
          <w:trHeight w:val="270"/>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1060" w:type="dxa"/>
            <w:vAlign w:val="bottom"/>
          </w:tcPr>
          <w:p>
            <w:pPr>
              <w:ind w:left="420"/>
              <w:spacing w:after="0"/>
              <w:rPr>
                <w:sz w:val="20"/>
                <w:szCs w:val="20"/>
                <w:color w:val="auto"/>
              </w:rPr>
            </w:pPr>
            <w:r>
              <w:rPr>
                <w:rFonts w:ascii="Arial" w:cs="Arial" w:eastAsia="Arial" w:hAnsi="Arial"/>
                <w:sz w:val="14"/>
                <w:szCs w:val="14"/>
                <w:color w:val="auto"/>
              </w:rPr>
              <w:t>0.16</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0.19</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35.16</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0.19</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35.39</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0.20</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35.34</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0.38</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37.13</w:t>
            </w:r>
          </w:p>
        </w:tc>
      </w:tr>
      <w:tr>
        <w:trPr>
          <w:trHeight w:val="276"/>
        </w:trPr>
        <w:tc>
          <w:tcPr>
            <w:tcW w:w="2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0.58</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0.67</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16.09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0.79</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1.01</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14.91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1.23</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13.57</w:t>
            </w: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1060" w:type="dxa"/>
            <w:vAlign w:val="bottom"/>
          </w:tcPr>
          <w:p>
            <w:pPr>
              <w:ind w:left="420"/>
              <w:spacing w:after="0"/>
              <w:rPr>
                <w:sz w:val="20"/>
                <w:szCs w:val="20"/>
                <w:color w:val="auto"/>
              </w:rPr>
            </w:pPr>
            <w:r>
              <w:rPr>
                <w:rFonts w:ascii="Arial" w:cs="Arial" w:eastAsia="Arial" w:hAnsi="Arial"/>
                <w:sz w:val="14"/>
                <w:szCs w:val="14"/>
                <w:color w:val="auto"/>
              </w:rPr>
              <w:t>1.29</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1.76</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2.07</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2.15</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2.23</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4.85</w:t>
            </w:r>
          </w:p>
        </w:tc>
      </w:tr>
      <w:tr>
        <w:trPr>
          <w:trHeight w:val="270"/>
        </w:trPr>
        <w:tc>
          <w:tcPr>
            <w:tcW w:w="2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2.21</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2.22</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4.36</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2.57</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2.35</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2.69</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4.42</w:t>
            </w: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0.53</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61.66</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0.62</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61.91</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0.69</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61.55</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0.72</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59.58</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0.89</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59.97</w:t>
            </w:r>
          </w:p>
        </w:tc>
      </w:tr>
      <w:tr>
        <w:trPr>
          <w:trHeight w:val="264"/>
        </w:trPr>
        <w:tc>
          <w:tcPr>
            <w:tcW w:w="2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1.00%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1.02%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1.10%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1.31%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00" w:hanging="92"/>
        <w:spacing w:after="0"/>
        <w:tabs>
          <w:tab w:leader="none" w:pos="10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Comprised of other revolving credit, installment, and lease financing.</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2019, the Allowance was $110.0 million or 1.00% of total loans and leases outstanding, compared with an Allowance of $106.7 million or 1.02% of total loans and leases outstanding as of December 31, 2018. The level of the Allowance was commensurate with the Company’s stable credit risk profile, loan portfolio growth and composition, and a stable Hawaii economy.</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charge-offs of loans and leases were $12.7 million or 0.12% of total average loans and leases in 2019 compared to $14.1 million or 0.14% of total average loans and leases in 2018. Net charge-offs in our consumer portfolios were $11.4 million in 2019 compared to $14.6 million in 2018. This decrease was primarily reflected in our automobile portfolio and residential mortgage portfolio. Net charge-offs in our commercial portfolios were $1.2 million in 2019 compared to net recoveries of $0.5 million in 2018. This increase was primarily reflected in our commercial mortgage portfolio.</w:t>
      </w:r>
    </w:p>
    <w:p>
      <w:pPr>
        <w:sectPr>
          <w:pgSz w:w="11900" w:h="16838" w:orient="portrait"/>
          <w:cols w:equalWidth="0" w:num="1">
            <w:col w:w="11420"/>
          </w:cols>
          <w:pgMar w:left="240" w:top="125"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December 31, 2019, based on our ongoing analysis of estimated probable credit losses, credit risk profiles, economic conditions, coverage ratios, and other relevant factors.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allocation of the Allowance to our commercial portfolio segment increased by $6.9 million or 10% from December 31, 2018. This increase was primarily due to a $3.5 million increase in the Allowance allocated to the commercial mortgage portfolio and a $2.9 million increase in the Allowance allocated to the commercial and industrial portfolio due to loan growth.</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allocation of the Allowance to our consumer portfolio segment decreased by $3.6 million or 9% from December 31, 2018. The decrease was primarily due to a $2.3 million decrease in the Allowance allocated to the automobile portfolio and a $1.5 million decrease in the Allowance allocated to our home equity portfolio which is consistent with current asset quality metrics and economic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 4 to the Consolidated Financial Statements for more information on the Allowance and credit quality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Unfunded Reserve was $6.8 million as of December 31, 2019, and December 31, 2018. The process used to determine the Unfunded Reserve is consistent with the process for determining the Allowance, as adjusted for estimated funding probabilities.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Credit Risks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normal course of business, we serve the needs of state and political subdivisions in multiple capacities, including traditional banking products such as deposit services, and by investing in municipal debt securities. The carrying value of our municipal debt securities was $109.9 million as of December 31, 2019, and $798.6 million as of December 31, 2018. We also maintained investments in corporate bonds with a carrying value of $351.3 million as of December 31, 2019, and $320.4 million as of December 31, 2018. We are exposed to credit risk in these investments should the issuer of a security be unable to meet its financial obligations. This may result in the issuer failing to make scheduled interest payments and/or being unable to repay the principal upon maturity.</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use of derivative financial instruments exposes the Company to counterparty credit risk. See Note 17 to the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500" w:hanging="168"/>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adjusting the statement of condition mix or altering the interest rate characteristics of assets and liabilities;</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use of derivative financial instruments, as detailed in Note 17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1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utilize net interest income simulations to analyze short-term income sensitivities to changes in interest rates. Table 20 presents, for the twelve months subsequent to December 31, 2019, and December 31, 2018,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December 31, 2019,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December 31, 2019, net interest income sensitivity to changes in interest rates for the twelve months subsequent to December 31, 2019, was more sensitive in comparison to the sensitivity profile for the twelve months subsequent to December 31, 2018. Year-over-year asset sensitivity increased due to faster forecasted prepayments for mortgage-related assets due to the lower rate environment, higher liquidity, as well as higher balances in mortgage-backed securities and in floating rate commercial mortgage loans.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20</w:t>
            </w:r>
          </w:p>
        </w:tc>
      </w:tr>
      <w:tr>
        <w:trPr>
          <w:trHeight w:val="33"/>
        </w:trPr>
        <w:tc>
          <w:tcPr>
            <w:tcW w:w="6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gridSpan w:val="5"/>
          </w:tcPr>
          <w:p>
            <w:pPr>
              <w:jc w:val="right"/>
              <w:spacing w:after="0"/>
              <w:rPr>
                <w:sz w:val="20"/>
                <w:szCs w:val="20"/>
                <w:color w:val="auto"/>
              </w:rPr>
            </w:pPr>
            <w:r>
              <w:rPr>
                <w:rFonts w:ascii="Arial" w:cs="Arial" w:eastAsia="Arial" w:hAnsi="Arial"/>
                <w:sz w:val="16"/>
                <w:szCs w:val="16"/>
                <w:b w:val="1"/>
                <w:bCs w:val="1"/>
                <w:color w:val="auto"/>
              </w:rPr>
              <w:t>Impact on Future Annual Net Interest Income</w:t>
            </w:r>
          </w:p>
        </w:tc>
        <w:tc>
          <w:tcPr>
            <w:tcW w:w="840" w:type="dxa"/>
            <w:vAlign w:val="bottom"/>
          </w:tcPr>
          <w:p>
            <w:pPr>
              <w:spacing w:after="0"/>
              <w:rPr>
                <w:sz w:val="20"/>
                <w:szCs w:val="20"/>
                <w:color w:val="auto"/>
              </w:rPr>
            </w:pPr>
          </w:p>
        </w:tc>
      </w:tr>
      <w:tr>
        <w:trPr>
          <w:trHeight w:val="33"/>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258"/>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December 31, 2018</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+200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39"/>
              <w:spacing w:after="0"/>
              <w:rPr>
                <w:sz w:val="20"/>
                <w:szCs w:val="20"/>
                <w:color w:val="auto"/>
              </w:rPr>
            </w:pPr>
            <w:r>
              <w:rPr>
                <w:rFonts w:ascii="Arial" w:cs="Arial" w:eastAsia="Arial" w:hAnsi="Arial"/>
                <w:sz w:val="16"/>
                <w:szCs w:val="16"/>
                <w:color w:val="auto"/>
              </w:rPr>
              <w:t>17,560</w:t>
            </w:r>
          </w:p>
        </w:tc>
        <w:tc>
          <w:tcPr>
            <w:tcW w:w="48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11,014</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8,869</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5,673</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20"/>
                <w:szCs w:val="20"/>
                <w:color w:val="auto"/>
              </w:rPr>
            </w:pPr>
          </w:p>
        </w:tc>
        <w:tc>
          <w:tcPr>
            <w:tcW w:w="1620" w:type="dxa"/>
            <w:vAlign w:val="bottom"/>
          </w:tcPr>
          <w:p>
            <w:pPr>
              <w:jc w:val="right"/>
              <w:ind w:right="779"/>
              <w:spacing w:after="0"/>
              <w:rPr>
                <w:sz w:val="20"/>
                <w:szCs w:val="20"/>
                <w:color w:val="auto"/>
              </w:rPr>
            </w:pPr>
            <w:r>
              <w:rPr>
                <w:rFonts w:ascii="Arial" w:cs="Arial" w:eastAsia="Arial" w:hAnsi="Arial"/>
                <w:sz w:val="16"/>
                <w:szCs w:val="16"/>
                <w:color w:val="auto"/>
              </w:rPr>
              <w:t>(9,311)</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(6,289)</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+200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39"/>
              <w:spacing w:after="0"/>
              <w:rPr>
                <w:sz w:val="20"/>
                <w:szCs w:val="20"/>
                <w:color w:val="auto"/>
              </w:rPr>
            </w:pPr>
            <w:r>
              <w:rPr>
                <w:rFonts w:ascii="Arial" w:cs="Arial" w:eastAsia="Arial" w:hAnsi="Arial"/>
                <w:sz w:val="16"/>
                <w:szCs w:val="16"/>
                <w:color w:val="auto"/>
              </w:rPr>
              <w:t>41,827</w:t>
            </w:r>
          </w:p>
        </w:tc>
        <w:tc>
          <w:tcPr>
            <w:tcW w:w="480" w:type="dxa"/>
            <w:vAlign w:val="bottom"/>
          </w:tcPr>
          <w:p>
            <w:pPr>
              <w:jc w:val="right"/>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23,309</w:t>
            </w: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23,594</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12,517</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20"/>
                <w:szCs w:val="20"/>
                <w:color w:val="auto"/>
              </w:rPr>
            </w:pPr>
          </w:p>
        </w:tc>
        <w:tc>
          <w:tcPr>
            <w:tcW w:w="1620" w:type="dxa"/>
            <w:vAlign w:val="bottom"/>
          </w:tcPr>
          <w:p>
            <w:pPr>
              <w:jc w:val="right"/>
              <w:ind w:right="779"/>
              <w:spacing w:after="0"/>
              <w:rPr>
                <w:sz w:val="20"/>
                <w:szCs w:val="20"/>
                <w:color w:val="auto"/>
              </w:rPr>
            </w:pPr>
            <w:r>
              <w:rPr>
                <w:rFonts w:ascii="Arial" w:cs="Arial" w:eastAsia="Arial" w:hAnsi="Arial"/>
                <w:sz w:val="16"/>
                <w:szCs w:val="16"/>
                <w:color w:val="auto"/>
              </w:rPr>
              <w:t>(30,034)</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(17,665)</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w:t>
            </w:r>
          </w:p>
        </w:tc>
      </w:tr>
    </w:tbl>
    <w:p>
      <w:pPr>
        <w:spacing w:after="0" w:line="2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is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regularly monitor our liquidity position in light of the changing economic environment and customer activity. Based on ongoing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 cost source of funding. Additional funding is available through the issuance of long-term debt or equity.</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December 31, 2019, we could have borrowed an additional $2.5 billion from the FHLB and an additional $533.5 million from the FRB based on the amount of collateral pledged.</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continued our focus on maintaining a strong liquidity position throughout 2019. As of December 31, 2019, cash and cash equivalents were $558.7 million, the carrying value of our available-for-sale investment securities was $2.6 billion, and total deposits were $15.8 billion. As of December 31, 2019, our available-for-sale investment securities portfolio was comprised of securities with an average base duration of approximately 2.98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actively manage capital, commensurate with our risk profile, in our efforts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December 31, 2019, the Company’s capital levels remained characterized as “well-capitalized.” The Company’s regulatory capital ratios are presented in Table 21 below. There have been no conditions or events since December 31, 2019, that management believes have changed either the Company’s or the Bank’s capital classifications.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As of December 31, 2019, shareholders’ equity was $1.3 billion, an increase of $18.6 million or 1% from December 31, 2018. Earnings for 2019 of $225.9 million, common stock issuances of $7.6 million, and share-based compensation of $8.3 million were offset by cash dividends paid of $105.5 million, common stock repurchases of $137.6 million, and other comprehensive income of $19.9 million. In 2019, included in the amount of common stock repurchased were 1,642,998 shares repurchased under our share repurchase program. These shares were repurchased at an average cost per share of $81.98 and a total cost of $134.7 million. From the beginning of our share repurchase program in July 2001 through December 31, 2019, we repurchased a total of 56.9 million shares of common stock and returned a total of nearly $2.3 billion to our shareholders at an average cost of $40.38 per share.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2020, the Parent’s Board of Directors increased the authorization under the share repurchase program by an additional $100.0 million. From January 1, 2020 through February 14, 2020, the Parent repurchased an additional 114,358 shares of common stock at an average cost of $92.63 per share and a total cost of $10.6 million. Remaining buyback authority was $116.4 million as of February 14, 2020. The actual amount and timing of future share repurchases, if any, will depend on market and economic conditions, regulatory rules, applicable SEC rules, and various other factors.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January 2020, the Parent’s Board of Directors declared a quarterly cash dividend of $0.67 per share on the Parent’s outstanding shares. The dividend will be payable on March 13, 2020 to shareholders of record at the close of business on February 28,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21 presents a five-year history of activities and balances in our capital accounts, along with key capital ratios.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5"/>
          </w:tcPr>
          <w:p>
            <w:pPr>
              <w:ind w:left="40"/>
              <w:spacing w:after="0"/>
              <w:rPr>
                <w:sz w:val="20"/>
                <w:szCs w:val="20"/>
                <w:color w:val="auto"/>
              </w:rPr>
            </w:pPr>
            <w:r>
              <w:rPr>
                <w:rFonts w:ascii="Arial" w:cs="Arial" w:eastAsia="Arial" w:hAnsi="Arial"/>
                <w:sz w:val="18"/>
                <w:szCs w:val="18"/>
                <w:b w:val="1"/>
                <w:bCs w:val="1"/>
                <w:color w:val="auto"/>
              </w:rPr>
              <w:t>Shareholders’ Equity and Regulatory Capital</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21</w:t>
            </w:r>
          </w:p>
        </w:tc>
      </w:tr>
      <w:tr>
        <w:trPr>
          <w:trHeight w:val="27"/>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50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2015</w:t>
            </w:r>
          </w:p>
        </w:tc>
      </w:tr>
      <w:tr>
        <w:trPr>
          <w:trHeight w:val="202"/>
        </w:trPr>
        <w:tc>
          <w:tcPr>
            <w:tcW w:w="500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Change in Shareholders' Equity</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37"/>
        </w:trPr>
        <w:tc>
          <w:tcPr>
            <w:tcW w:w="5000" w:type="dxa"/>
            <w:vAlign w:val="bottom"/>
            <w:gridSpan w:val="5"/>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225,913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219,602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184,672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181,461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160,704</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Cash 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(105,478)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(98,496)</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(87,066)</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(81,157)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(78,367)</w:t>
            </w:r>
          </w:p>
        </w:tc>
      </w:tr>
      <w:tr>
        <w:trPr>
          <w:trHeight w:val="237"/>
        </w:trPr>
        <w:tc>
          <w:tcPr>
            <w:tcW w:w="5000" w:type="dxa"/>
            <w:vAlign w:val="bottom"/>
            <w:gridSpan w:val="5"/>
          </w:tcPr>
          <w:p>
            <w:pPr>
              <w:ind w:left="40"/>
              <w:spacing w:after="0"/>
              <w:rPr>
                <w:sz w:val="20"/>
                <w:szCs w:val="20"/>
                <w:color w:val="auto"/>
              </w:rPr>
            </w:pPr>
            <w:r>
              <w:rPr>
                <w:rFonts w:ascii="Arial" w:cs="Arial" w:eastAsia="Arial" w:hAnsi="Arial"/>
                <w:sz w:val="16"/>
                <w:szCs w:val="16"/>
                <w:color w:val="auto"/>
              </w:rPr>
              <w:t>Dividend Reinvestment Program</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5,039</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4,689</w:t>
            </w:r>
          </w:p>
        </w:tc>
        <w:tc>
          <w:tcPr>
            <w:tcW w:w="3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4,360</w:t>
            </w:r>
          </w:p>
        </w:tc>
        <w:tc>
          <w:tcPr>
            <w:tcW w:w="30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4,271</w:t>
            </w: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4,316</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Stock Repurchased</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(137,649)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(91,988)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(47,076)</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(61,807)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(52,981)</w:t>
            </w:r>
          </w:p>
        </w:tc>
      </w:tr>
      <w:tr>
        <w:trPr>
          <w:trHeight w:val="270"/>
        </w:trPr>
        <w:tc>
          <w:tcPr>
            <w:tcW w:w="50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30,807</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2,525</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15,441</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2,509</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27,502</w:t>
            </w:r>
          </w:p>
        </w:tc>
      </w:tr>
      <w:tr>
        <w:trPr>
          <w:trHeight w:val="269"/>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Increase in Shareholders'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18,632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36,332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70,331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45,277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61,174</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3"/>
        </w:trPr>
        <w:tc>
          <w:tcPr>
            <w:tcW w:w="500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Regulatory Capital</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37"/>
        </w:trPr>
        <w:tc>
          <w:tcPr>
            <w:tcW w:w="500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1,286,832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1,268,200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1,231,868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1,161,537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1,116,260</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Less: Goodwill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28,718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28,718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28,718</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27,413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27,416</w:t>
            </w:r>
          </w:p>
        </w:tc>
      </w:tr>
      <w:tr>
        <w:trPr>
          <w:trHeight w:val="237"/>
        </w:trPr>
        <w:tc>
          <w:tcPr>
            <w:tcW w:w="40" w:type="dxa"/>
            <w:vAlign w:val="bottom"/>
          </w:tcPr>
          <w:p>
            <w:pPr>
              <w:spacing w:after="0"/>
              <w:rPr>
                <w:sz w:val="20"/>
                <w:szCs w:val="20"/>
                <w:color w:val="auto"/>
              </w:rPr>
            </w:pPr>
          </w:p>
        </w:tc>
        <w:tc>
          <w:tcPr>
            <w:tcW w:w="4960" w:type="dxa"/>
            <w:vAlign w:val="bottom"/>
            <w:gridSpan w:val="4"/>
          </w:tcPr>
          <w:p>
            <w:pPr>
              <w:ind w:left="460"/>
              <w:spacing w:after="0"/>
              <w:rPr>
                <w:sz w:val="20"/>
                <w:szCs w:val="20"/>
                <w:color w:val="auto"/>
              </w:rPr>
            </w:pPr>
            <w:r>
              <w:rPr>
                <w:rFonts w:ascii="Arial" w:cs="Arial" w:eastAsia="Arial" w:hAnsi="Arial"/>
                <w:sz w:val="16"/>
                <w:szCs w:val="16"/>
                <w:color w:val="auto"/>
              </w:rPr>
              <w:t>Postretirement Benefit Liability Adjustments</w:t>
            </w:r>
          </w:p>
        </w:tc>
        <w:tc>
          <w:tcPr>
            <w:tcW w:w="2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(38,757)</w:t>
            </w: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(36,010)</w:t>
            </w: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(27,715)</w:t>
            </w: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(28,892)</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(28,860)</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6"/>
                <w:szCs w:val="16"/>
                <w:color w:val="auto"/>
              </w:rPr>
              <w:t>Net Unrealized Gains (Losses) on 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7,645</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(15,033)</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(7,000)</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(5,014)</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5,304</w:t>
            </w:r>
          </w:p>
        </w:tc>
      </w:tr>
      <w:tr>
        <w:trPr>
          <w:trHeight w:val="237"/>
        </w:trPr>
        <w:tc>
          <w:tcPr>
            <w:tcW w:w="40" w:type="dxa"/>
            <w:vAlign w:val="bottom"/>
          </w:tcPr>
          <w:p>
            <w:pPr>
              <w:spacing w:after="0"/>
              <w:rPr>
                <w:sz w:val="20"/>
                <w:szCs w:val="20"/>
                <w:color w:val="auto"/>
              </w:rPr>
            </w:pPr>
          </w:p>
        </w:tc>
        <w:tc>
          <w:tcPr>
            <w:tcW w:w="4960" w:type="dxa"/>
            <w:vAlign w:val="bottom"/>
            <w:gridSpan w:val="4"/>
          </w:tcPr>
          <w:p>
            <w:pPr>
              <w:ind w:left="4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1,289,424</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1,290,723</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1,238,063</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1,168,228</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1,112,598</w:t>
            </w:r>
          </w:p>
        </w:tc>
      </w:tr>
      <w:tr>
        <w:trPr>
          <w:trHeight w:val="237"/>
        </w:trPr>
        <w:tc>
          <w:tcPr>
            <w:tcW w:w="5000" w:type="dxa"/>
            <w:vAlign w:val="bottom"/>
            <w:gridSpan w:val="5"/>
          </w:tcPr>
          <w:p>
            <w:pPr>
              <w:ind w:left="40"/>
              <w:spacing w:after="0"/>
              <w:rPr>
                <w:sz w:val="20"/>
                <w:szCs w:val="20"/>
                <w:color w:val="auto"/>
              </w:rPr>
            </w:pPr>
            <w:r>
              <w:rPr>
                <w:rFonts w:ascii="Arial" w:cs="Arial" w:eastAsia="Arial" w:hAnsi="Arial"/>
                <w:sz w:val="16"/>
                <w:szCs w:val="16"/>
                <w:color w:val="auto"/>
              </w:rPr>
              <w:t>Tier 1 Capital</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1,289,424</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1,290,723</w:t>
            </w:r>
          </w:p>
        </w:tc>
        <w:tc>
          <w:tcPr>
            <w:tcW w:w="3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1,238,063</w:t>
            </w:r>
          </w:p>
        </w:tc>
        <w:tc>
          <w:tcPr>
            <w:tcW w:w="30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1,168,228</w:t>
            </w: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1,112,598</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Allowable Reserve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116,849</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113,515</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114,168</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110,300</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99,647</w:t>
            </w:r>
          </w:p>
        </w:tc>
      </w:tr>
      <w:tr>
        <w:trPr>
          <w:trHeight w:val="231"/>
        </w:trPr>
        <w:tc>
          <w:tcPr>
            <w:tcW w:w="500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1,406,273</w:t>
            </w: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1,404,238</w:t>
            </w: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1,352,231</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1,278,528</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1,212,245</w:t>
            </w:r>
          </w:p>
        </w:tc>
      </w:tr>
      <w:tr>
        <w:trPr>
          <w:trHeight w:val="73"/>
        </w:trPr>
        <w:tc>
          <w:tcPr>
            <w:tcW w:w="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51"/>
        </w:trPr>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8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8"/>
        </w:trPr>
        <w:tc>
          <w:tcPr>
            <w:tcW w:w="5000" w:type="dxa"/>
            <w:vAlign w:val="bottom"/>
            <w:gridSpan w:val="5"/>
          </w:tcPr>
          <w:p>
            <w:pPr>
              <w:ind w:left="40"/>
              <w:spacing w:after="0"/>
              <w:rPr>
                <w:sz w:val="20"/>
                <w:szCs w:val="20"/>
                <w:color w:val="auto"/>
              </w:rPr>
            </w:pPr>
            <w:r>
              <w:rPr>
                <w:rFonts w:ascii="Arial" w:cs="Arial" w:eastAsia="Arial" w:hAnsi="Arial"/>
                <w:sz w:val="16"/>
                <w:szCs w:val="16"/>
                <w:b w:val="1"/>
                <w:bCs w:val="1"/>
                <w:color w:val="auto"/>
              </w:rPr>
              <w:t>Risk-Weighted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10,589,061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9,878,904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9,348,296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8,823,485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7,962,484</w:t>
            </w:r>
          </w:p>
        </w:tc>
      </w:tr>
      <w:tr>
        <w:trPr>
          <w:trHeight w:val="73"/>
        </w:trPr>
        <w:tc>
          <w:tcPr>
            <w:tcW w:w="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51"/>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03"/>
        </w:trPr>
        <w:tc>
          <w:tcPr>
            <w:tcW w:w="5000" w:type="dxa"/>
            <w:vAlign w:val="bottom"/>
            <w:gridSpan w:val="5"/>
          </w:tcPr>
          <w:p>
            <w:pPr>
              <w:ind w:left="40"/>
              <w:spacing w:after="0"/>
              <w:rPr>
                <w:sz w:val="20"/>
                <w:szCs w:val="20"/>
                <w:color w:val="auto"/>
              </w:rPr>
            </w:pPr>
            <w:r>
              <w:rPr>
                <w:rFonts w:ascii="Arial" w:cs="Arial" w:eastAsia="Arial" w:hAnsi="Arial"/>
                <w:sz w:val="16"/>
                <w:szCs w:val="16"/>
                <w:b w:val="1"/>
                <w:bCs w:val="1"/>
                <w:color w:val="auto"/>
              </w:rPr>
              <w:t>Key Regulatory Capital Ratios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 Ratio</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r>
      <w:tr>
        <w:trPr>
          <w:trHeight w:val="237"/>
        </w:trPr>
        <w:tc>
          <w:tcPr>
            <w:tcW w:w="5000" w:type="dxa"/>
            <w:vAlign w:val="bottom"/>
            <w:gridSpan w:val="5"/>
          </w:tcPr>
          <w:p>
            <w:pPr>
              <w:ind w:left="40"/>
              <w:spacing w:after="0"/>
              <w:rPr>
                <w:sz w:val="20"/>
                <w:szCs w:val="20"/>
                <w:color w:val="auto"/>
              </w:rPr>
            </w:pPr>
            <w:r>
              <w:rPr>
                <w:rFonts w:ascii="Arial" w:cs="Arial" w:eastAsia="Arial" w:hAnsi="Arial"/>
                <w:sz w:val="16"/>
                <w:szCs w:val="16"/>
                <w:color w:val="auto"/>
              </w:rPr>
              <w:t>Tier 1 Capital Ratio</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12.18</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13.07</w:t>
            </w:r>
          </w:p>
        </w:tc>
        <w:tc>
          <w:tcPr>
            <w:tcW w:w="3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13.24</w:t>
            </w:r>
          </w:p>
        </w:tc>
        <w:tc>
          <w:tcPr>
            <w:tcW w:w="30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13.24</w:t>
            </w: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13.97</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Total Capital Ratio</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13.28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14.21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14.46</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14.49</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15.22</w:t>
            </w:r>
          </w:p>
        </w:tc>
      </w:tr>
      <w:tr>
        <w:trPr>
          <w:trHeight w:val="237"/>
        </w:trPr>
        <w:tc>
          <w:tcPr>
            <w:tcW w:w="5000" w:type="dxa"/>
            <w:vAlign w:val="bottom"/>
            <w:gridSpan w:val="5"/>
          </w:tcPr>
          <w:p>
            <w:pPr>
              <w:ind w:left="40"/>
              <w:spacing w:after="0"/>
              <w:rPr>
                <w:sz w:val="20"/>
                <w:szCs w:val="20"/>
                <w:color w:val="auto"/>
              </w:rPr>
            </w:pPr>
            <w:r>
              <w:rPr>
                <w:rFonts w:ascii="Arial" w:cs="Arial" w:eastAsia="Arial" w:hAnsi="Arial"/>
                <w:sz w:val="16"/>
                <w:szCs w:val="16"/>
                <w:color w:val="auto"/>
              </w:rPr>
              <w:t>Tier 1 Leverage Ratio</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7.25</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7.60</w:t>
            </w:r>
          </w:p>
        </w:tc>
        <w:tc>
          <w:tcPr>
            <w:tcW w:w="3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7.26</w:t>
            </w:r>
          </w:p>
        </w:tc>
        <w:tc>
          <w:tcPr>
            <w:tcW w:w="30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7.21</w:t>
            </w:r>
          </w:p>
        </w:tc>
        <w:tc>
          <w:tcPr>
            <w:tcW w:w="2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7.26</w:t>
            </w:r>
          </w:p>
        </w:tc>
      </w:tr>
    </w:tbl>
    <w:p>
      <w:pPr>
        <w:spacing w:after="0" w:line="14" w:lineRule="exact"/>
        <w:rPr>
          <w:sz w:val="20"/>
          <w:szCs w:val="20"/>
          <w:color w:val="auto"/>
        </w:rPr>
      </w:pPr>
    </w:p>
    <w:p>
      <w:pPr>
        <w:ind w:left="80" w:right="140" w:hanging="72"/>
        <w:spacing w:after="0" w:line="273" w:lineRule="auto"/>
        <w:tabs>
          <w:tab w:leader="none" w:pos="66" w:val="left"/>
        </w:tabs>
        <w:numPr>
          <w:ilvl w:val="0"/>
          <w:numId w:val="35"/>
        </w:numPr>
        <w:rPr>
          <w:rFonts w:ascii="Arial" w:cs="Arial" w:eastAsia="Arial" w:hAnsi="Arial"/>
          <w:sz w:val="9"/>
          <w:szCs w:val="9"/>
          <w:color w:val="auto"/>
        </w:rPr>
      </w:pPr>
      <w:r>
        <w:rPr>
          <w:rFonts w:ascii="Arial" w:cs="Arial" w:eastAsia="Arial" w:hAnsi="Arial"/>
          <w:sz w:val="14"/>
          <w:szCs w:val="14"/>
          <w:color w:val="auto"/>
        </w:rPr>
        <w:t>Includes unrealized gains and losses on available-for-sale investment securities, minimum pension liability adjustments, and common stock issuances under share-based compensation and related tax benefits.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risk-based capital requirements applicable to bank holding companies and their depository institution subsidiaries, including the definitions and the components of Tier 1 capital and Total Capital, the method of evaluating risk-weighted assets, institution of a capital conservation buffer, and other matters affecting regulatory capital ratios. Strict eligibility criteria for regulatory capital instruments were also implemented under the rules.</w:t>
      </w:r>
    </w:p>
    <w:p>
      <w:pPr>
        <w:spacing w:after="0" w:line="17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which were fully implemented on January 1, 2019. As of December 31, 2019,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 Fund (“DIF”) Assessment</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March 2016, the FDIC approved a final rule that imposes on banks with at least $10 billion in assets, such as the Company, a surcharge of 4.5 cents per $100 of their assessment base, after making certain adjustments. The surcharge became effective for the third quarter of 2016 and the FDIC estimated the surcharge would be imposed for approximately two years. The surcharge took effect at the same time that the regular FDIC insurance assessment rates for all banks declined under a rule adopted by the FDIC in 2011. The surcharge ended on September 30, 2018. A further reduction in assessment rates will occur if and when the FDIC’s Deposit Insurance Fund Reserve Ratio reaches 2.0 percent.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5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hold interests in several unconsolidated variable interest entities (“VIEs”). These unconsolidated VIEs are primarily low-income housing partnerships and solar energy tax credit partnership investments.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 See discussion of our accounting policy related to VIEs in Note 1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pool Federal Housing Administration (“FHA”) insured and U.S. Department of Veterans Affairs (“VA”) guaranteed residential mortgage loans for sale to Ginnie Mae. We also sell residential mortgage loans in the secondary market to Fannie Mae. The agreements under which we sell residential mortgage loans to Ginnie Mae or Fannie Mae and the insurance or guaranty agreements with the FHA and VA contain provisions that include various representations and warranties regarding the origination and characteristics of the residential mortgage loans. Although these loans are primarily sold on a non-recourse basis, we may be obligated to repurchase residential mortgage loans or reimburse the respective investor if it is found that required documents were not delivered or were defective.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service substantially all of the loans we sell to investors in the secondary market. Each agreement under which we act as servicer generally specifies a standard of responsibility for our actions and provides protection against expenses and liabilities incurred by us when acting in compliance with the respective servicing agreements. However, if we commit a material breach of obligations as servicer, we may be subject to various penalties which may include the repurchase of an affected loan or a reimbursement to the respective investor.</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discussion of our risks related to representation and warranty provisions as well as our risks related to residential mortgage loan servicing activities in Note 20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as of December 31, 2019,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Contractual Obligations </w:t>
            </w:r>
            <w:r>
              <w:rPr>
                <w:rFonts w:ascii="Arial" w:cs="Arial" w:eastAsia="Arial" w:hAnsi="Arial"/>
                <w:sz w:val="21"/>
                <w:szCs w:val="21"/>
                <w:b w:val="1"/>
                <w:bCs w:val="1"/>
                <w:color w:val="auto"/>
                <w:vertAlign w:val="superscript"/>
              </w:rPr>
              <w:t>1</w:t>
            </w:r>
          </w:p>
        </w:tc>
        <w:tc>
          <w:tcPr>
            <w:tcW w:w="7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Table 22</w:t>
            </w:r>
          </w:p>
        </w:tc>
      </w:tr>
      <w:tr>
        <w:trPr>
          <w:trHeight w:val="209"/>
        </w:trPr>
        <w:tc>
          <w:tcPr>
            <w:tcW w:w="3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Less Than One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7"/>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Year</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1-3 Years</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4-5 Years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After 5 Years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Deposits with No Stated Maturity</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13,982,051</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13,982,051</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Time Deposits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1,425,438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333,597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38,128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5,268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1,802,431</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3,816</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225,000</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325,490</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50,000</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604,306</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75,000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Banker’s Acceptances Outstanding</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1,364</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1,364</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Obligations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825</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23,105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27,230</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Non-Cancelable Operating Leases</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12,003</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21,844</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17,922</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100,180</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151,949</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17,542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21,631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8,754</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47,927</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Affordable Housing Commitments</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14,286</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5,389</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110</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1,485</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21,270</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Pension and Postretirement Benefit Contributions </w:t>
            </w:r>
            <w:r>
              <w:rPr>
                <w:rFonts w:ascii="Arial" w:cs="Arial" w:eastAsia="Arial" w:hAnsi="Arial"/>
                <w:sz w:val="21"/>
                <w:szCs w:val="21"/>
                <w:color w:val="auto"/>
                <w:vertAlign w:val="superscript"/>
              </w:rPr>
              <w:t>2</w:t>
            </w:r>
          </w:p>
        </w:tc>
        <w:tc>
          <w:tcPr>
            <w:tcW w:w="7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1,454</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2,964</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3,191</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9,800</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17,409</w:t>
            </w:r>
          </w:p>
        </w:tc>
      </w:tr>
      <w:tr>
        <w:trPr>
          <w:trHeight w:val="231"/>
        </w:trPr>
        <w:tc>
          <w:tcPr>
            <w:tcW w:w="3980" w:type="dxa"/>
            <w:vAlign w:val="bottom"/>
          </w:tcPr>
          <w:p>
            <w:pPr>
              <w:ind w:left="40"/>
              <w:spacing w:after="0"/>
              <w:rPr>
                <w:sz w:val="20"/>
                <w:szCs w:val="20"/>
                <w:color w:val="auto"/>
              </w:rPr>
            </w:pPr>
            <w:r>
              <w:rPr>
                <w:rFonts w:ascii="Arial" w:cs="Arial" w:eastAsia="Arial" w:hAnsi="Arial"/>
                <w:sz w:val="16"/>
                <w:szCs w:val="16"/>
                <w:b w:val="1"/>
                <w:bCs w:val="1"/>
                <w:color w:val="auto"/>
              </w:rPr>
              <w:t>Total Contractual Obligations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15,533,779</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612,075</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395,245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189,838</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16,730,937</w:t>
            </w:r>
          </w:p>
        </w:tc>
      </w:tr>
      <w:tr>
        <w:trPr>
          <w:trHeight w:val="33"/>
        </w:trPr>
        <w:tc>
          <w:tcPr>
            <w:tcW w:w="3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180" w:right="420" w:hanging="172"/>
        <w:spacing w:after="0" w:line="250" w:lineRule="auto"/>
        <w:tabs>
          <w:tab w:leader="none" w:pos="180" w:val="left"/>
        </w:tabs>
        <w:numPr>
          <w:ilvl w:val="0"/>
          <w:numId w:val="36"/>
        </w:numPr>
        <w:rPr>
          <w:rFonts w:ascii="Arial" w:cs="Arial" w:eastAsia="Arial" w:hAnsi="Arial"/>
          <w:sz w:val="9"/>
          <w:szCs w:val="9"/>
          <w:color w:val="auto"/>
        </w:rPr>
      </w:pPr>
      <w:r>
        <w:rPr>
          <w:rFonts w:ascii="Arial" w:cs="Arial" w:eastAsia="Arial" w:hAnsi="Arial"/>
          <w:sz w:val="14"/>
          <w:szCs w:val="14"/>
          <w:color w:val="auto"/>
        </w:rPr>
        <w:t>Our liability for UTBs as of December 31, 2019, was $6.1 million. We were unable to reasonably estimate the period of cash settlement with the respective taxing authority. As a result, our liability for UTBs is not included in this disclosure.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 Amounts only include obligations related to the unfunded non-qualified pension plan and postretirement benefit plan.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Commitments to extend credit, standby letters of credit, and commercial letters of credit do not necessarily represent future cash requirements in that these commitments often expire without being drawn upon; therefore, these items are not included in the above table (see Note 20 to the Consolidated Financial Statements for more information). Our non-cancelable operating leases and finance lease obligations are primarily related to branch premises, equipment, and a portion of the Company’s headquarters’ building with lease terms extending through 2052. Purchase obligations arise from agreements to purchase goods or services that are enforceable and legally binding. Other contracts included in purchase obligations primarily consist of service agreements for various systems and applications supporting bank operations. Pension and postretirement benefit contributions represent the minimum expected contribution to the unfunded non-qualified pension plan and postretirement benefit plan. Actual contributions may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of credit, lease, and other contractual commitments in Note 20 and Note 23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Application of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This ASU significantly changes how entities will measure credit losses for most financial assets and certain other instruments that are not measured at fair value through net income. The standard will replace today’s “incurred loss” approach with an “expected loss” approach known as current expected credit loss (“CECL”). CECL will apply to: (1) financial assets subject to credit losses and measured at amortized cost, and (2) certain off-balance sheet credit exposures. This includes, but is not limited to, loans, leases, held-to-maturity securities, loan commitments, and financial guarantees. The CECL approach will not apply to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expands the disclosure requirements regarding an entity’s assumptions, models, and methods for estimating the reserve for credit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The Company adopted the standard in the first quarter of 2020. Entities will apply the standard’s provisions as a cumulative-effect adjustment to retained earnings as of the beginning of the first reporting period in which the guidance is effective (i.e., modified retrospective approach). The Company is finalizing implementation efforts through its Company-wide implementation team. The team has worked with an advisory consultant and has finalized and documented the methodologies that will be utilized. The team is currently finalizing controls, processes, policies, and disclosures and has completed full end-to-end parallel runs. Based on the Company’s portfolio composition as of December 31, 2019, and current expectations of future economic conditions, the reserve for credit losses is expected to decrease by 2% to 7% upon the January 1, 2020, adoption date (i.e., day-one). The allowance for commercial loans is expected to decrease while the allowance for consumer loans is expected to increase. The Company does not expect to record a material allowance for AFS or HTM debt securities as the investment portfolio consists primarily of debt securities explicitly or implicitly backed by the U.S. Government for which credit risk is deemed minimal. The Company continues to finalize its day-one adjustment and will record the after-tax impact as a cumulative-effect adjustment to retained earnings as of January 1, 2020. The impact going forward will depend on the composition, characteristics, and credit quality of the loan and securities portfolios as well as the economic conditions at future reporting periods.</w:t>
      </w:r>
    </w:p>
    <w:p>
      <w:pPr>
        <w:spacing w:after="0" w:line="39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xml:space="preserve"> This ASU eliminates, adds and modifies certain disclosure requirements for fair value measurements.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is effective for interim and annual reporting periods beginning after December 15, 2019; early adoption is permitted. As ASU No. 2018-13 only revises disclosure requirements, it will not have a material impact on the Company’s Consolidated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April 2019, the FASB issued ASU No. 2019-04, </w:t>
      </w:r>
      <w:r>
        <w:rPr>
          <w:rFonts w:ascii="Arial" w:cs="Arial" w:eastAsia="Arial" w:hAnsi="Arial"/>
          <w:sz w:val="17"/>
          <w:szCs w:val="17"/>
          <w:i w:val="1"/>
          <w:iCs w:val="1"/>
          <w:color w:val="auto"/>
        </w:rPr>
        <w:t>“Codification Improvements to Topic 326, Financial Instruments - Credit Losses, Topic 815,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and Topic 825, Financial Instruments.” </w:t>
      </w:r>
      <w:r>
        <w:rPr>
          <w:rFonts w:ascii="Arial" w:cs="Arial" w:eastAsia="Arial" w:hAnsi="Arial"/>
          <w:sz w:val="17"/>
          <w:szCs w:val="17"/>
          <w:color w:val="auto"/>
        </w:rPr>
        <w:t>With respect to Topic 326, ASU 2019-04 clarifies the scope of the credit losses standard and addresses</w:t>
      </w:r>
      <w:r>
        <w:rPr>
          <w:rFonts w:ascii="Arial" w:cs="Arial" w:eastAsia="Arial" w:hAnsi="Arial"/>
          <w:sz w:val="17"/>
          <w:szCs w:val="17"/>
          <w:i w:val="1"/>
          <w:iCs w:val="1"/>
          <w:color w:val="auto"/>
        </w:rPr>
        <w:t xml:space="preserve"> </w:t>
      </w:r>
      <w:r>
        <w:rPr>
          <w:rFonts w:ascii="Arial" w:cs="Arial" w:eastAsia="Arial" w:hAnsi="Arial"/>
          <w:sz w:val="17"/>
          <w:szCs w:val="17"/>
          <w:color w:val="auto"/>
        </w:rPr>
        <w:t>issues related to accrued interest receivable balances, recoveries, variable interest rates and prepayments, among other things. The Company made the accounting policy elections not to measure an allowance for credit losses on accrued interest receivable, to write-off accrued interest amounts by reversing interest income, and to present accrued interest receivable separately from the related financial asset on the statements of financial condition. The amendments to Topic 326 have the same effective dates as ASU 2016-13 (i.e., the first quarter of 2020). The financial statement impact in regards to the amendments to Topic 326 are incorporated within ASU 2016-13 mentioned above. With respect to Topic 825, on recognizing and measuring financial instruments, ASU 2019-04 addresses the scope of the guidance, the requirement for remeasurement under ASC 820 when using the measurement alternative, certain disclosure requirements and which equity securities have to be remeasured at historical exchange rates. The amendments to Topic 825 are effective for interim and annual reporting periods beginning after December 15, 2019, and are not expected to have a material impact on the Company’s Consolidated Financial Statements. See Note 1 to the Consolidated Financial Statements regarding the 2019 partial adoption of ASU 2019-04, Topic 815 for more information.</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xml:space="preserve"> This ASU allows entities to irrevocably elect, upon adoption of ASU 2016-13, the fair value option on financial instruments that (1) were previously recorded at amortized cost and (2) are within the scope of ASC 326-20 if the instruments are eligible for the fair value option under ASC 825-10. The fair value option election does not apply to held-to-maturity debt securities. Entities are required to make this election on an instrument-by-instrument basis. ASU 2019-05 has the same effective date as ASU 2016-13 (i.e., the first quarter of 2020). The Company does not expect to elect the fair value option, and therefore, ASU 2019-05 is not expected to impact the Company’s Consolidated Financial Statements.</w:t>
      </w:r>
    </w:p>
    <w:p>
      <w:pPr>
        <w:spacing w:after="0" w:line="19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In November 2019, the FASB issued ASU No. 2019-11, </w:t>
      </w:r>
      <w:r>
        <w:rPr>
          <w:rFonts w:ascii="Arial" w:cs="Arial" w:eastAsia="Arial" w:hAnsi="Arial"/>
          <w:sz w:val="18"/>
          <w:szCs w:val="18"/>
          <w:i w:val="1"/>
          <w:iCs w:val="1"/>
          <w:color w:val="auto"/>
        </w:rPr>
        <w:t>“Codification Improvements to Topic 326, Financial Instruments - Credit Losses.”</w:t>
      </w:r>
      <w:r>
        <w:rPr>
          <w:rFonts w:ascii="Arial" w:cs="Arial" w:eastAsia="Arial" w:hAnsi="Arial"/>
          <w:sz w:val="18"/>
          <w:szCs w:val="18"/>
          <w:color w:val="auto"/>
        </w:rPr>
        <w:t xml:space="preserve"> This ASU requires entities to include certain expected recoveries of the amortized cost basis previously written off, or expected to be written off, in the allowance for credit losses for purchased credit-deteriorated (“PCD”) financial assets. It also provides transition relief related to TDRs, allows entities to exclude accrued interest amounts from certain required disclosures and clarifies the requirements for applying the collateral maintenance practical expedient. ASU 2019-11 has the same effective dates as ASU 2016-13 (i.e., the first quarter of 2020) and did not have a material impact to the Company’s Consolidated Financial Statements.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This ASU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Finally, it clarifies that single-member limited liability companies and similar disregarded entities that are not subject to income tax are not required to recognize an allocation of consolidated income tax expense in their separate financial statements, but they could elect to do so. ASU 2019-12 is effective for interim and annual reporting periods beginning after December 15, 2020, early adoption is permitted. The Company is currently evaluating the ASU to determine any potential impact to the Company’s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 for the accounting standards adopted in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Consolidated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Table 23 presents our selected quarterly financial data for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Condensed Statements of Income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23</w:t>
            </w:r>
          </w:p>
        </w:tc>
        <w:tc>
          <w:tcPr>
            <w:tcW w:w="0" w:type="dxa"/>
            <w:vAlign w:val="bottom"/>
          </w:tcPr>
          <w:p>
            <w:pPr>
              <w:spacing w:after="0"/>
              <w:rPr>
                <w:sz w:val="1"/>
                <w:szCs w:val="1"/>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93"/>
              </w:rPr>
              <w:t>Three Months Ended</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68"/>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jc w:val="center"/>
              <w:ind w:right="7"/>
              <w:spacing w:after="0"/>
              <w:rPr>
                <w:sz w:val="20"/>
                <w:szCs w:val="20"/>
                <w:color w:val="auto"/>
              </w:rPr>
            </w:pPr>
            <w:r>
              <w:rPr>
                <w:rFonts w:ascii="Arial" w:cs="Arial" w:eastAsia="Arial" w:hAnsi="Arial"/>
                <w:sz w:val="16"/>
                <w:szCs w:val="16"/>
                <w:b w:val="1"/>
                <w:bCs w:val="1"/>
                <w:color w:val="auto"/>
                <w:w w:val="89"/>
              </w:rPr>
              <w:t>2019</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jc w:val="center"/>
              <w:ind w:right="27"/>
              <w:spacing w:after="0"/>
              <w:rPr>
                <w:sz w:val="20"/>
                <w:szCs w:val="20"/>
                <w:color w:val="auto"/>
              </w:rPr>
            </w:pPr>
            <w:r>
              <w:rPr>
                <w:rFonts w:ascii="Arial" w:cs="Arial" w:eastAsia="Arial" w:hAnsi="Arial"/>
                <w:sz w:val="16"/>
                <w:szCs w:val="16"/>
                <w:b w:val="1"/>
                <w:bCs w:val="1"/>
                <w:color w:val="auto"/>
                <w:w w:val="89"/>
              </w:rPr>
              <w:t>2018</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 except per share amounts)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 31</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Sep 30</w:t>
            </w:r>
          </w:p>
        </w:tc>
        <w:tc>
          <w:tcPr>
            <w:tcW w:w="4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 30</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Mar 31</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 31</w:t>
            </w: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 30</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Jun 30</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 31</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145,101</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148,083</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148,571</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145,642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143,018</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139,424</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8"/>
              </w:rPr>
              <w:t>135,585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132,146</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21,216</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23,187</w:t>
            </w:r>
          </w:p>
        </w:tc>
        <w:tc>
          <w:tcPr>
            <w:tcW w:w="4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24,474</w:t>
            </w: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20,805</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19,045</w:t>
            </w: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16,497</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15,089</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13,190</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1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123,885</w:t>
            </w:r>
          </w:p>
        </w:tc>
        <w:tc>
          <w:tcPr>
            <w:tcW w:w="4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124,896</w:t>
            </w:r>
          </w:p>
        </w:tc>
        <w:tc>
          <w:tcPr>
            <w:tcW w:w="4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124,097</w:t>
            </w:r>
          </w:p>
        </w:tc>
        <w:tc>
          <w:tcPr>
            <w:tcW w:w="4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124,837</w:t>
            </w: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123,973</w:t>
            </w:r>
          </w:p>
        </w:tc>
        <w:tc>
          <w:tcPr>
            <w:tcW w:w="2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122,927</w:t>
            </w: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98"/>
              </w:rPr>
              <w:t>120,496</w:t>
            </w: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118,956</w:t>
            </w:r>
          </w:p>
        </w:tc>
        <w:tc>
          <w:tcPr>
            <w:tcW w:w="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Provision for Credit Losses</w:t>
            </w: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4,750</w:t>
            </w:r>
          </w:p>
        </w:tc>
        <w:tc>
          <w:tcPr>
            <w:tcW w:w="4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4,250</w:t>
            </w:r>
          </w:p>
        </w:tc>
        <w:tc>
          <w:tcPr>
            <w:tcW w:w="4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4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3,800</w:t>
            </w:r>
          </w:p>
        </w:tc>
        <w:tc>
          <w:tcPr>
            <w:tcW w:w="420" w:type="dxa"/>
            <w:vAlign w:val="bottom"/>
          </w:tcPr>
          <w:p>
            <w:pPr>
              <w:spacing w:after="0"/>
              <w:rPr>
                <w:sz w:val="22"/>
                <w:szCs w:val="22"/>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3,500</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4,125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Gains</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 Net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(776)</w:t>
            </w: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(1,702)</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Noninterest Income</w:t>
            </w: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48,608</w:t>
            </w:r>
          </w:p>
        </w:tc>
        <w:tc>
          <w:tcPr>
            <w:tcW w:w="4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47,976</w:t>
            </w:r>
          </w:p>
        </w:tc>
        <w:tc>
          <w:tcPr>
            <w:tcW w:w="4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46,226</w:t>
            </w:r>
          </w:p>
        </w:tc>
        <w:tc>
          <w:tcPr>
            <w:tcW w:w="4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44,514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42,949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42,211</w:t>
            </w:r>
          </w:p>
        </w:tc>
        <w:tc>
          <w:tcPr>
            <w:tcW w:w="420" w:type="dxa"/>
            <w:vAlign w:val="bottom"/>
          </w:tcPr>
          <w:p>
            <w:pPr>
              <w:spacing w:after="0"/>
              <w:rPr>
                <w:sz w:val="22"/>
                <w:szCs w:val="22"/>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43,000</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44,701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Noninterest Expense</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93,096</w:t>
            </w:r>
          </w:p>
        </w:tc>
        <w:tc>
          <w:tcPr>
            <w:tcW w:w="4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100,349</w:t>
            </w:r>
          </w:p>
        </w:tc>
        <w:tc>
          <w:tcPr>
            <w:tcW w:w="4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92,725</w:t>
            </w:r>
          </w:p>
        </w:tc>
        <w:tc>
          <w:tcPr>
            <w:tcW w:w="4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93,057</w:t>
            </w:r>
          </w:p>
        </w:tc>
        <w:tc>
          <w:tcPr>
            <w:tcW w:w="2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95,911</w:t>
            </w:r>
          </w:p>
        </w:tc>
        <w:tc>
          <w:tcPr>
            <w:tcW w:w="2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90,538</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90,791</w:t>
            </w: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94,384</w:t>
            </w: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Income Before Provision for</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73,741</w:t>
            </w:r>
          </w:p>
        </w:tc>
        <w:tc>
          <w:tcPr>
            <w:tcW w:w="4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66,804</w:t>
            </w:r>
          </w:p>
        </w:tc>
        <w:tc>
          <w:tcPr>
            <w:tcW w:w="4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72,822</w:t>
            </w:r>
          </w:p>
        </w:tc>
        <w:tc>
          <w:tcPr>
            <w:tcW w:w="4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72,459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68,170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70,071</w:t>
            </w:r>
          </w:p>
        </w:tc>
        <w:tc>
          <w:tcPr>
            <w:tcW w:w="420" w:type="dxa"/>
            <w:vAlign w:val="bottom"/>
          </w:tcPr>
          <w:p>
            <w:pPr>
              <w:spacing w:after="0"/>
              <w:rPr>
                <w:sz w:val="16"/>
                <w:szCs w:val="16"/>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67,503</w:t>
            </w: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64,482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15,598</w:t>
            </w:r>
          </w:p>
        </w:tc>
        <w:tc>
          <w:tcPr>
            <w:tcW w:w="4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14,752</w:t>
            </w:r>
          </w:p>
        </w:tc>
        <w:tc>
          <w:tcPr>
            <w:tcW w:w="4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15,903</w:t>
            </w:r>
          </w:p>
        </w:tc>
        <w:tc>
          <w:tcPr>
            <w:tcW w:w="4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13,660</w:t>
            </w:r>
          </w:p>
        </w:tc>
        <w:tc>
          <w:tcPr>
            <w:tcW w:w="2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14,259</w:t>
            </w:r>
          </w:p>
        </w:tc>
        <w:tc>
          <w:tcPr>
            <w:tcW w:w="2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13,138</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12,785</w:t>
            </w: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10,442</w:t>
            </w: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58,143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52,052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56,919</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58,799</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53,911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56,933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54,718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54,040</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Per Common Share</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1.31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1.36</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1.30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0.67</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0.65</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0.65</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0.62</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0.60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0.52</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Performance Ratios</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Net Income to Average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40"/>
              <w:spacing w:after="0"/>
              <w:rPr>
                <w:sz w:val="20"/>
                <w:szCs w:val="20"/>
                <w:color w:val="auto"/>
              </w:rPr>
            </w:pPr>
            <w:r>
              <w:rPr>
                <w:rFonts w:ascii="Arial" w:cs="Arial" w:eastAsia="Arial" w:hAnsi="Arial"/>
                <w:sz w:val="14"/>
                <w:szCs w:val="14"/>
                <w:color w:val="auto"/>
              </w:rPr>
              <w:t>Total Assets (ROA)</w:t>
            </w:r>
          </w:p>
        </w:tc>
        <w:tc>
          <w:tcPr>
            <w:tcW w:w="18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440" w:type="dxa"/>
            <w:vAlign w:val="bottom"/>
          </w:tcPr>
          <w:p>
            <w:pPr>
              <w:jc w:val="center"/>
              <w:ind w:right="47"/>
              <w:spacing w:after="0"/>
              <w:rPr>
                <w:sz w:val="20"/>
                <w:szCs w:val="20"/>
                <w:color w:val="auto"/>
              </w:rPr>
            </w:pPr>
            <w:r>
              <w:rPr>
                <w:rFonts w:ascii="Arial" w:cs="Arial" w:eastAsia="Arial" w:hAnsi="Arial"/>
                <w:sz w:val="14"/>
                <w:szCs w:val="14"/>
                <w:color w:val="auto"/>
                <w:w w:val="9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1.38   %</w:t>
            </w: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1.33</w:t>
            </w:r>
          </w:p>
        </w:tc>
        <w:tc>
          <w:tcPr>
            <w:tcW w:w="420" w:type="dxa"/>
            <w:vAlign w:val="bottom"/>
          </w:tcPr>
          <w:p>
            <w:pPr>
              <w:jc w:val="center"/>
              <w:ind w:right="27"/>
              <w:spacing w:after="0"/>
              <w:rPr>
                <w:sz w:val="20"/>
                <w:szCs w:val="20"/>
                <w:color w:val="auto"/>
              </w:rPr>
            </w:pPr>
            <w:r>
              <w:rPr>
                <w:rFonts w:ascii="Arial" w:cs="Arial" w:eastAsia="Arial" w:hAnsi="Arial"/>
                <w:sz w:val="14"/>
                <w:szCs w:val="14"/>
                <w:color w:val="auto"/>
                <w:w w:val="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1.30  %</w:t>
            </w: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to Average</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 (ROE)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17.84</w:t>
            </w: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16.02</w:t>
            </w: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17.97</w:t>
            </w: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17.68</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54.26</w:t>
            </w:r>
          </w:p>
        </w:tc>
        <w:tc>
          <w:tcPr>
            <w:tcW w:w="4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58.55</w:t>
            </w:r>
          </w:p>
        </w:tc>
        <w:tc>
          <w:tcPr>
            <w:tcW w:w="4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54.69</w:t>
            </w:r>
          </w:p>
        </w:tc>
        <w:tc>
          <w:tcPr>
            <w:tcW w:w="4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55.22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57.75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55.07</w:t>
            </w:r>
          </w:p>
        </w:tc>
        <w:tc>
          <w:tcPr>
            <w:tcW w:w="420" w:type="dxa"/>
            <w:vAlign w:val="bottom"/>
          </w:tcPr>
          <w:p>
            <w:pPr>
              <w:spacing w:after="0"/>
              <w:rPr>
                <w:sz w:val="22"/>
                <w:szCs w:val="22"/>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56.12</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57.91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180" w:type="dxa"/>
            <w:vAlign w:val="bottom"/>
            <w:shd w:val="clear" w:color="auto" w:fill="CCEEFF"/>
          </w:tcPr>
          <w:p>
            <w:pPr>
              <w:spacing w:after="0"/>
              <w:rPr>
                <w:sz w:val="24"/>
                <w:szCs w:val="24"/>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40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44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40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420" w:type="dxa"/>
            <w:vAlign w:val="bottom"/>
            <w:shd w:val="clear" w:color="auto" w:fill="CCEEFF"/>
          </w:tcPr>
          <w:p>
            <w:pPr>
              <w:spacing w:after="0"/>
              <w:rPr>
                <w:sz w:val="24"/>
                <w:szCs w:val="24"/>
                <w:color w:val="auto"/>
              </w:rPr>
            </w:pPr>
          </w:p>
        </w:tc>
        <w:tc>
          <w:tcPr>
            <w:tcW w:w="84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3.04</w:t>
            </w:r>
          </w:p>
        </w:tc>
        <w:tc>
          <w:tcPr>
            <w:tcW w:w="16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The efficiency ratio is defined as noninterest expense divided by total revenue (net interest income and noninterest income).</w:t>
      </w:r>
    </w:p>
    <w:p>
      <w:pPr>
        <w:ind w:left="180" w:hanging="172"/>
        <w:spacing w:after="0" w:line="187" w:lineRule="auto"/>
        <w:tabs>
          <w:tab w:leader="none" w:pos="18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The net interest margin is defined as net interest income, on a taxable-equivalent basis, as a percentage of average earning assets.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 and 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income for the fourth quarter of 2019 was $58.1 million, an increase of $4.2 million or 8% compared to the fourth quarter of 2018. Diluted earnings per share were $1.45 for the fourth quarter of 2019, an increase of $0.15 or 12% compared to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Net interest income, on a taxable-equivalent basis, for the fourth quarter of 2019 was $124.2 million, a decrease of $1.0 million or 1% compared to the fourth quarter of 2018. The decrease was primarily due to higher rates paid on our interest-bearing deposits. Net interest margin was 2.95% for the fourth quarter of 2019, a decrease of 15 basis points compared to the fourth quarter of 2018, primarily due to lower yields in our investment securities and loans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We recorded a Provision of $4.8 million in the fourth quarter of 2019 compared to a Provision of $2.0 million recorded in the fourth quarter of 2018, while recording net charge-offs of loans and leases of $3.7 million and $4.0 million in the fourth quarters of 2019 and 2018, respectively. The Provision recorded was based on our internal calculation and judgment that the allowance for loan and lease losses should be $110.0 million as of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Noninterest income, other than net gains on sales of investment securities, was $48.6 million in the fourth quarter of 2019, an increase of $5.7 million or 13% compared to the fourth quarter of 2018. This increase was primarily due to an increase in net gain on sale of leased assets of $3.2 million, and mortgage banking income increased by $1.4 million due to increased sales and margins on sales of conforming saleable loans from current production. In addition, fees for our customer interest rate swap derivatives increased by $0.9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Noninterest expense was $93.1 million in the fourth quarter of 2019, a decrease of $2.8 million or 3% compared to the fourth quarter of 2018. Salaries and benefit expense decreased by $3.2 million primarily due to a $2.4 million decrease in expenses related to our self-insured medical plans, and a $0.9 million decrease in separation expense. These decreases were partially offset by a $0.9 million increase in increase in professional services primarily in our finance division.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provision for income taxes was $15.6 million in the fourth quarter of 2019, an increase of $1.3 million or 9% compared to the fourth quarter of 2018. The effective tax rate for the fourth quarter of 2019 was 21.15% compared with an effective tax rate of 20.92% for the fourth quarter of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 Program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fourth quarter of 2019, we repurchased 336,172 shares of our common stock under our share repurchase program at an average cost per share of $89.11 and a total cost of $30.0 million. See Note 11 to the Consolidated Financial Statements for more information related to our common stock repurchase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See the Market Risk section in Management’s Discussion and Analysis of Financial Condition and Results of Operation included in Item 7 of this report.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333333"/>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To the Shareholders and the Board of Directors of Bank of Hawaii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333333"/>
        </w:rPr>
        <w:t>We have audited the accompanying consolidated statements of condition of Bank of Hawaii Corporation and subsidiaries (the Company) as of December 31, 2019 and 2018, the related consolidated statements of income, comprehensive income, shareholders'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3"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2,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Audit Matter</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20"/>
          </w:cols>
          <w:pgMar w:left="240" w:top="12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80" w:type="dxa"/>
            <w:vAlign w:val="bottom"/>
          </w:tcPr>
          <w:p>
            <w:pPr>
              <w:spacing w:after="0"/>
              <w:rPr>
                <w:sz w:val="17"/>
                <w:szCs w:val="17"/>
                <w:color w:val="auto"/>
              </w:rPr>
            </w:pPr>
          </w:p>
        </w:tc>
      </w:tr>
      <w:tr>
        <w:trPr>
          <w:trHeight w:val="831"/>
        </w:trPr>
        <w:tc>
          <w:tcPr>
            <w:tcW w:w="1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9680" w:type="dxa"/>
            <w:vAlign w:val="bottom"/>
          </w:tcPr>
          <w:p>
            <w:pPr>
              <w:ind w:left="280"/>
              <w:spacing w:after="0"/>
              <w:rPr>
                <w:sz w:val="20"/>
                <w:szCs w:val="20"/>
                <w:color w:val="auto"/>
              </w:rPr>
            </w:pPr>
            <w:r>
              <w:rPr>
                <w:rFonts w:ascii="Arial" w:cs="Arial" w:eastAsia="Arial" w:hAnsi="Arial"/>
                <w:sz w:val="18"/>
                <w:szCs w:val="18"/>
                <w:b w:val="1"/>
                <w:bCs w:val="1"/>
                <w:color w:val="333333"/>
              </w:rPr>
              <w:t>Allowance for Loan and Lease Losses</w:t>
            </w:r>
          </w:p>
        </w:tc>
      </w:tr>
      <w:tr>
        <w:trPr>
          <w:trHeight w:val="25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333333"/>
              </w:rPr>
              <w:t>Description of the</w:t>
            </w:r>
          </w:p>
        </w:tc>
        <w:tc>
          <w:tcPr>
            <w:tcW w:w="9680" w:type="dxa"/>
            <w:vAlign w:val="bottom"/>
          </w:tcPr>
          <w:p>
            <w:pPr>
              <w:ind w:left="280"/>
              <w:spacing w:after="0"/>
              <w:rPr>
                <w:sz w:val="20"/>
                <w:szCs w:val="20"/>
                <w:color w:val="auto"/>
              </w:rPr>
            </w:pPr>
            <w:r>
              <w:rPr>
                <w:rFonts w:ascii="Arial" w:cs="Arial" w:eastAsia="Arial" w:hAnsi="Arial"/>
                <w:sz w:val="18"/>
                <w:szCs w:val="18"/>
                <w:color w:val="auto"/>
                <w:w w:val="91"/>
              </w:rPr>
              <w:t>At December 31, 2019, the Company’s loan portfolio and associated allowance for loan and lease losses (the Allowance) totaled</w:t>
            </w:r>
          </w:p>
        </w:tc>
      </w:tr>
      <w:tr>
        <w:trPr>
          <w:trHeight w:val="21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333333"/>
              </w:rPr>
              <w:t>Matter</w:t>
            </w:r>
          </w:p>
        </w:tc>
        <w:tc>
          <w:tcPr>
            <w:tcW w:w="9680" w:type="dxa"/>
            <w:vAlign w:val="bottom"/>
          </w:tcPr>
          <w:p>
            <w:pPr>
              <w:ind w:left="280"/>
              <w:spacing w:after="0"/>
              <w:rPr>
                <w:sz w:val="20"/>
                <w:szCs w:val="20"/>
                <w:color w:val="auto"/>
              </w:rPr>
            </w:pPr>
            <w:r>
              <w:rPr>
                <w:rFonts w:ascii="Arial" w:cs="Arial" w:eastAsia="Arial" w:hAnsi="Arial"/>
                <w:sz w:val="18"/>
                <w:szCs w:val="18"/>
                <w:color w:val="auto"/>
                <w:w w:val="95"/>
              </w:rPr>
              <w:t>$11.0 billion and $110.0 million, respectively. The commercial loan portfolio segment totaled $4.2 billion and the associated</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0"/>
              </w:rPr>
              <w:t>allowance for loan and lease losses for the commercial loan portfolio segment was $73.8 million. As discussed in Note 1 and Note</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3"/>
              </w:rPr>
              <w:t>4 to the consolidated financial statements, the Company’s Allowance is an estimate of probable credit losses as of the balance</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2"/>
              </w:rPr>
              <w:t>sheet date and considers both unimpaired and impaired loans. Management’s determination of the allowance for loan and lease</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1"/>
              </w:rPr>
              <w:t>losses related to the Company’s commercial loan portfolio segment is generally based on the credit risk ratings and historical loss</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2"/>
              </w:rPr>
              <w:t>experience of individual borrowers, supplemented, as necessary, by credit judgment to address observed changes in trends and</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6"/>
              </w:rPr>
              <w:t>conditions, and other relevant environmental and economic factors such as concentrations of credit risk (geographic, large</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3"/>
              </w:rPr>
              <w:t>borrower, and industry), economic trends and conditions, changes in underwriting standards, experience and depth of lending</w:t>
            </w:r>
          </w:p>
        </w:tc>
      </w:t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rPr>
              <w:t>staff, trends in delinquencies, and the level of net charge-offs (qualitative factor adjustments).</w:t>
            </w:r>
          </w:p>
        </w:tc>
      </w:tr>
      <w:tr>
        <w:trPr>
          <w:trHeight w:val="418"/>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8"/>
              </w:rPr>
              <w:t>Auditing the Company’s Allowance involved a high degree of subjectivity due to the judgment involved in management’s</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1"/>
              </w:rPr>
              <w:t>determination of commercial loan credit risk ratings and identification and measurement of qualitative factor adjustments included</w:t>
            </w:r>
          </w:p>
        </w:tc>
      </w:t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rPr>
              <w:t>in the estimate of the allowance for loan and lease losses for the commercial loan portfolio segment.</w:t>
            </w:r>
          </w:p>
        </w:tc>
      </w:tr>
      <w:tr>
        <w:trPr>
          <w:trHeight w:val="391"/>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333333"/>
              </w:rPr>
              <w:t>How We Addressed</w:t>
            </w:r>
          </w:p>
        </w:tc>
        <w:tc>
          <w:tcPr>
            <w:tcW w:w="9680" w:type="dxa"/>
            <w:vAlign w:val="bottom"/>
          </w:tcPr>
          <w:p>
            <w:pPr>
              <w:ind w:left="280"/>
              <w:spacing w:after="0"/>
              <w:rPr>
                <w:sz w:val="20"/>
                <w:szCs w:val="20"/>
                <w:color w:val="auto"/>
              </w:rPr>
            </w:pPr>
            <w:r>
              <w:rPr>
                <w:rFonts w:ascii="Arial" w:cs="Arial" w:eastAsia="Arial" w:hAnsi="Arial"/>
                <w:sz w:val="18"/>
                <w:szCs w:val="18"/>
                <w:color w:val="auto"/>
                <w:w w:val="91"/>
              </w:rPr>
              <w:t>We obtained an understanding of the Company’s process for establishing the Allowance and evaluated the design and tested the</w:t>
            </w:r>
          </w:p>
        </w:tc>
      </w:tr>
      <w:tr>
        <w:trPr>
          <w:trHeight w:val="21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333333"/>
              </w:rPr>
              <w:t>the Matter in Our</w:t>
            </w:r>
          </w:p>
        </w:tc>
        <w:tc>
          <w:tcPr>
            <w:tcW w:w="9680" w:type="dxa"/>
            <w:vAlign w:val="bottom"/>
          </w:tcPr>
          <w:p>
            <w:pPr>
              <w:ind w:left="280"/>
              <w:spacing w:after="0"/>
              <w:rPr>
                <w:sz w:val="20"/>
                <w:szCs w:val="20"/>
                <w:color w:val="auto"/>
              </w:rPr>
            </w:pPr>
            <w:r>
              <w:rPr>
                <w:rFonts w:ascii="Arial" w:cs="Arial" w:eastAsia="Arial" w:hAnsi="Arial"/>
                <w:sz w:val="18"/>
                <w:szCs w:val="18"/>
                <w:color w:val="auto"/>
                <w:w w:val="90"/>
              </w:rPr>
              <w:t>operating effectiveness of controls that address the risk of material misstatement related to the measurement of the Allowance. We</w:t>
            </w:r>
          </w:p>
        </w:tc>
      </w:tr>
      <w:tr>
        <w:trPr>
          <w:trHeight w:val="21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333333"/>
              </w:rPr>
              <w:t>Audit</w:t>
            </w:r>
          </w:p>
        </w:tc>
        <w:tc>
          <w:tcPr>
            <w:tcW w:w="9680" w:type="dxa"/>
            <w:vAlign w:val="bottom"/>
          </w:tcPr>
          <w:p>
            <w:pPr>
              <w:ind w:left="280"/>
              <w:spacing w:after="0"/>
              <w:rPr>
                <w:sz w:val="20"/>
                <w:szCs w:val="20"/>
                <w:color w:val="auto"/>
              </w:rPr>
            </w:pPr>
            <w:r>
              <w:rPr>
                <w:rFonts w:ascii="Arial" w:cs="Arial" w:eastAsia="Arial" w:hAnsi="Arial"/>
                <w:sz w:val="18"/>
                <w:szCs w:val="18"/>
                <w:color w:val="auto"/>
                <w:w w:val="97"/>
              </w:rPr>
              <w:t>tested controls over management’s review of commercial loan credit risk ratings, the data inputs utilized in the Allowance</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2"/>
              </w:rPr>
              <w:t>calculation, management’s identification and review of the qualitative factor adjustments related to the loan and lease losses for</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6"/>
              </w:rPr>
              <w:t>the commercial loan portfolio segment, and management’s review and approval process over the final determination of the</w:t>
            </w:r>
          </w:p>
        </w:tc>
      </w:t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rPr>
              <w:t>Allowance.</w:t>
            </w:r>
          </w:p>
        </w:tc>
      </w:tr>
      <w:tr>
        <w:trPr>
          <w:trHeight w:val="418"/>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0"/>
              </w:rPr>
              <w:t>To test the commercial loan credit risk ratings and the identification and measurement of qualitative factor adjustments included in</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2"/>
              </w:rPr>
              <w:t>management’s estimate of the allowance for loan and lease losses for the commercial loan portfolio segment, we evaluated the</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3"/>
              </w:rPr>
              <w:t>Allowance methodology used, including management’s consideration of the individual commercial loan portfolio segments (i.e.,</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0"/>
              </w:rPr>
              <w:t>commercial and industrial, commercial mortgage, construction and lease financing), and tested the completeness and accuracy of</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0"/>
              </w:rPr>
              <w:t>data from underlying systems and the data warehouse that was used in both the determination of credit risk ratings and qualitative</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5"/>
              </w:rPr>
              <w:t>factor adjustments. We performed procedures on a sample of commercial loans to test the Company’s credit risk ratings by</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6"/>
              </w:rPr>
              <w:t>comparing key attributes used in the determination of the credit risk rating to supporting documentation such as borrowers’</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6"/>
              </w:rPr>
              <w:t>financial statements, underlying collateral, financial health of the guarantor and loan payment history. We further evaluated</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0"/>
              </w:rPr>
              <w:t>management’s assessment of the qualitative factor adjustments by obtaining an understanding of the basis for and any changes in</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8"/>
              </w:rPr>
              <w:t>underlying qualitative factor adjustments and giving consideration to prior period qualitative factor adjustments and other</w:t>
            </w:r>
          </w:p>
        </w:tc>
      </w:t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2"/>
              </w:rPr>
              <w:t>information available within the Company and from external sources focusing on both corroborating and any contrary evidence.</w:t>
            </w:r>
          </w:p>
        </w:tc>
      </w:tr>
      <w:tr>
        <w:trPr>
          <w:trHeight w:val="418"/>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1"/>
              </w:rPr>
              <w:t>We also evaluated the overall Allowance amount to determine whether the amount appropriately reflected losses probable in the</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w w:val="95"/>
              </w:rPr>
              <w:t>loan portfolio as of the balance sheet date. We reviewed subsequent events and transactions and considered whether they</w:t>
            </w:r>
          </w:p>
        </w:tc>
      </w:t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80" w:type="dxa"/>
            <w:vAlign w:val="bottom"/>
          </w:tcPr>
          <w:p>
            <w:pPr>
              <w:ind w:left="280"/>
              <w:spacing w:after="0"/>
              <w:rPr>
                <w:sz w:val="20"/>
                <w:szCs w:val="20"/>
                <w:color w:val="auto"/>
              </w:rPr>
            </w:pPr>
            <w:r>
              <w:rPr>
                <w:rFonts w:ascii="Arial" w:cs="Arial" w:eastAsia="Arial" w:hAnsi="Arial"/>
                <w:sz w:val="18"/>
                <w:szCs w:val="18"/>
                <w:color w:val="auto"/>
              </w:rPr>
              <w:t>corroborated or contradicted the Company’s year-end measurement of the Allowance.</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We have served as the Company’s auditor since 1971.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Honolulu, 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March 2,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08"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37465</wp:posOffset>
            </wp:positionV>
            <wp:extent cx="267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2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439,012</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410,597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370,441</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Available-for-Sale</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62,174</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50,152</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46,772</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Held-to-Maturity</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81,616</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84,310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81,740</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Deposits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41</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3,553</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3,723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3,882</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Other</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1,001</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1,357</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944</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2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587,397</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550,173</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503,794</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68,374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41,143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22,332</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17,522</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18,519</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19,592</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840</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145</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2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2,908</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3,405</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4,445</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89,682</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63,821</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46,556</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497,715</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486,352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457,238</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16,000</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13,425</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16,900</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2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481,715</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472,927</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440,338</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44,233</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43,877</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45,430</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13,686</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8,437</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12,949</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30,074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28,811</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32,575</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57,893</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57,482</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54,845</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(3,986)</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(3,938)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10,430</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6,934</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5,822</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6,858</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7,015</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7,199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6,517</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Other</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27,489</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21,233</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15,813</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2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183,338</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168,923</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185,417</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216,106</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213,208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203,729</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33,800</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34,742</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32,536</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29,295</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23,852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22,078</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18,757</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17,846</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15,483</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10,071</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9,992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11,681</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5,192</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7,732</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8,666</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66,006</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64,252</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63,518</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379,227</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371,624</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357,691</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285,826</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270,226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268,064</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59,913</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50,624</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83,392</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225,913</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219,602</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184,672</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38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5.59</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5.26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4.37</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5.56</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5.23</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2.59</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2.34</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2.04</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40,384,328</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41,714,770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42,280,931</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40,649,570</w:t>
            </w:r>
          </w:p>
        </w:tc>
        <w:tc>
          <w:tcPr>
            <w:tcW w:w="4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41,999,399</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42,607,057</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420"/>
          </w:cols>
          <w:pgMar w:left="240" w:top="125" w:right="239" w:bottom="973"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973"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225,913</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219,602</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184,672</w:t>
            </w: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on Investment Securities</w:t>
            </w:r>
          </w:p>
        </w:tc>
        <w:tc>
          <w:tcPr>
            <w:tcW w:w="2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22,677</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r>
      <w:tr>
        <w:trPr>
          <w:trHeight w:val="237"/>
        </w:trPr>
        <w:tc>
          <w:tcPr>
            <w:tcW w:w="5680" w:type="dxa"/>
            <w:vAlign w:val="bottom"/>
          </w:tcPr>
          <w:p>
            <w:pPr>
              <w:ind w:left="280"/>
              <w:spacing w:after="0"/>
              <w:rPr>
                <w:sz w:val="20"/>
                <w:szCs w:val="20"/>
                <w:color w:val="auto"/>
              </w:rPr>
            </w:pPr>
            <w:r>
              <w:rPr>
                <w:rFonts w:ascii="Arial" w:cs="Arial" w:eastAsia="Arial" w:hAnsi="Arial"/>
                <w:sz w:val="16"/>
                <w:szCs w:val="16"/>
                <w:color w:val="auto"/>
              </w:rPr>
              <w:t>Defined Benefit Plans</w:t>
            </w:r>
          </w:p>
        </w:tc>
        <w:tc>
          <w:tcPr>
            <w:tcW w:w="2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(2,746)</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(2,326)</w:t>
            </w:r>
          </w:p>
        </w:tc>
        <w:tc>
          <w:tcPr>
            <w:tcW w:w="4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1,177</w:t>
            </w:r>
          </w:p>
        </w:tc>
      </w:tr>
      <w:tr>
        <w:trPr>
          <w:trHeight w:val="33"/>
        </w:trPr>
        <w:tc>
          <w:tcPr>
            <w:tcW w:w="5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19,931</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(8,851)</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w:t>
            </w:r>
          </w:p>
        </w:tc>
      </w:tr>
      <w:tr>
        <w:trPr>
          <w:trHeight w:val="231"/>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21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245,844</w:t>
            </w:r>
          </w:p>
        </w:tc>
        <w:tc>
          <w:tcPr>
            <w:tcW w:w="4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210,751</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183,863</w:t>
            </w:r>
          </w:p>
        </w:tc>
      </w:tr>
      <w:tr>
        <w:trPr>
          <w:trHeight w:val="33"/>
        </w:trPr>
        <w:tc>
          <w:tcPr>
            <w:tcW w:w="5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4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Pr>
          <w:p>
            <w:pPr>
              <w:spacing w:after="0"/>
              <w:rPr>
                <w:sz w:val="17"/>
                <w:szCs w:val="17"/>
                <w:color w:val="auto"/>
              </w:rPr>
            </w:pPr>
          </w:p>
        </w:tc>
        <w:tc>
          <w:tcPr>
            <w:tcW w:w="1340" w:type="dxa"/>
            <w:vAlign w:val="bottom"/>
          </w:tcPr>
          <w:p>
            <w:pPr>
              <w:jc w:val="right"/>
              <w:ind w:right="51"/>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2018</w:t>
            </w: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Interest-Bearing Deposits in Other Banks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4,979</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3,028</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Sold</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254,574</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198,860</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Investment Securities</w:t>
            </w: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2,619,003</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2,007,942</w:t>
            </w: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Held-to-Maturity (Fair Value of $3,062,882 and $3,413,994)</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3,042,294</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3,482,092</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39,062</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10,987</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Loans and Leases</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10,990,892</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10,448,774</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Loan and Lease Losses</w:t>
            </w:r>
          </w:p>
        </w:tc>
        <w:tc>
          <w:tcPr>
            <w:tcW w:w="1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(110,027)</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(106,693)</w:t>
            </w:r>
          </w:p>
        </w:tc>
      </w:tr>
      <w:tr>
        <w:trPr>
          <w:trHeight w:val="237"/>
        </w:trPr>
        <w:tc>
          <w:tcPr>
            <w:tcW w:w="65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Loans and Leases</w:t>
            </w:r>
          </w:p>
        </w:tc>
        <w:tc>
          <w:tcPr>
            <w:tcW w:w="16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10,880,865</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10,342,081</w:t>
            </w:r>
          </w:p>
        </w:tc>
      </w:tr>
      <w:tr>
        <w:trPr>
          <w:trHeight w:val="27"/>
        </w:trPr>
        <w:tc>
          <w:tcPr>
            <w:tcW w:w="6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Earning Assets</w:t>
            </w:r>
          </w:p>
        </w:tc>
        <w:tc>
          <w:tcPr>
            <w:tcW w:w="16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16,840,777</w:t>
            </w: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16,044,990</w:t>
            </w: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Due From Banks</w:t>
            </w:r>
          </w:p>
        </w:tc>
        <w:tc>
          <w:tcPr>
            <w:tcW w:w="16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299,105</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324,081</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188,388</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151,837</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100,838</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6"/>
                <w:szCs w:val="16"/>
                <w:color w:val="auto"/>
              </w:rPr>
              <w:t>—</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Receivable</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46,476</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51,230</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Foreclosed Real Estate</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2,737</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1,356</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Servicing Rights</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25,022</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24,310</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31,517</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31,517</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Bank-Owned Life Insurance</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287,962</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283,771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272,674</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230,882</w:t>
            </w:r>
          </w:p>
        </w:tc>
      </w:tr>
      <w:tr>
        <w:trPr>
          <w:trHeight w:val="27"/>
        </w:trPr>
        <w:tc>
          <w:tcPr>
            <w:tcW w:w="6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18,095,496</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17,143,974</w:t>
            </w:r>
          </w:p>
        </w:tc>
      </w:tr>
      <w:tr>
        <w:trPr>
          <w:trHeight w:val="20"/>
        </w:trPr>
        <w:tc>
          <w:tcPr>
            <w:tcW w:w="65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Deposits</w:t>
            </w: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Noninterest-Bearing Demand</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4,489,525</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4,739,596</w:t>
            </w: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Interest-Bearing Demand</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3,127,205</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3,002,925</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Savings</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6,365,321</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5,539,199</w:t>
            </w: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Time</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1,802,431</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1,745,522</w:t>
            </w:r>
          </w:p>
        </w:tc>
      </w:tr>
      <w:tr>
        <w:trPr>
          <w:trHeight w:val="27"/>
        </w:trPr>
        <w:tc>
          <w:tcPr>
            <w:tcW w:w="6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Deposits</w:t>
            </w:r>
          </w:p>
        </w:tc>
        <w:tc>
          <w:tcPr>
            <w:tcW w:w="16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15,784,482</w:t>
            </w: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15,027,242</w:t>
            </w: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Short-Term Borrowings</w:t>
            </w:r>
          </w:p>
        </w:tc>
        <w:tc>
          <w:tcPr>
            <w:tcW w:w="16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Under Agreements to Repurchase</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604,306</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504,296</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Other Debt</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85,565</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135,643</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108,210</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Retirement Benefits Payable</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44,504</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40,494</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8,040</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8,253</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Taxes Payable and Deferred Taxes</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16,085</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19,736</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157,472</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139,911</w:t>
            </w: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6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1"/>
              <w:spacing w:after="0"/>
              <w:rPr>
                <w:sz w:val="20"/>
                <w:szCs w:val="20"/>
                <w:color w:val="auto"/>
              </w:rPr>
            </w:pPr>
            <w:r>
              <w:rPr>
                <w:rFonts w:ascii="Arial" w:cs="Arial" w:eastAsia="Arial" w:hAnsi="Arial"/>
                <w:sz w:val="16"/>
                <w:szCs w:val="16"/>
                <w:color w:val="auto"/>
              </w:rPr>
              <w:t>16,808,664</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15,875,774</w:t>
            </w:r>
          </w:p>
        </w:tc>
      </w:tr>
      <w:tr>
        <w:trPr>
          <w:trHeight w:val="27"/>
        </w:trPr>
        <w:tc>
          <w:tcPr>
            <w:tcW w:w="6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Contingencies, and Guarantees (Note 20 and Note 23)</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($.01 par value; authorized 500,000,000 shares;</w:t>
            </w:r>
          </w:p>
        </w:tc>
        <w:tc>
          <w:tcPr>
            <w:tcW w:w="1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issued / outstanding: December 31, 2019 - 58,166,910 / 40,039,695</w:t>
            </w: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December 31, 2018 - 58,063,689 / 41,499,898)</w:t>
            </w:r>
          </w:p>
        </w:tc>
        <w:tc>
          <w:tcPr>
            <w:tcW w:w="1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579</w:t>
            </w: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Capital Surplus</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582,566</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571,704</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(31,112)</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(51,043)</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60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1,761,415</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1,641,314</w:t>
            </w:r>
          </w:p>
        </w:tc>
      </w:tr>
      <w:tr>
        <w:trPr>
          <w:trHeight w:val="27"/>
        </w:trPr>
        <w:tc>
          <w:tcPr>
            <w:tcW w:w="6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Treasury Stock, at Cost (Shares: December 31, 2019 - 18,127,215</w:t>
            </w:r>
          </w:p>
        </w:tc>
        <w:tc>
          <w:tcPr>
            <w:tcW w:w="1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62"/>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December 31, 2018 - 16,563,791)</w:t>
            </w:r>
          </w:p>
        </w:tc>
        <w:tc>
          <w:tcPr>
            <w:tcW w:w="16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(1,026,616)</w:t>
            </w: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(894,352)</w:t>
            </w: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6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1,286,832</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1,268,200</w:t>
            </w:r>
          </w:p>
        </w:tc>
      </w:tr>
      <w:tr>
        <w:trPr>
          <w:trHeight w:val="27"/>
        </w:trPr>
        <w:tc>
          <w:tcPr>
            <w:tcW w:w="6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18,095,496</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17,143,974</w:t>
            </w:r>
          </w:p>
        </w:tc>
      </w:tr>
      <w:tr>
        <w:trPr>
          <w:trHeight w:val="20"/>
        </w:trPr>
        <w:tc>
          <w:tcPr>
            <w:tcW w:w="65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420"/>
          </w:cols>
          <w:pgMar w:left="240" w:top="125" w:right="239" w:bottom="163"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63"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b w:val="1"/>
                <w:bCs w:val="1"/>
                <w:color w:val="auto"/>
              </w:rPr>
              <w:t>Accum.</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Other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Compre-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Common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hensive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w w:val="98"/>
              </w:rPr>
              <w:t>Common</w:t>
            </w:r>
          </w:p>
        </w:tc>
        <w:tc>
          <w:tcPr>
            <w:tcW w:w="260" w:type="dxa"/>
            <w:vAlign w:val="bottom"/>
          </w:tcPr>
          <w:p>
            <w:pPr>
              <w:spacing w:after="0"/>
              <w:rPr>
                <w:sz w:val="14"/>
                <w:szCs w:val="14"/>
                <w:color w:val="auto"/>
              </w:rPr>
            </w:pPr>
          </w:p>
        </w:tc>
        <w:tc>
          <w:tcPr>
            <w:tcW w:w="6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Capital</w:t>
            </w: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Income</w:t>
            </w:r>
          </w:p>
        </w:tc>
        <w:tc>
          <w:tcPr>
            <w:tcW w:w="260" w:type="dxa"/>
            <w:vAlign w:val="bottom"/>
          </w:tcPr>
          <w:p>
            <w:pPr>
              <w:spacing w:after="0"/>
              <w:rPr>
                <w:sz w:val="14"/>
                <w:szCs w:val="14"/>
                <w:color w:val="auto"/>
              </w:rPr>
            </w:pP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Retained</w:t>
            </w:r>
          </w:p>
        </w:tc>
        <w:tc>
          <w:tcPr>
            <w:tcW w:w="180" w:type="dxa"/>
            <w:vAlign w:val="bottom"/>
          </w:tcPr>
          <w:p>
            <w:pPr>
              <w:spacing w:after="0"/>
              <w:rPr>
                <w:sz w:val="14"/>
                <w:szCs w:val="14"/>
                <w:color w:val="auto"/>
              </w:rPr>
            </w:pPr>
          </w:p>
        </w:tc>
        <w:tc>
          <w:tcPr>
            <w:tcW w:w="82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Treasury</w:t>
            </w:r>
          </w:p>
        </w:tc>
        <w:tc>
          <w:tcPr>
            <w:tcW w:w="960" w:type="dxa"/>
            <w:vAlign w:val="bottom"/>
          </w:tcPr>
          <w:p>
            <w:pPr>
              <w:spacing w:after="0"/>
              <w:rPr>
                <w:sz w:val="14"/>
                <w:szCs w:val="14"/>
                <w:color w:val="auto"/>
              </w:rPr>
            </w:pPr>
          </w:p>
        </w:tc>
      </w:tr>
      <w:tr>
        <w:trPr>
          <w:trHeight w:val="20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share amounts)</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Outstanding</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Stock</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3"/>
              </w:rPr>
              <w:t>Surplus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(Loss)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Earnings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Stock</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Total</w:t>
            </w:r>
          </w:p>
        </w:tc>
      </w:tr>
      <w:tr>
        <w:trPr>
          <w:trHeight w:val="268"/>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2016</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42,635,978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576</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551,628</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(33,906)</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1,415,440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(772,201)</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$ 1,161,537</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184,672</w:t>
            </w:r>
          </w:p>
        </w:tc>
        <w:tc>
          <w:tcPr>
            <w:tcW w:w="180" w:type="dxa"/>
            <w:vAlign w:val="bottom"/>
          </w:tcPr>
          <w:p>
            <w:pPr>
              <w:spacing w:after="0"/>
              <w:rPr>
                <w:sz w:val="23"/>
                <w:szCs w:val="23"/>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184,672</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Loss</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(809)</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Share-Based Compensation</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7,369</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7,369</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Issued under Purchase and Equity</w:t>
            </w: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3720" w:type="dxa"/>
            <w:vAlign w:val="bottom"/>
          </w:tcPr>
          <w:p>
            <w:pPr>
              <w:ind w:left="260"/>
              <w:spacing w:after="0"/>
              <w:rPr>
                <w:sz w:val="20"/>
                <w:szCs w:val="20"/>
                <w:color w:val="auto"/>
              </w:rPr>
            </w:pPr>
            <w:r>
              <w:rPr>
                <w:rFonts w:ascii="Arial" w:cs="Arial" w:eastAsia="Arial" w:hAnsi="Arial"/>
                <w:sz w:val="15"/>
                <w:szCs w:val="15"/>
                <w:color w:val="auto"/>
              </w:rPr>
              <w:t>Compensation Plans and Related Tax Benefits</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337,091</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2,164</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(828)</w:t>
            </w:r>
          </w:p>
        </w:tc>
        <w:tc>
          <w:tcPr>
            <w:tcW w:w="180" w:type="dxa"/>
            <w:vAlign w:val="bottom"/>
          </w:tcPr>
          <w:p>
            <w:pPr>
              <w:spacing w:after="0"/>
              <w:rPr>
                <w:sz w:val="23"/>
                <w:szCs w:val="23"/>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11,905</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13,241</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Repurchased</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(571,626)</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(47,076)</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(47,076)</w:t>
            </w:r>
          </w:p>
        </w:tc>
      </w:tr>
      <w:tr>
        <w:trPr>
          <w:trHeight w:val="26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Cash Dividends Declared ($2.04 per share)</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(87,066)</w:t>
            </w: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(87,066)</w:t>
            </w:r>
          </w:p>
        </w:tc>
      </w:tr>
      <w:tr>
        <w:trPr>
          <w:trHeight w:val="264"/>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2017</w:t>
            </w:r>
          </w:p>
        </w:tc>
        <w:tc>
          <w:tcPr>
            <w:tcW w:w="1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42,401,443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561,161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(34,715)</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1,512,218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(807,372)</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$ 1,231,868</w:t>
            </w:r>
          </w:p>
        </w:tc>
      </w:tr>
      <w:tr>
        <w:trPr>
          <w:trHeight w:val="268"/>
        </w:trPr>
        <w:tc>
          <w:tcPr>
            <w:tcW w:w="37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219,602</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219,602</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Other Comprehensive Loss</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(8,851)</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(8,851)</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Reclassification of the Income Tax Effects of the</w:t>
            </w: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3720" w:type="dxa"/>
            <w:vAlign w:val="bottom"/>
          </w:tcPr>
          <w:p>
            <w:pPr>
              <w:ind w:left="220"/>
              <w:spacing w:after="0"/>
              <w:rPr>
                <w:sz w:val="20"/>
                <w:szCs w:val="20"/>
                <w:color w:val="auto"/>
              </w:rPr>
            </w:pPr>
            <w:r>
              <w:rPr>
                <w:rFonts w:ascii="Arial" w:cs="Arial" w:eastAsia="Arial" w:hAnsi="Arial"/>
                <w:sz w:val="15"/>
                <w:szCs w:val="15"/>
                <w:color w:val="auto"/>
              </w:rPr>
              <w:t>Tax Cuts and Jobs Act from AOCI</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(7,477)</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7,477</w:t>
            </w:r>
          </w:p>
        </w:tc>
        <w:tc>
          <w:tcPr>
            <w:tcW w:w="180" w:type="dxa"/>
            <w:vAlign w:val="bottom"/>
          </w:tcPr>
          <w:p>
            <w:pPr>
              <w:spacing w:after="0"/>
              <w:rPr>
                <w:sz w:val="23"/>
                <w:szCs w:val="23"/>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 Compensation</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8,146</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8,146</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Common Stock Issued under Purchase and Equity</w:t>
            </w: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4"/>
        </w:trPr>
        <w:tc>
          <w:tcPr>
            <w:tcW w:w="37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Compensation Plans and Related Tax Benefits</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219,210</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2,397</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513</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5,008</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7,919</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Common Stock Repurchased</w:t>
            </w: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(1,120,755)</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(91,988)</w:t>
            </w:r>
          </w:p>
        </w:tc>
        <w:tc>
          <w:tcPr>
            <w:tcW w:w="960" w:type="dxa"/>
            <w:vAlign w:val="bottom"/>
          </w:tcPr>
          <w:p>
            <w:pPr>
              <w:jc w:val="right"/>
              <w:spacing w:after="0"/>
              <w:rPr>
                <w:sz w:val="20"/>
                <w:szCs w:val="20"/>
                <w:color w:val="auto"/>
              </w:rPr>
            </w:pPr>
            <w:r>
              <w:rPr>
                <w:rFonts w:ascii="Arial" w:cs="Arial" w:eastAsia="Arial" w:hAnsi="Arial"/>
                <w:sz w:val="15"/>
                <w:szCs w:val="15"/>
                <w:color w:val="auto"/>
              </w:rPr>
              <w:t>(91,988)</w:t>
            </w:r>
          </w:p>
        </w:tc>
      </w:tr>
      <w:tr>
        <w:trPr>
          <w:trHeight w:val="270"/>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Cash Dividends Declared ($2.34 per share)</w:t>
            </w:r>
          </w:p>
        </w:tc>
        <w:tc>
          <w:tcPr>
            <w:tcW w:w="1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(98,496)</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(98,496)</w:t>
            </w:r>
          </w:p>
        </w:tc>
      </w:tr>
      <w:tr>
        <w:trPr>
          <w:trHeight w:val="264"/>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December 31, 2018</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41,499,898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571,704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(51,043)</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1,641,314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(894,352)</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$ 1,268,200</w:t>
            </w:r>
          </w:p>
        </w:tc>
      </w:tr>
      <w:tr>
        <w:trPr>
          <w:trHeight w:val="268"/>
        </w:trPr>
        <w:tc>
          <w:tcPr>
            <w:tcW w:w="37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225,913</w:t>
            </w:r>
          </w:p>
        </w:tc>
        <w:tc>
          <w:tcPr>
            <w:tcW w:w="180" w:type="dxa"/>
            <w:vAlign w:val="bottom"/>
          </w:tcPr>
          <w:p>
            <w:pPr>
              <w:spacing w:after="0"/>
              <w:rPr>
                <w:sz w:val="23"/>
                <w:szCs w:val="23"/>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225,913</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Income</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19,931</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19,931</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Share-Based Compensation</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8,337</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8,337</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Issued under Purchase and Equity</w:t>
            </w: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3720" w:type="dxa"/>
            <w:vAlign w:val="bottom"/>
          </w:tcPr>
          <w:p>
            <w:pPr>
              <w:ind w:left="260"/>
              <w:spacing w:after="0"/>
              <w:rPr>
                <w:sz w:val="20"/>
                <w:szCs w:val="20"/>
                <w:color w:val="auto"/>
              </w:rPr>
            </w:pPr>
            <w:r>
              <w:rPr>
                <w:rFonts w:ascii="Arial" w:cs="Arial" w:eastAsia="Arial" w:hAnsi="Arial"/>
                <w:sz w:val="15"/>
                <w:szCs w:val="15"/>
                <w:color w:val="auto"/>
              </w:rPr>
              <w:t>Compensation Plans and Related Tax Benefits</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212,924</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2,525</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(334)</w:t>
            </w:r>
          </w:p>
        </w:tc>
        <w:tc>
          <w:tcPr>
            <w:tcW w:w="180" w:type="dxa"/>
            <w:vAlign w:val="bottom"/>
          </w:tcPr>
          <w:p>
            <w:pPr>
              <w:spacing w:after="0"/>
              <w:rPr>
                <w:sz w:val="23"/>
                <w:szCs w:val="23"/>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5,385</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7,578</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Repurchased</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(1,673,127)</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(137,649)</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(137,649)</w:t>
            </w:r>
          </w:p>
        </w:tc>
      </w:tr>
      <w:tr>
        <w:trPr>
          <w:trHeight w:val="26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Cash Dividends Declared ($2.59 per share)</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(105,478)</w:t>
            </w: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(105,478)</w:t>
            </w:r>
          </w:p>
        </w:tc>
      </w:tr>
      <w:tr>
        <w:trPr>
          <w:trHeight w:val="264"/>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2019</w:t>
            </w:r>
          </w:p>
        </w:tc>
        <w:tc>
          <w:tcPr>
            <w:tcW w:w="1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40,039,695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582,566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(31,112)</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1,761,415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1"/>
              </w:rPr>
              <w:t>(1,026,616)</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$ 1,286,832</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225,913</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219,602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184,672</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Provision for Credit Losses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16,000</w:t>
            </w:r>
          </w:p>
        </w:tc>
        <w:tc>
          <w:tcPr>
            <w:tcW w:w="4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13,425</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16,900</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17,268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14,389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13,048</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Amortization of Deferred Loans and Leases (Fees) Costs, Net</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476</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(372)</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(1,031)</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20,683</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32,966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39,186</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Amortization of Operating Lease Right-of-Use-Assets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12,616</w:t>
            </w:r>
          </w:p>
        </w:tc>
        <w:tc>
          <w:tcPr>
            <w:tcW w:w="4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8,337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8,146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7,369</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Benefit Plan Contributions</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(1,926)</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(1,749)</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(11,454)</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(15,415)</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(6,274)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4,177</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Gains on Sale of Premises and Equipment</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(558)</w:t>
            </w:r>
          </w:p>
        </w:tc>
        <w:tc>
          <w:tcPr>
            <w:tcW w:w="4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Gains on Sales of Loans and Leases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(10,357)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(3,834)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(6,780)</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Net (Gains) Losses on Investment Securities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3,986</w:t>
            </w:r>
          </w:p>
        </w:tc>
        <w:tc>
          <w:tcPr>
            <w:tcW w:w="4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3,938</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(10,430)</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Proceeds from Sales of Loans Held for Sale</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487,436</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275,943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323,784</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Originations of Loans Held for Sale</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(510,909)</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(267,066)</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(326,195)</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Tax Benefits from Share-Based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727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993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2,521</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Net Change in Other Assets and Other Liabilities</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(20,039)</w:t>
            </w:r>
          </w:p>
        </w:tc>
        <w:tc>
          <w:tcPr>
            <w:tcW w:w="4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27,815</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(60,622)</w:t>
            </w:r>
          </w:p>
        </w:tc>
      </w:tr>
      <w:tr>
        <w:trPr>
          <w:trHeight w:val="33"/>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234,238</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317,922</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175,145</w:t>
            </w:r>
          </w:p>
        </w:tc>
      </w:tr>
      <w:tr>
        <w:trPr>
          <w:trHeight w:val="237"/>
        </w:trPr>
        <w:tc>
          <w:tcPr>
            <w:tcW w:w="67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Investment Securities Available-for-Sale:</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Proceeds from Sales, Prepayments and Maturities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1,873,700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358,244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365,239</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Purchases</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(1,456,901)</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(166,915)</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(427,061)</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Proceeds from Prepayments and Maturities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794,157</w:t>
            </w:r>
          </w:p>
        </w:tc>
        <w:tc>
          <w:tcPr>
            <w:tcW w:w="4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853,635</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882,748</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Purchases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(1,380,430)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(419,640)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(995,076)</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Net Change in Loans and Leases</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(550,533)</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(664,692)</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(954,984)</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Loans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137,717</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Premises and Equipment, Net</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(53,900)</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(35,300)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(30,470)</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Premises and Equipment</w:t>
            </w:r>
          </w:p>
        </w:tc>
        <w:tc>
          <w:tcPr>
            <w:tcW w:w="10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639</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70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Net Cash Used in Investing Activities</w:t>
            </w:r>
          </w:p>
        </w:tc>
        <w:tc>
          <w:tcPr>
            <w:tcW w:w="10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(773,268)</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(74,668)</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(1,021,887)</w:t>
            </w:r>
          </w:p>
        </w:tc>
      </w:tr>
      <w:tr>
        <w:trPr>
          <w:trHeight w:val="33"/>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Deposits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757,241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143,273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563,728</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Net Change in Short-Term Borrowings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99,811</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(798)</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(27,701)</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Other Debt</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Repayments of Other Debt</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(50,078)</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(175,000)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7,872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7,873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13,101</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0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(137,649)</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(91,988)</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(47,076)</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Dividends Paid</w:t>
            </w:r>
          </w:p>
        </w:tc>
        <w:tc>
          <w:tcPr>
            <w:tcW w:w="10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(105,478)</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(98,496)</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(87,066)</w:t>
            </w:r>
          </w:p>
        </w:tc>
      </w:tr>
      <w:tr>
        <w:trPr>
          <w:trHeight w:val="231"/>
        </w:trPr>
        <w:tc>
          <w:tcPr>
            <w:tcW w:w="670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0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571,719</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(165,136)</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414,986</w:t>
            </w:r>
          </w:p>
        </w:tc>
      </w:tr>
      <w:tr>
        <w:trPr>
          <w:trHeight w:val="33"/>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32,689</w:t>
            </w:r>
          </w:p>
        </w:tc>
        <w:tc>
          <w:tcPr>
            <w:tcW w:w="4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78,118</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(431,756)</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525,969</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447,851</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879,607</w:t>
            </w:r>
          </w:p>
        </w:tc>
      </w:tr>
      <w:tr>
        <w:trPr>
          <w:trHeight w:val="231"/>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558,658</w:t>
            </w:r>
          </w:p>
        </w:tc>
        <w:tc>
          <w:tcPr>
            <w:tcW w:w="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525,969</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447,851</w:t>
            </w:r>
          </w:p>
        </w:tc>
      </w:tr>
      <w:tr>
        <w:trPr>
          <w:trHeight w:val="73"/>
        </w:trPr>
        <w:tc>
          <w:tcPr>
            <w:tcW w:w="67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31"/>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10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Cash Paid for Interest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89,894</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62,515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44,945</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58,152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42,475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67,883</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Non-Cash Investing and Financing Activities:</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Initial Recognition of Operating Lease Right-of-Use Assets</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106,514</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00" w:type="dxa"/>
            <w:vAlign w:val="bottom"/>
          </w:tcPr>
          <w:p>
            <w:pPr>
              <w:ind w:left="400"/>
              <w:spacing w:after="0"/>
              <w:rPr>
                <w:sz w:val="20"/>
                <w:szCs w:val="20"/>
                <w:color w:val="auto"/>
              </w:rPr>
            </w:pPr>
            <w:r>
              <w:rPr>
                <w:rFonts w:ascii="Arial" w:cs="Arial" w:eastAsia="Arial" w:hAnsi="Arial"/>
                <w:sz w:val="16"/>
                <w:szCs w:val="16"/>
                <w:color w:val="auto"/>
              </w:rPr>
              <w:t>Initial Recognition of Operating Lease Liabilities</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113,394</w:t>
            </w:r>
          </w:p>
        </w:tc>
        <w:tc>
          <w:tcPr>
            <w:tcW w:w="4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Transfer from Loans to Foreclosed Real Estate</w:t>
            </w: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2,070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2,693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2,559</w:t>
            </w:r>
          </w:p>
        </w:tc>
      </w:tr>
      <w:tr>
        <w:trPr>
          <w:trHeight w:val="237"/>
        </w:trPr>
        <w:tc>
          <w:tcPr>
            <w:tcW w:w="6700" w:type="dxa"/>
            <w:vAlign w:val="bottom"/>
          </w:tcPr>
          <w:p>
            <w:pPr>
              <w:ind w:left="400"/>
              <w:spacing w:after="0"/>
              <w:rPr>
                <w:sz w:val="20"/>
                <w:szCs w:val="20"/>
                <w:color w:val="auto"/>
              </w:rPr>
            </w:pPr>
            <w:r>
              <w:rPr>
                <w:rFonts w:ascii="Arial" w:cs="Arial" w:eastAsia="Arial" w:hAnsi="Arial"/>
                <w:sz w:val="16"/>
                <w:szCs w:val="16"/>
                <w:color w:val="auto"/>
              </w:rPr>
              <w:t>Transfers from Loans to Loans Held for Sale</w:t>
            </w:r>
          </w:p>
        </w:tc>
        <w:tc>
          <w:tcPr>
            <w:tcW w:w="10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86,625</w:t>
            </w:r>
          </w:p>
        </w:tc>
      </w:tr>
    </w:tbl>
    <w:p>
      <w:pPr>
        <w:sectPr>
          <w:pgSz w:w="11900" w:h="16838" w:orient="portrait"/>
          <w:cols w:equalWidth="0" w:num="1">
            <w:col w:w="11420"/>
          </w:cols>
          <w:pgMar w:left="240" w:top="125" w:right="239" w:bottom="0" w:gutter="0" w:footer="0" w:header="0"/>
        </w:sectPr>
      </w:pPr>
    </w:p>
    <w:bookmarkStart w:id="67" w:name="page68"/>
    <w:bookmarkEnd w:id="67"/>
    <w:p>
      <w:pPr>
        <w:jc w:val="center"/>
        <w:ind w:right="-20"/>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ectPr>
          <w:pgSz w:w="11900" w:h="16838" w:orient="portrait"/>
          <w:cols w:equalWidth="0" w:num="1">
            <w:col w:w="9019"/>
          </w:cols>
          <w:pgMar w:left="1440" w:top="122" w:right="1440"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9019"/>
          </w:cols>
          <w:pgMar w:left="1440" w:top="122" w:right="1440"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accounting and reporting principles of the Company conform to U.S. generally accepted accounting principles (“GAAP”) and prevailing practices within the financial services industry. 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information has been reclassified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the Parent and its subsidiaries. The Parent’s principal operating subsidiary is Bank of Hawaii (the “Bank”). All significant intercompany accounts and transactions have been eliminated in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 income range, state and/or federal income tax credits are made available to the partners. The tax credits are generally recognized over 10 years for federal and 5 years for state. In order to continue receiving the tax credits each year over the life of the partnership, the low-income residency targets must be maintained.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Accounting Standards Update (“ASU”) No. 2014-01, </w:t>
      </w:r>
      <w:r>
        <w:rPr>
          <w:rFonts w:ascii="Arial" w:cs="Arial" w:eastAsia="Arial" w:hAnsi="Arial"/>
          <w:sz w:val="17"/>
          <w:szCs w:val="17"/>
          <w:i w:val="1"/>
          <w:iCs w:val="1"/>
          <w:color w:val="auto"/>
        </w:rPr>
        <w:t>“Accounting for Investments in Qualified Affordable Housing Projects”</w:t>
      </w:r>
      <w:r>
        <w:rPr>
          <w:rFonts w:ascii="Arial" w:cs="Arial" w:eastAsia="Arial" w:hAnsi="Arial"/>
          <w:sz w:val="17"/>
          <w:szCs w:val="17"/>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Unfunded commitments to fund these low-income housing partnerships were $21.3 million and $15.2 million as of December 31, 2019, and December 31, 2018, respectively. These unfunded commitments are unconditional and legally binding and are recorded in other liabilities in the consolidated statements of condition. See Note 18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These entities meet the definition of a VIE; however,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$84.6 million and $85.9 million as of December 31, 2019, and December 31, 2018, respectively, and is included in other assets in the consolidated statements of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securities are accounted for according to their purpose and holding period. Trading securities are those that are bought and held principally for the purpose of selling them in the near term. The Company held no trading securities as of December 31, 2019 or December 31, 2018. Available-for-sale investment securities, comprised of debt and mortgage-backed securities, are those that may be sold before maturity due to changes in the Company’s interest rate risk profile or funding needs, and are reported at fair value with unrealized gains and losses, net of taxes, reported as a component of other comprehensive income. Held-to-maturity investment securities, comprised of debt and mortgage-backed securities, are those that management has the positive intent and ability to hold to maturity and are reported at amortized cost.</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Realized gains and losses are recorded in noninterest income and are determined on a trade date basis using the specific identification method. Interest and dividends on investment securities are recognized in interest income on an accrual basis. Premiums and discounts are amortized or accreted into interest income using the interest method over the expected lives of the individual securities.</w:t>
      </w:r>
    </w:p>
    <w:p>
      <w:pPr>
        <w:spacing w:after="0" w:line="181"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Transfers of debt securities from the available-for-sale category to the held-to-maturity category are made at fair value at the date of transfer. The unrealized holding gain or loss at the date of transfer remains in accumulated other comprehensive income and in the carrying value of the held-to-maturity investment security. Premiums or discounts on investment securities are amortized or accreted as an adjustment of yield using the interest method over the estimated life of the security. Unrealized holding gains or losses that remain in accumulated other comprehensive income are also amortized or accreted over the estimated life of the security as an adjustment of yield, offsetting the related amortization of the premium or accretion of the discount.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Other-Than-Temporary-Impairments of Investment Securities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conducts an other-than-temporary-impairment (“OTTI”) analysis of investment securities on a quarterly basis or more often if a potential loss-triggering event occurs. A write-down of a debt security is recorded when fair value is below amortized cost in circumstances where: (1) the Company has the intent to sell a security; (2) it is more likely than not that the Company will be required to sell the security before recovery of its amortized cost basis; or (3) the Company does not expect to recover the entire amortized cost basis of the security. If the Company intends to sell a security or if it is more likely than not that the Company will be required to sell the security before recovery, an OTTI write-down is recognized in earnings equal to the entire difference between the security’s amortized cost basis and its fair value. If the Company does not intend to sell the security or it is not more likely than not that it will be required to sell the security before recovery, the OTTI write-down is separated into an amount representing credit loss, which is recognized in earnings, and an amount related to all other factors, which is recognized in other comprehensive income. To determine the amount related to credit loss on a debt security, the Company applies a methodology similar to that used for evaluating the impairment of loans. As of December 31, 2019, management determined that the Company did not own any investment securities that were other-than-temporarily-impaired.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Residential mortgage loans with the intent to be sold in the secondary market are accounted for on an aggregate basis under the fair value option. Fair value is primarily determined based on quoted prices for similar loans in active markets. Non-refundable fees and direct loan origination costs related to residential mortgage loans held for sale are recognized as part of the cost basis of the loan at the time of sale. Gains and losses on sales of residential mortgage loans (sales proceeds minus carrying value) are recorded in the mortgage banking component of noninterest income.</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Commercial loans that management has an active plan to sell are valued on an individual basis at the lower-of-cost-or fair value. Fair value is primarily determined based on quoted prices for similar loans in active markets or agreed upon sales prices. Any reduction in the loan’s value, prior to being transferred to the held-for-sale category, is reflected as a charge-off of the recorded investment in the loan resulting in a new cost basis, with a corresponding reduction in the allowance for loan and lease losses. Further decreases in the fair value of the loan are recognized in noninterest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Loans are reported at the principal amount outstanding, net of unearned income including unamortized deferred loan fees and costs, and cumulative net charge-offs. Interest income is recognized on an accrual basis. Loan origination fees, certain direct costs, and unearned discounts and premiums, if any, are deferred and are generally amortized into interest income as yield adjustments using the interest method over the contractual life of the loan. Loan commitment fees are generally recognized into noninterest income. Other credit-related fees are recognized as fee income, a component of noninterest income, when earned.</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lease financing arrangements, excluding leveraged leases, primarily consist of equipment and automobile leases. These lease arrangments are classified as sales-type leases despite not receiving a selling profit at lease inception. Sales-type leases are carried at the aggregate of lease payments receivable plus the estimated residual value of leased property, less unearned income. Leveraged leases are carried net of non-recourse debt. Unearned income on sales-type and leveraged leases is amortized over the lease term by methods that approximate the interest method. Residual values on leased assets are periodically reviewed for impairment.</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Portfolio segments are defined as the level at which an entity develops and documents a systematic methodology to determine its allowance for loan and lease losses (the “Allowance”). Management has determined that the Company has two portfolio segments of loans and leases (commercial and consumer) in determining the Allowance. Both quantitative and qualitative factors are used by management at the portfolio segment level in determining the adequacy of the Allowance for the Company. Classes of loans and leases are a disaggregation of a Company’s portfolio segments. Classes are defined as a group of loans and leases which share similar initial measurement attributes, risk characteristics, and methods for monitoring and assessing credit risk. Management has determined that the Company has eight classes of loans and leases (commercial and industrial, commercial mortgage, construction, lease financing, residential mortgage, home equity, automobile, and other). The “other” class of loans and leases is comprised of revolving credit, installment, and consumer lease financing arrangements.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 and Leases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Generally, all classes of commercial loans and leases are placed on non-accrual status upon becoming contractually past due 90 days as to principal or interest (unless loans and leases are adequately secured by collateral, are in the process of collection, and are reasonably expected to result in repayment), when terms are renegotiated below market levels, or where substantial doubt about full repayment of principal or interest is evident. For residential mortgage and home equity loan classes, loans past due 120 days as to principal or interest may be placed on non-accrual status, and a partial charge-off may be recorded, depending on the collateral value and/or the collectability of the loan. For automobile and other consumer loan classes, the entire outstanding balance of the loan is charged off when the loan becomes 120 days past due as to principal or interest.</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When a loan or lease is placed on non-accrual status, the accrued and unpaid interest receivable is reversed and the loan or lease is accounted for on the cash or cost recovery method until qualifying for return to accrual status. All payments received on non-accrual loans and leases are applied against the principal balance of the loan or lease. A loan or lease may be returned to accrual status when all delinquent interest and principal become current in accordance with the terms of the loan or lease agreement and when doubt about repayment is resolved.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Generally, for all classes of loans and leases, a charge-off is recorded when it is probable that a loss has been incurred and when it is possible to determine a reasonable estimate of the loss. For all classes of commercial loans and leases, a charge-off is determined on a judgmental basis after due consideration of the debtor’s prospects for repayment and the fair value of collateral. For the pooled segment of the Company’s commercial and industrial loan class, which consists of small business loans, the entire outstanding balance of the loan remains on accrual status until it is charged off during the month that the loan becomes 120 days past due as to principal or interest. As previously mentioned, for residential mortgage and home equity loan classes, a partial charge-off may be recorded at 120 days past due as to principal or interest depending on the collateral value and/or the collectability of the loan. In the event that a loan or line in the home equity loan class is behind another financial institution’s first mortgage, the entire outstanding balance of the loan is charged off when the loan becomes 120 days past due as to principal or interest, unless the combined loan-to-value ratio is 60% or less. As noted above, loans in the automobile and other consumer loan classes are charged off in its entirety upon the loan becoming 120 days past due as to principal or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Company will not be able to collect all amounts due from the borrower in accordance with the contractual terms of the loan, including scheduled interest payments. Impaired loans include all classes of commercial non-accruing loans (except lease financing and small business loans), and all loans modified in a troubled debt restructuring. Impaired loans exclude lease financing and smaller balance homogeneous loans (consumer and small business non-accruing loans) that are collectively evaluated for impairment.</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all classes of commercial loans, a quarterly evaluation of individual commercial borrowers is performed to identify impaired loans. The identification of specific borrowers for review is based on a review of non-accrual loans as well as those loans specifically identified by management as exhibiting above average levels of risk.</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When a loan has been identified as being impaired, the amount of impairment is measured based on the present value of expected future cash flows discounted at the loan’s effective interest rate, the loan’s observable market price, or the estimated fair value of the collateral, less any selling costs, if the loan is collateral-dependent. If the measurement of the impaired loan is less than the recorded investment in the loan (including accrued interest, net of deferred loan fees or costs, and unamortized premiums or discounts), impairment is recognized by establishing or adjusting an existing allocation of the Allowance, or by recording a partial charge-off of the loan to its fair value. Interest payments made on impaired loans are typically applied to principal unless collectability of the principal amount is reasonably assured, in which case interest income may be accrued or recognized on a cash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Modified in a Troubled Debt Restructuring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Loans are considered to have been modified in a troubled debt restructuring when, due to a borrower’s financial difficulties, the Company makes certain concessions to the borrower that it would not otherwise consider. Modifications may include interest rate reductions, principal or interest forgiveness, forbearance, and other actions intended to minimize economic loss and to avoid foreclosure or repossession of collateral. Generally, a non-accrual loan that has been modified in a troubled debt restructuring remains on non-accrual status for a period of at least 6 months to demonstrate that the borrower is able to meet the terms of the modified loan. However, performance prior to the modification, or significant events that coincide with the modification, are included in assessing whether the borrower can meet the new terms and may result in the loan being returned to accrual status at the time of loan modification or after a shorter performance period. If the borrower’s ability to meet the revised payment schedule is uncertain, the loan remains on non-accrual status.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Company’s reserve for credit losses is comprised of two components, the Allowance and the reserve for unfunded commitments (the “Unfunded Reserve”).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maintains an Allowance adequate to cover management’s estimate of probable credit losses as of the balance sheet date. Loans and leases that are charged off reduce the Allowance while recoveries of loans and leases previously charged off increase the Allowance. Other changes to the level of the Allowance are recognized through charges or credits to the provision for credit losses (the “Provision”). The Allowance considers both unimpaired and impaired loans and is developed and documented at the portfolio segment level (commercial and consumer).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level of the Allowance related to the Company’s commercial portfolio segment is generally based on the credit risk ratings and historical loss experience of individual borrowers. This is supplemented as necessary by credit judgment to address observed changes in trends and conditions, and other relevant environmental and economic factors that may affect the collectability of loans and leases. Excluding those loans and leases evaluated individually for impairment, the Company’s remaining commercial loans and leases are pooled and collectively evaluated for impairment based on business unit and internal risk rating segmentation.</w:t>
      </w:r>
    </w:p>
    <w:p>
      <w:pPr>
        <w:spacing w:after="0" w:line="18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level of the Allowance related to the Company’s consumer portfolio segment is generally based on analyses of homogeneous pools of loans and leases. Loans and leases are pooled based on similar loan and lease risk characteristics for collective evaluation of impairment. Loss estimates are calculated based on historical rolling average loss rates and average delinquency flows to loss. Consumer loans that have been individually evaluated for impairment or modified in a troubled debt restructuring are excluded from the homogeneous pools. Impairment related to such loans is generally determined based on the present value of expected future cash flows discounted at the loan’s original effective interest rate.</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Allowance also includes an estimate for inherent losses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net charge-offs. In addition, the Company uses a variety of other tools to estimate probable credit losses including, but not limited to, a rolling quarterly forecast of asset quality metrics; stress testing; and performance indicators based on the Company’s own experience, peers, or other industry 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Unfunded Reserve is a component of other liabilities and represents the estimate for probable credit losses inherent in unfunded commitments to extend credit. Unfunded commitments to extend credit include banker’s acceptances, and standby and commercial letters of credit. The process used to determine the Unfunded Reserve is consistent with the process for determining the Allowance, as adjusted for estimated funding probabilities or loan and lease equivalency factors. The level of the Unfunded Reserve is adjusted by recording an expense or recovery in other noninterest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cash and due from banks, interest-bearing deposits in other banks, and funds sold. All amounts are readily convertible to cash and have maturities of less than 90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Premises and Equipment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Premises and equipment, including leasehold improvements, are stated at cost, less accumulated depreciation and amortization. Capital leases are included in premises and equipment at the capitalized amount less accumulated amortization.</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Premises and equipment are depreciated using the straight-line method over the estimated useful lives of the respective assets. Estimated useful lives generally range up to 30 years for buildings and up to 10 years for equipment. Capitalized leased assets and leasehold improvements are amortized over the shorter of the estimated useful life of the asset or the lease term. Repairs and maintenance are charged to expense as incurred, while improvements which extend the estimated useful life of the asset are capitalized and depreciated over the estimated remaining life of the asset.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Premises and equipment are periodically evaluated for impairment when events or changes in circumstances indicate the carrying amount may not be recoverable. Impairment exists when the expected undiscounted future cash flows of premises and equipment are less than its carrying amount. In that event, the Company records a loss for the difference between the carrying amount and the fair value of the asset based on quoted market prices, if applicable, or a discounted cash flow analysis.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Foreclosed Real Estate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Foreclosed real estate consists of properties acquired through foreclosure proceedings or acceptance of a deed-in-lieu of foreclosure. These properties are recorded at fair value less estimated costs to sell the property. If the recorded investment in the loan exceeds the property’s fair value at the time of acquisition, a charge-off is recorded against the Allowance. If the fair value of the property at the time of acquisition exceeds the carrying amount of the loan, the excess is recorded either as a recovery to the Allowance if a charge-off had previously been recorded, or as a gain on initial transfer in other noninterest income. Subsequent decreases in the property’s fair value and operating expenses of the property are recognized through charges to other noninterest expense. The fair value of the property acquired is based on third party appraisals, broker price opinions, recent sales activity, or a combination thereof, subject to management judgment.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Mortgage servicing rights are recognized as assets when mortgage loans are sold and the rights to service those loans are retained. Mortgage servicing rights are initially recorded at fair value by using a discounted cash flow model to calculate the present value of estimated future net servicing income.</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Company’s mortgage servicing rights accounted for under the fair value method are carried on the statements of condition at fair value with changes in fair value recorded in mortgage banking income in the period in which the change occurs. Changes in the fair value of mortgage servicing rights are primarily due to changes in valuation inputs, assumptions, and the collection and realization of expected cash flows.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mortgage servicing rights accounted for under the amortization method are initially recorded at fair value. However, these mortgage servicing rights are amortized in proportion to and over the period of estimated net servicing income. An impairment analysis is prepared on a quarterly basis by estimating the fair value of the mortgage servicing rights and comparing that value to the carrying amount. A valuation allowance is established when the carrying amount of these mortgage servicing rights exceeds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Goodwill is initially recorded as the excess of the purchase price over the fair value of the net assets acquired in a business combination and is subsequently evaluated at least annually for impairment. Goodwill impairment testing is performed at the reporting unit level, equivalent to a business segment or one level below. The Company has goodwill assigned to the following reporting units: Investment Services and Retail Banking.</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The Company performs its annual evaluation of goodwill impairment in the fourth quarter of each year and on an interim basis if events or changes in circumstances indicate that there may be impairment. The Company performs a qualitative assessment to determine whether it is more likely than not that the fair value of a reporting unit is less than its carrying amount. The qualitative factors considered include, but are not limited to, macroeconomic and State of Hawaii economic conditions, industry and market conditions and trends, the Company’s financial performance, market capitalization, stock price, and any Company-specific events relevant to the assessment. If the assessment of qualitative factors indicates that it is not more likely than not that an impairment exists, no further testing is performed; otherwise an impairment test is performed. Prior to 2017, the goodwill impairment test was a two-step test. The first step compared the estimated fair value of identified reporting units with their carrying amount, including goodwill. If the estimated fair value of a reporting unit was less than the carrying value, the second step was required to determine the implied fair value of the reporting unit’s goodwill and the amount of goodwill impairment, if any. In 2017, the Company elected to early adopt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The guidance removed Step 2 of the goodwill impairment test. Goodwill impairment will now be the amount by which a reporting unit’s carrying value exceeds its fair value, not to exceed the carrying amount of goodwill. All other goodwill impairment guidance remained largely unchanged. Subsequent reversals of goodwill impairment are prohibited. For the year ended December 31, 2019, the Company’s goodwill impairment evaluation, based on its qualitative assessment, indicated there was no impairment.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required to own Federal Home Loan Bank (“FHLB”) of Des Moines and Federal Reserve Bank (“FRB”) stock as a condition of membership. These non-marketable equity securities are accounted for at cost which equals par or redemption value. These securities do not have a readily determinable fair value as their ownership is restricted and there is no market for these securities. These securities can only be redeemed or sold at their par value and only to the respective issuing government supported institution or to another member institution. The Company records these non-marketable equity securities as a component of other assets, which are periodically evaluated for impairment. Management considers these non-marketable equity securities to be long-term investments. Accordingly, when evaluating these securities for impairment, management considers the ultimate recoverability of the par value rather than by recognizing temporary declines in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Bank-Owned Life Insurance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purchases life insurance policies on the lives of certain officers and employees and is the owner and beneficiary of the policies. The Company invests in these Bank-Owned Life Insurance (“BOLI”) policies to provide an efficient form of funding for long-term retirement and other employee benefits costs. The Company records these BOLI policies in the consolidated statements of condition at cash surrender value, with changes recorded in noninterest income in the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securities sold under agreements to repurchase are accounted for as collateralized financing arrangements (i.e., secured borrowings) and not as a sale and subsequent repurchase of securities. The obligation to repurchase the securities is reflected as a liability in the Company’s consolidated statements of condition, while the securities underlying the securities sold under agreements to repurchase remain in the respective asset accounts. See Note 19 </w:t>
      </w:r>
      <w:r>
        <w:rPr>
          <w:rFonts w:ascii="Arial" w:cs="Arial" w:eastAsia="Arial" w:hAnsi="Arial"/>
          <w:sz w:val="17"/>
          <w:szCs w:val="17"/>
          <w:i w:val="1"/>
          <w:iCs w:val="1"/>
          <w:color w:val="auto"/>
        </w:rPr>
        <w:t>Balance Sheet Offsetting</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 Plans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incurs certain employment-related expenses associated with its two frozen pension plans and a postretirement benefit plan (the “Plans”). In order to measure the expense associated with the Plans, various assumptions are made including the discount rate, expected return on plan assets, anticipated mortality rates, and expected future healthcare costs. The assumptions are based on historical experience as well as current facts and circumstances. The Company uses a December 31 measurement date for its Plans. As of the measurement date, plan assets are determined based on fair value, generally representing observable market prices. The projected benefit obligation is primarily determined based on the present value of projected benefit distributions at an assumed discount rate.</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periodic pension benefit costs include interest costs based on an assumed discount rate, the expected return on plan assets based on actuarially derived market-related values, and the amortization of net actuarial gains or losses. Net periodic postretirement benefit costs include service costs, interest costs based on an assumed discount rate, and the amortization of prior service credits and net actuarial gains or losses. Differences between expected and actual results in each year are included in the net actuarial gain or loss amount, which is recognized in other comprehensive income. The net actuarial gain or loss in excess of a 10% corridor is amortized in net periodic benefit cost over the average remaining expected lives of the pension plan participants and over the average remaining future service years of the postretirement benefit plan participants. The prior service credit is amortized over the average remaining service period to full eligibility for participating employees expected to receive benefits.</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recognizes in its consolidated statements of condition an asset for a plan’s overfunded status or a liability for a plan’s underfunded status. The Company also measures the Plans’ assets and obligations that determine its funded status as of the end of the year and recognizes those changes in other comprehensive income, net of tax.</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Parent files a consolidated federal income tax return with the Bank and its subsidiaries. Calculation of the Company’s provision for income taxes requires the interpretation of income tax laws and regulations and the use of estimates and judgments in its determination. The Company is subject to examination by governmental authorities that may give rise to income tax issues due to differing interpretations. Changes to the liability for income taxes also occur due to changes in income tax rates, implementation of new business strategies, resolution of issues with taxing authorities, and newly enacted statutory, judicial, and regulatory guidance.</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Deferred income taxes are provided to reflect the tax effect of temporary differences between financial statement carrying amounts and the corresponding tax basis of assets and liabilities. Deferred income taxes are calculated by applying enacted statutory tax rates and tax laws to future years in which temporary differences are expected to reverse. The impact on deferred tax assets and liabilities from a change in tax rates is recognized in income in the period that the tax rate change is enacted. A deferred tax valuation allowance is established if it is more likely than not that a deferred tax asset will not be realized.</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tax sharing policy provides for the settlement of income taxes between each relevant subsidiary as if the subsidiary had filed a separate return. Payments are made to the Parent by subsidiaries with tax liabilities and subsidiaries that generate tax benefits receive payments for those benefits as used.</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maintains reserves for certain tax positions that arise in the normal course of business. As of December 31, 2019, these positions were evaluated based on an assessment of probabilities as to the likelihood of whether a liability had been incurred. Such assessments are reviewed as events occur and adjustments to the reserves are made as appropriate. In evaluating a tax position for recognition, the Company evaluates whether it is more likely than not that a tax position will be sustained upon examination, including resolution of related appeals or litigation processes, based on the technical merits of the position. If the tax position meets the more likely than not recognition threshold, the tax position is measured and recognized in the Company’s Consolidated Financial Statements as the largest amount of tax benefit that, in management’s judgment, is greater than 50% likely of being realized upon ultimate settlement.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Shares of the Parent’s common stock that are repurchased are recorded in treasury stock at cost. On the date of subsequent re-issuance, the treasury stock account is reduced by the cost of such stock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for the period. Diluted earnings per share is computed by dividing net income by the weighted average number of common shares outstanding for the period, assuming conversion of all potentially dilutive common stock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ordinary course of business, the Company enters into derivative financial instruments as an end-user in connection with its risk management activities and to accommodate the needs of its customers. The Company has elected not to qualify for hedge accounting methods addressed under current provisions of GAAP. Derivative financial instruments are stated at fair value on the consolidated statements of condition with changes in fair value reported in current period earnings.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may grant share-based compensation to employees and non-employee directors in the form of restricted stock, restricted stock units and stock options. The fair value of restricted stock is determined based on the closing price of the Parent’s common stock on the date of grant. The Company recognizes compensation expense related to restricted stock on a straight-line basis over the vesting period for service-based awards, plus additional recognition of costs associated with accelerated vesting based on the projected attainment of Company performance measures. Restricted stock units (“RSUs”) are payable solely in cash which are accounted for as other liabilities in the consolidated statements of condition. The fair value of RSUs is initially valued based on the closing price of the Parent’s common stock on the date of grant and is amortized in the statement of income over the vesting period. The RSUs are subsequently remeasured in the same manner described above at the end of each reporting period until settlement. The fair value of stock options is estimated at the date of grant using the Black-Scholes option pricing model and related assumptions. The Company uses historical data to predict option exercise and employee termination behavior. Expected volatilities are based on the historical volatility of the Parent’s common stock. The expected term of options granted is derived from actual historical exercise activity and represents the period of time that options granted are expected to be outstanding. The risk-free rate is derived from the U.S. Treasury yield curve in effect at the time of grant based on the expected life of the option. The dividend yield is equal to the dividend yield of the Parent’s common stock at the time of grant. The amortization of the expense related to stock options reflects estimated forfeitures, adjusted for actual forfeiture experience. Amortization expense related to stock options is recorded in the statements of income as a component of salaries and benefits for employees and as a component of other noninterest expense for non-employee directors, with a corresponding increase to capital surplus in shareholders’ equity. As the expense related to stock options is recognized, a deferred tax asset is established that represents an estimate of future income tax deductions from the release of restrictions or the exercise of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Advertising costs are expensed as incurred. Advertising costs were $6.1 million for the year ended December 31, 2019, and $6.0 million for the years ended December 31, 2018, and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Bank has operations that are conducted in certain Pacific Islands that are denominated in U.S. dollars. These operations are classified as domestic.</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Fair value measurements apply whenever GAAP requires or permits assets or liabilities to be measured at fair value either on a recurring or nonrecurring basis. Fair value is defined as the price that would be received to sell an asset or paid to transfer a liability in the principal or most advantageous market for an asset or liability in an orderly transaction between market participants at the measurement date. Fair value is based on the assumptions that management believes market participants would use when pricing an asset or liability. Fair value measurement and disclosure guidance established a three-level fair value hierarchy that prioritizes the use of inputs used in valuation methodologies. Management maximizes the use of observable inputs and minimizes the use of unobservable inputs when determining fair value measurements. Management reviews and updates the fair value hierarchy classifications of the Company’s assets and liabilities on a quarterly basis. The three-level fair value hierarchy is as follows:</w:t>
      </w:r>
    </w:p>
    <w:p>
      <w:pPr>
        <w:spacing w:after="0" w:line="124" w:lineRule="exact"/>
        <w:rPr>
          <w:sz w:val="20"/>
          <w:szCs w:val="20"/>
          <w:color w:val="auto"/>
        </w:rPr>
      </w:pPr>
    </w:p>
    <w:p>
      <w:pPr>
        <w:jc w:val="both"/>
        <w:ind w:left="1180" w:right="220" w:hanging="1147"/>
        <w:spacing w:after="0" w:line="264" w:lineRule="auto"/>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quoted prices, unadjusted, for identical assets or liabilities in active markets. A quoted price in an active market provides the most reliable evidence of fair value and shall be used to measure fair value whenever available. A contractually binding sales price also provides reliable evidence of fair value.</w:t>
      </w:r>
    </w:p>
    <w:p>
      <w:pPr>
        <w:spacing w:after="0" w:line="19" w:lineRule="exact"/>
        <w:rPr>
          <w:sz w:val="20"/>
          <w:szCs w:val="20"/>
          <w:color w:val="auto"/>
        </w:rPr>
      </w:pPr>
    </w:p>
    <w:p>
      <w:pPr>
        <w:ind w:left="1180" w:right="600" w:hanging="1147"/>
        <w:spacing w:after="0" w:line="305" w:lineRule="auto"/>
        <w:tabs>
          <w:tab w:leader="none" w:pos="11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1" w:lineRule="exact"/>
        <w:rPr>
          <w:sz w:val="20"/>
          <w:szCs w:val="20"/>
          <w:color w:val="auto"/>
        </w:rPr>
      </w:pPr>
    </w:p>
    <w:p>
      <w:pPr>
        <w:ind w:left="1180" w:right="20" w:hanging="1147"/>
        <w:spacing w:after="0" w:line="286" w:lineRule="auto"/>
        <w:tabs>
          <w:tab w:leader="none" w:pos="11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requires significant management judgment or estimation, some of which may be internally developed.</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Employee Benefits</w:t>
      </w:r>
      <w:r>
        <w:rPr>
          <w:rFonts w:ascii="Arial" w:cs="Arial" w:eastAsia="Arial" w:hAnsi="Arial"/>
          <w:sz w:val="18"/>
          <w:szCs w:val="18"/>
          <w:color w:val="auto"/>
        </w:rPr>
        <w:t xml:space="preserve"> and Note 21 </w:t>
      </w:r>
      <w:r>
        <w:rPr>
          <w:rFonts w:ascii="Arial" w:cs="Arial" w:eastAsia="Arial" w:hAnsi="Arial"/>
          <w:sz w:val="18"/>
          <w:szCs w:val="18"/>
          <w:i w:val="1"/>
          <w:iCs w:val="1"/>
          <w:color w:val="auto"/>
        </w:rPr>
        <w:t>Fair Value of Assets and Liabilities</w:t>
      </w:r>
      <w:r>
        <w:rPr>
          <w:rFonts w:ascii="Arial" w:cs="Arial" w:eastAsia="Arial" w:hAnsi="Arial"/>
          <w:sz w:val="18"/>
          <w:szCs w:val="18"/>
          <w:color w:val="auto"/>
        </w:rPr>
        <w:t xml:space="preserve"> for the required fair value measurement disclosures.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25"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2019</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All entities are required to use a modified retrospective approach for leases that exist or are entered into after the beginning of the earliest comparative period in the financial statements. As the Company elected the transition option provided in ASU No. 2018-11 (see below), the modified retrospective approach was applied on January 1, 2019 (as opposed to January 1, 2017). The Company also elected certain relief options offered in ASU 2016-02 including the package of practical expedients, the option not to separate lease and non-lease components and instead to account for them as a single lease component, and the option not to recognize right-of-use assets and lease liabilities that arise from short-term leases (i.e., leases with terms of twelve months or less). The Company did not elect the hindsight practical expedient, which allows entities to use hindsight when determining lease term and impairment of right-of-use assets. The Company has several lease agreements, such as branch locations, which are considered operating leases, and therefore, were not previously recognized on the Company’s consolidated statements of condition. The new guidance requires these lease agreements to be recognized on the consolidated statements of condition as a right-of-use asset and a corresponding lease liability. The new guidance did not have a material impact on the consolidated statements of income or the consolidated statements of cash flows. See Note 23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more information.</w:t>
      </w:r>
    </w:p>
    <w:p>
      <w:pPr>
        <w:spacing w:after="0" w:line="1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ASU 2017-12’s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The Company currently does not designate any derivative financial instruments as formal hedging relationships, and therefore, does not currently utilize hedge accounting. As such, ASU No. 2017-12 did not impact the Company’s Consolidated Financial Statements.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July 2018, the FASB issued ASU No. 2018-11, </w:t>
      </w:r>
      <w:r>
        <w:rPr>
          <w:rFonts w:ascii="Arial" w:cs="Arial" w:eastAsia="Arial" w:hAnsi="Arial"/>
          <w:sz w:val="18"/>
          <w:szCs w:val="18"/>
          <w:i w:val="1"/>
          <w:iCs w:val="1"/>
          <w:color w:val="auto"/>
        </w:rPr>
        <w:t>“Leases - Targeted Improvements”</w:t>
      </w:r>
      <w:r>
        <w:rPr>
          <w:rFonts w:ascii="Arial" w:cs="Arial" w:eastAsia="Arial" w:hAnsi="Arial"/>
          <w:sz w:val="18"/>
          <w:szCs w:val="18"/>
          <w:color w:val="auto"/>
        </w:rPr>
        <w:t xml:space="preserve"> to provide entities with relief from the costs of implementing certain aspects of the new leasing standard, ASU No. 2016-02. Specifically, under the amendments in ASU 2018-11: (1) entities may elect not to recast the comparative periods presented when transitioning to the new leasing standard, and (2) lessors may elect not to separate lease and non-lease components when certain conditions are met. The amendments have the same effective date as ASU 2016-02 (January 1, 2019, for the Company). The Company adopted ASU 2018-11 on its required effective date of January 1, 2019, and elected both transition options mentioned above. ASU 2018-11 did not have a material impact on the Company’s Consolidated Financial Statements.</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December 2018, the FASB issued ASU No. 2018-20, </w:t>
      </w:r>
      <w:r>
        <w:rPr>
          <w:rFonts w:ascii="Arial" w:cs="Arial" w:eastAsia="Arial" w:hAnsi="Arial"/>
          <w:sz w:val="17"/>
          <w:szCs w:val="17"/>
          <w:i w:val="1"/>
          <w:iCs w:val="1"/>
          <w:color w:val="auto"/>
        </w:rPr>
        <w:t>“Narrow-Scope Improvements for Lessors.”</w:t>
      </w:r>
      <w:r>
        <w:rPr>
          <w:rFonts w:ascii="Arial" w:cs="Arial" w:eastAsia="Arial" w:hAnsi="Arial"/>
          <w:sz w:val="17"/>
          <w:szCs w:val="17"/>
          <w:color w:val="auto"/>
        </w:rPr>
        <w:t xml:space="preserve"> ASU 2018-20 (1) allows lessors to make an accounting policy election of presenting sales taxes and other similar taxes collected from lessees on a net basis, (2) requires a lessor to exclude lessor costs paid directly by a lessee to third parties on the lessor’s behalf and include lessor costs that are paid by the lessor and reimbursed by the lessee in the measurement of variable lease revenue and the associated expense, and (3) clarifies that when lessors allocate variable payments to lease and non-lease components they are required to follow the recognition guidance in the new leases standard for the lease component and other applicable guidance, such as the new revenue standard, for the non-lease component. The Company adopted ASU 2018-20 on its required effective date of January 1, 2019, and elected to present sales taxes and other similar taxes collected from lessees on a net basis as described in (1) above. ASU 2018-20 did not have a material impact on the Company’s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March 2019, the FASB issued ASU No. 2019-01, </w:t>
      </w:r>
      <w:r>
        <w:rPr>
          <w:rFonts w:ascii="Arial" w:cs="Arial" w:eastAsia="Arial" w:hAnsi="Arial"/>
          <w:sz w:val="16"/>
          <w:szCs w:val="16"/>
          <w:i w:val="1"/>
          <w:iCs w:val="1"/>
          <w:color w:val="auto"/>
        </w:rPr>
        <w:t>“Leases: Codification Improvements.”</w:t>
      </w:r>
      <w:r>
        <w:rPr>
          <w:rFonts w:ascii="Arial" w:cs="Arial" w:eastAsia="Arial" w:hAnsi="Arial"/>
          <w:sz w:val="16"/>
          <w:szCs w:val="16"/>
          <w:color w:val="auto"/>
        </w:rPr>
        <w:t xml:space="preserve"> This ASU (1) states that for lessors that are not manufacturers or dealers, the fair value of the underlying asset is its cost, less any volume or trade discounts, as long as there is not a significant amount of time between acquisition of the asset and lease commencement; (2) clarifies that lessors in the scope of ASC 942 (such as the Company) must classify principal payments received from sales-type and direct financing leases in investing activities in the statement of cash flows; and (3) clarifies the transition guidance related to certain interim disclosures provided in the year of adoption. To coincide with the adoption of ASU No. 2016-02, the Company elected to early adopt ASU 2019-01 on January 1, 2019. The adoption of this ASU did not have a material impact on the Company’s Consolidated Financial Statements.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April 2019, the FASB issued ASU No. 2019-04, </w:t>
      </w:r>
      <w:r>
        <w:rPr>
          <w:rFonts w:ascii="Arial" w:cs="Arial" w:eastAsia="Arial" w:hAnsi="Arial"/>
          <w:sz w:val="17"/>
          <w:szCs w:val="17"/>
          <w:i w:val="1"/>
          <w:iCs w:val="1"/>
          <w:color w:val="auto"/>
        </w:rPr>
        <w:t>“Codification Improvements to Topic 326, Financial Instruments - Credit Losses, Topic 815,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 and Topic 825, Financial Instrume</w:t>
      </w:r>
      <w:r>
        <w:rPr>
          <w:rFonts w:ascii="Arial" w:cs="Arial" w:eastAsia="Arial" w:hAnsi="Arial"/>
          <w:sz w:val="17"/>
          <w:szCs w:val="17"/>
          <w:color w:val="auto"/>
        </w:rPr>
        <w:t>nts.” With respect to Topic 815, Derivatives and Hedging, ASU 2019-04 clarifies that the reclassification of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debt security from held-to-maturity (“HTM”) to available-for-sale (“AFS”) under the transition guidance in ASU 2017-12, "Targeted Improvements to Accounting for Hedging Activities" would not (1) call into question the classification of other HTM securities, (2) be required to actually designate any reclassified security in a last-of-layer hedge, or (3) be restricted from selling any reclassified security. As part of the transition of ASU 2019-04, entities may reclassify securities that would qualify for designation as the hedged item in a last-of-layer hedging relationship from HTM to AFS; however, entities that already made such a reclassification upon their adoption of ASU 2017-12 are precluded from reclassifying additional securities. The Company did not reclassify any securities from HTM to AFS upon adoption of ASU 2017-12. The Company elected to early adopt the amendments to Topic 815 in June 2019.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 regarding the impact of the transfer of certain HTM debt securities to AFS. The amendments to Topics 326 and 825 are effective for interim and annual reporting periods beginning after December 15,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Restrictions on Cash and Cash and Cash Equivalents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is required to maintain cash on hand or on deposit with the Federal Reserve Bank based on the amount of certain customer deposits, mainly checking accounts. The Bank’s average required reserve balances were $68.4 million and $72.3 million as of December 31, 2019, and December 31, 2018, respectively.</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005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44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4,979</w:t>
            </w:r>
          </w:p>
        </w:tc>
        <w:tc>
          <w:tcPr>
            <w:tcW w:w="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3,028</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284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254,574</w:t>
            </w:r>
          </w:p>
        </w:tc>
        <w:tc>
          <w:tcPr>
            <w:tcW w:w="44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198,860</w:t>
            </w:r>
          </w:p>
        </w:tc>
      </w:tr>
      <w:tr>
        <w:trPr>
          <w:trHeight w:val="33"/>
        </w:trPr>
        <w:tc>
          <w:tcPr>
            <w:tcW w:w="5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28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299,105</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324,081</w:t>
            </w:r>
          </w:p>
        </w:tc>
      </w:tr>
      <w:tr>
        <w:trPr>
          <w:trHeight w:val="21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28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558,658</w:t>
            </w:r>
          </w:p>
        </w:tc>
        <w:tc>
          <w:tcPr>
            <w:tcW w:w="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525,969</w:t>
            </w:r>
          </w:p>
        </w:tc>
      </w:tr>
      <w:tr>
        <w:trPr>
          <w:trHeight w:val="33"/>
        </w:trPr>
        <w:tc>
          <w:tcPr>
            <w:tcW w:w="5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line="8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December 31, 2019, December 31, 2018, and December 31, 2017,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3"/>
                <w:szCs w:val="13"/>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b w:val="1"/>
                <w:bCs w:val="1"/>
                <w:color w:val="auto"/>
              </w:rPr>
              <w:t>Gross</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4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1"/>
                <w:szCs w:val="11"/>
                <w:color w:val="auto"/>
              </w:rPr>
            </w:pPr>
          </w:p>
        </w:tc>
        <w:tc>
          <w:tcPr>
            <w:tcW w:w="9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Unrealized</w:t>
            </w:r>
          </w:p>
        </w:tc>
        <w:tc>
          <w:tcPr>
            <w:tcW w:w="340" w:type="dxa"/>
            <w:vAlign w:val="bottom"/>
          </w:tcPr>
          <w:p>
            <w:pPr>
              <w:spacing w:after="0"/>
              <w:rPr>
                <w:sz w:val="11"/>
                <w:szCs w:val="11"/>
                <w:color w:val="auto"/>
              </w:rPr>
            </w:pP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Unrealized</w:t>
            </w:r>
          </w:p>
        </w:tc>
        <w:tc>
          <w:tcPr>
            <w:tcW w:w="44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Fair</w:t>
            </w:r>
          </w:p>
        </w:tc>
      </w:tr>
      <w:tr>
        <w:trPr>
          <w:trHeight w:val="17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Cost</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Gains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Losses</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Value</w:t>
            </w:r>
          </w:p>
        </w:tc>
      </w:tr>
      <w:tr>
        <w:trPr>
          <w:trHeight w:val="270"/>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2019</w:t>
            </w:r>
          </w:p>
        </w:tc>
        <w:tc>
          <w:tcPr>
            <w:tcW w:w="1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b w:val="1"/>
                <w:bCs w:val="1"/>
                <w:color w:val="auto"/>
              </w:rPr>
              <w:t>Available-for-Sale:</w:t>
            </w:r>
          </w:p>
        </w:tc>
        <w:tc>
          <w:tcPr>
            <w:tcW w:w="1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the U.S. Treasury and Government Agencies</w:t>
            </w:r>
          </w:p>
        </w:tc>
        <w:tc>
          <w:tcPr>
            <w:tcW w:w="16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222,365</w:t>
            </w:r>
          </w:p>
        </w:tc>
        <w:tc>
          <w:tcPr>
            <w:tcW w:w="4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(1,447)</w:t>
            </w:r>
          </w:p>
        </w:tc>
        <w:tc>
          <w:tcPr>
            <w:tcW w:w="4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221,131</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Debt Securities Issued by States and Political Subdivisions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54,480</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631</w:t>
            </w: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55,097</w:t>
            </w: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U.S. Government-Sponsored Enterprises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22,128</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22,147</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Debt Securities Issued by Corporations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335,553</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1,401</w:t>
            </w: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(633)</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336,321</w:t>
            </w: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2"/>
        </w:trPr>
        <w:tc>
          <w:tcPr>
            <w:tcW w:w="4900" w:type="dxa"/>
            <w:vAlign w:val="bottom"/>
          </w:tcPr>
          <w:p>
            <w:pPr>
              <w:ind w:left="400"/>
              <w:spacing w:after="0"/>
              <w:rPr>
                <w:sz w:val="20"/>
                <w:szCs w:val="20"/>
                <w:color w:val="auto"/>
              </w:rPr>
            </w:pPr>
            <w:r>
              <w:rPr>
                <w:rFonts w:ascii="Arial" w:cs="Arial" w:eastAsia="Arial" w:hAnsi="Arial"/>
                <w:sz w:val="13"/>
                <w:szCs w:val="13"/>
                <w:color w:val="auto"/>
              </w:rPr>
              <w:t>Residential - Government Agencies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1,164,466</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11,627</w:t>
            </w: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(3,267)</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1,172,826</w:t>
            </w:r>
          </w:p>
        </w:tc>
      </w:tr>
      <w:tr>
        <w:trPr>
          <w:trHeight w:val="278"/>
        </w:trPr>
        <w:tc>
          <w:tcPr>
            <w:tcW w:w="4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Residential - U.S. Government-Sponsored Enterprises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584,272</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4,363</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(1,874)</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586,761</w:t>
            </w:r>
          </w:p>
        </w:tc>
      </w:tr>
      <w:tr>
        <w:trPr>
          <w:trHeight w:val="264"/>
        </w:trPr>
        <w:tc>
          <w:tcPr>
            <w:tcW w:w="490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Commercial - Government Agencies</w:t>
            </w:r>
          </w:p>
        </w:tc>
        <w:tc>
          <w:tcPr>
            <w:tcW w:w="1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224,372</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2,889</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(2,541)</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224,720</w:t>
            </w:r>
          </w:p>
        </w:tc>
      </w:tr>
      <w:tr>
        <w:trPr>
          <w:trHeight w:val="264"/>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Total Mortgage-Backed Securities</w:t>
            </w:r>
          </w:p>
        </w:tc>
        <w:tc>
          <w:tcPr>
            <w:tcW w:w="1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1,973,110</w:t>
            </w: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18,879</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(7,682)</w:t>
            </w: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1,984,307</w:t>
            </w:r>
          </w:p>
        </w:tc>
      </w:tr>
      <w:tr>
        <w:trPr>
          <w:trHeight w:val="30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1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2,607,636</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21,143</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(9,776)</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2,619,003</w:t>
            </w:r>
          </w:p>
        </w:tc>
      </w:tr>
      <w:tr>
        <w:trPr>
          <w:trHeight w:val="257"/>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Held-to-Maturity:</w:t>
            </w:r>
          </w:p>
        </w:tc>
        <w:tc>
          <w:tcPr>
            <w:tcW w:w="16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Debt Securities Issued by the U.S. Treasury and Government Agencies</w:t>
            </w:r>
          </w:p>
        </w:tc>
        <w:tc>
          <w:tcPr>
            <w:tcW w:w="16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274,375</w:t>
            </w:r>
          </w:p>
        </w:tc>
        <w:tc>
          <w:tcPr>
            <w:tcW w:w="4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1,319</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275,663</w:t>
            </w: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States and Political Subdivisions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54,811</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1,236</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56,047</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Debt Securities Issued by Corporations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14,975</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(138)</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14,837</w:t>
            </w: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2"/>
        </w:trPr>
        <w:tc>
          <w:tcPr>
            <w:tcW w:w="4900" w:type="dxa"/>
            <w:vAlign w:val="bottom"/>
          </w:tcPr>
          <w:p>
            <w:pPr>
              <w:ind w:left="400"/>
              <w:spacing w:after="0"/>
              <w:rPr>
                <w:sz w:val="20"/>
                <w:szCs w:val="20"/>
                <w:color w:val="auto"/>
              </w:rPr>
            </w:pPr>
            <w:r>
              <w:rPr>
                <w:rFonts w:ascii="Arial" w:cs="Arial" w:eastAsia="Arial" w:hAnsi="Arial"/>
                <w:sz w:val="13"/>
                <w:szCs w:val="13"/>
                <w:color w:val="auto"/>
              </w:rPr>
              <w:t>Residential - Government Agencies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1,067,416</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13,247</w:t>
            </w: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(5,348)</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1,075,315</w:t>
            </w:r>
          </w:p>
        </w:tc>
      </w:tr>
      <w:tr>
        <w:trPr>
          <w:trHeight w:val="278"/>
        </w:trPr>
        <w:tc>
          <w:tcPr>
            <w:tcW w:w="4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Residential - U.S. Government-Sponsored Enterprises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1,546,479</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13,871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(2,478)</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1,557,872</w:t>
            </w:r>
          </w:p>
        </w:tc>
      </w:tr>
      <w:tr>
        <w:trPr>
          <w:trHeight w:val="264"/>
        </w:trPr>
        <w:tc>
          <w:tcPr>
            <w:tcW w:w="490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Commercial - Government Agencies</w:t>
            </w:r>
          </w:p>
        </w:tc>
        <w:tc>
          <w:tcPr>
            <w:tcW w:w="1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84,238</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317</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(1,407)</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83,148</w:t>
            </w:r>
          </w:p>
        </w:tc>
      </w:tr>
      <w:tr>
        <w:trPr>
          <w:trHeight w:val="264"/>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Total Mortgage-Backed Securities</w:t>
            </w:r>
          </w:p>
        </w:tc>
        <w:tc>
          <w:tcPr>
            <w:tcW w:w="1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2,698,133</w:t>
            </w: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27,435</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(9,233)</w:t>
            </w: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2,716,335</w:t>
            </w:r>
          </w:p>
        </w:tc>
      </w:tr>
      <w:tr>
        <w:trPr>
          <w:trHeight w:val="30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1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3,042,294</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29,990</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(9,402)</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3,062,882</w:t>
            </w:r>
          </w:p>
        </w:tc>
      </w:tr>
      <w:tr>
        <w:trPr>
          <w:trHeight w:val="109"/>
        </w:trPr>
        <w:tc>
          <w:tcPr>
            <w:tcW w:w="490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b w:val="1"/>
                <w:bCs w:val="1"/>
                <w:color w:val="auto"/>
              </w:rPr>
              <w:t>December 31, 2018</w:t>
            </w:r>
          </w:p>
        </w:tc>
        <w:tc>
          <w:tcPr>
            <w:tcW w:w="1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Available-for-Sale:</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Debt Securities Issued by the U.S. Treasury and Government Agencies</w:t>
            </w:r>
          </w:p>
        </w:tc>
        <w:tc>
          <w:tcPr>
            <w:tcW w:w="16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394,485</w:t>
            </w:r>
          </w:p>
        </w:tc>
        <w:tc>
          <w:tcPr>
            <w:tcW w:w="4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493</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(2,577)</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392,401</w:t>
            </w: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States and Political Subdivisions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559,800</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5,227</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(1,031)</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563,996</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Debt Securities Issued by U.S. Government-Sponsored Enterprises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56</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56</w:t>
            </w: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Corporations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224,997</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(1,857)</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223,140</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Mortgage-Backed Securities:</w:t>
            </w:r>
          </w:p>
        </w:tc>
        <w:tc>
          <w:tcPr>
            <w:tcW w:w="1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Residential - Government Agencies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189,645</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1,726</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(929)</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190,442</w:t>
            </w:r>
          </w:p>
        </w:tc>
      </w:tr>
      <w:tr>
        <w:trPr>
          <w:trHeight w:val="262"/>
        </w:trPr>
        <w:tc>
          <w:tcPr>
            <w:tcW w:w="4900" w:type="dxa"/>
            <w:vAlign w:val="bottom"/>
          </w:tcPr>
          <w:p>
            <w:pPr>
              <w:ind w:left="400"/>
              <w:spacing w:after="0"/>
              <w:rPr>
                <w:sz w:val="20"/>
                <w:szCs w:val="20"/>
                <w:color w:val="auto"/>
              </w:rPr>
            </w:pPr>
            <w:r>
              <w:rPr>
                <w:rFonts w:ascii="Arial" w:cs="Arial" w:eastAsia="Arial" w:hAnsi="Arial"/>
                <w:sz w:val="13"/>
                <w:szCs w:val="13"/>
                <w:color w:val="auto"/>
              </w:rPr>
              <w:t>Residential - U.S. Government-Sponsored Enterprises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589,311</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1,779</w:t>
            </w: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(12,563)</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578,527</w:t>
            </w:r>
          </w:p>
        </w:tc>
      </w:tr>
      <w:tr>
        <w:trPr>
          <w:trHeight w:val="272"/>
        </w:trPr>
        <w:tc>
          <w:tcPr>
            <w:tcW w:w="4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Commercial - Government Agencies</w:t>
            </w:r>
          </w:p>
        </w:tc>
        <w:tc>
          <w:tcPr>
            <w:tcW w:w="16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63,864</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(4,484)</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59,380</w:t>
            </w:r>
          </w:p>
        </w:tc>
      </w:tr>
      <w:tr>
        <w:trPr>
          <w:trHeight w:val="26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Total Mortgage-Backed Securities</w:t>
            </w:r>
          </w:p>
        </w:tc>
        <w:tc>
          <w:tcPr>
            <w:tcW w:w="1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842,820</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3,505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(17,976)</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828,349</w:t>
            </w:r>
          </w:p>
        </w:tc>
      </w:tr>
      <w:tr>
        <w:trPr>
          <w:trHeight w:val="264"/>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16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2,022,158</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9,225</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(23,441)</w:t>
            </w:r>
          </w:p>
        </w:tc>
        <w:tc>
          <w:tcPr>
            <w:tcW w:w="4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2,007,942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9"/>
        </w:trPr>
        <w:tc>
          <w:tcPr>
            <w:tcW w:w="4900" w:type="dxa"/>
            <w:vAlign w:val="bottom"/>
          </w:tcPr>
          <w:p>
            <w:pPr>
              <w:ind w:left="40"/>
              <w:spacing w:after="0"/>
              <w:rPr>
                <w:sz w:val="20"/>
                <w:szCs w:val="20"/>
                <w:color w:val="auto"/>
              </w:rPr>
            </w:pPr>
            <w:r>
              <w:rPr>
                <w:rFonts w:ascii="Arial" w:cs="Arial" w:eastAsia="Arial" w:hAnsi="Arial"/>
                <w:sz w:val="13"/>
                <w:szCs w:val="13"/>
                <w:b w:val="1"/>
                <w:bCs w:val="1"/>
                <w:color w:val="auto"/>
              </w:rPr>
              <w:t>Held-to-Maturity:</w:t>
            </w:r>
          </w:p>
        </w:tc>
        <w:tc>
          <w:tcPr>
            <w:tcW w:w="1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the U.S. Treasury and Government Agencies</w:t>
            </w:r>
          </w:p>
        </w:tc>
        <w:tc>
          <w:tcPr>
            <w:tcW w:w="16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353,122</w:t>
            </w:r>
          </w:p>
        </w:tc>
        <w:tc>
          <w:tcPr>
            <w:tcW w:w="4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(1,093)</w:t>
            </w:r>
          </w:p>
        </w:tc>
        <w:tc>
          <w:tcPr>
            <w:tcW w:w="4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352,215</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Debt Securities Issued by States and Political Subdivisions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234,602</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6,150</w:t>
            </w:r>
          </w:p>
        </w:tc>
        <w:tc>
          <w:tcPr>
            <w:tcW w:w="34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240,752</w:t>
            </w: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Corporations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97,266</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(1,755)</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95,511</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Mortgage-Backed Securities:</w:t>
            </w:r>
          </w:p>
        </w:tc>
        <w:tc>
          <w:tcPr>
            <w:tcW w:w="1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Residential - Government Agencies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1,861,874</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3,886</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(51,773)</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1,813,987</w:t>
            </w:r>
          </w:p>
        </w:tc>
      </w:tr>
      <w:tr>
        <w:trPr>
          <w:trHeight w:val="262"/>
        </w:trPr>
        <w:tc>
          <w:tcPr>
            <w:tcW w:w="4900" w:type="dxa"/>
            <w:vAlign w:val="bottom"/>
          </w:tcPr>
          <w:p>
            <w:pPr>
              <w:ind w:left="400"/>
              <w:spacing w:after="0"/>
              <w:rPr>
                <w:sz w:val="20"/>
                <w:szCs w:val="20"/>
                <w:color w:val="auto"/>
              </w:rPr>
            </w:pPr>
            <w:r>
              <w:rPr>
                <w:rFonts w:ascii="Arial" w:cs="Arial" w:eastAsia="Arial" w:hAnsi="Arial"/>
                <w:sz w:val="13"/>
                <w:szCs w:val="13"/>
                <w:color w:val="auto"/>
              </w:rPr>
              <w:t>Residential - U.S. Government-Sponsored Enterprises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758,835</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1,590</w:t>
            </w: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(20,259)</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740,166</w:t>
            </w:r>
          </w:p>
        </w:tc>
      </w:tr>
      <w:tr>
        <w:trPr>
          <w:trHeight w:val="272"/>
        </w:trPr>
        <w:tc>
          <w:tcPr>
            <w:tcW w:w="4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Commercial - Government Agencies</w:t>
            </w:r>
          </w:p>
        </w:tc>
        <w:tc>
          <w:tcPr>
            <w:tcW w:w="16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176,393</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147</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(5,177)</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171,363</w:t>
            </w:r>
          </w:p>
        </w:tc>
      </w:tr>
      <w:tr>
        <w:trPr>
          <w:trHeight w:val="26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Total Mortgage-Backed Securities</w:t>
            </w:r>
          </w:p>
        </w:tc>
        <w:tc>
          <w:tcPr>
            <w:tcW w:w="1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2,797,102</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5,623</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(77,209)</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2,725,516</w:t>
            </w:r>
          </w:p>
        </w:tc>
      </w:tr>
      <w:tr>
        <w:trPr>
          <w:trHeight w:val="264"/>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16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3,482,092</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11,959</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(80,057)</w:t>
            </w:r>
          </w:p>
        </w:tc>
        <w:tc>
          <w:tcPr>
            <w:tcW w:w="4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3,413,994</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09"/>
        </w:trPr>
        <w:tc>
          <w:tcPr>
            <w:tcW w:w="4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70"/>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2017</w:t>
            </w:r>
          </w:p>
        </w:tc>
        <w:tc>
          <w:tcPr>
            <w:tcW w:w="1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b w:val="1"/>
                <w:bCs w:val="1"/>
                <w:color w:val="auto"/>
              </w:rPr>
              <w:t>Available-for-Sale:</w:t>
            </w:r>
          </w:p>
        </w:tc>
        <w:tc>
          <w:tcPr>
            <w:tcW w:w="1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the U.S. Treasury and Government Agencies</w:t>
            </w:r>
          </w:p>
        </w:tc>
        <w:tc>
          <w:tcPr>
            <w:tcW w:w="16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424,912</w:t>
            </w:r>
          </w:p>
        </w:tc>
        <w:tc>
          <w:tcPr>
            <w:tcW w:w="4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2,053</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(1,035)</w:t>
            </w:r>
          </w:p>
        </w:tc>
        <w:tc>
          <w:tcPr>
            <w:tcW w:w="4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425,930</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Debt Securities Issued by States and Political Subdivisions</w:t>
            </w:r>
          </w:p>
        </w:tc>
        <w:tc>
          <w:tcPr>
            <w:tcW w:w="1600" w:type="dxa"/>
            <w:vAlign w:val="bottom"/>
          </w:tcPr>
          <w:p>
            <w:pPr>
              <w:spacing w:after="0"/>
              <w:rPr>
                <w:sz w:val="22"/>
                <w:szCs w:val="2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618,167</w:t>
            </w:r>
          </w:p>
        </w:tc>
        <w:tc>
          <w:tcPr>
            <w:tcW w:w="42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9,894</w:t>
            </w: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(1,042)</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627,019</w:t>
            </w: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Corporations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268,003</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(2,091)</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266,111</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Mortgage-Backed Securities:</w:t>
            </w:r>
          </w:p>
        </w:tc>
        <w:tc>
          <w:tcPr>
            <w:tcW w:w="1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Residential - Government Agencies</w:t>
            </w:r>
          </w:p>
        </w:tc>
        <w:tc>
          <w:tcPr>
            <w:tcW w:w="1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233,268</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3,129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(1,037)</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235,360</w:t>
            </w:r>
          </w:p>
        </w:tc>
      </w:tr>
      <w:tr>
        <w:trPr>
          <w:trHeight w:val="173"/>
        </w:trPr>
        <w:tc>
          <w:tcPr>
            <w:tcW w:w="4900" w:type="dxa"/>
            <w:vAlign w:val="bottom"/>
          </w:tcPr>
          <w:p>
            <w:pPr>
              <w:ind w:left="400"/>
              <w:spacing w:after="0"/>
              <w:rPr>
                <w:sz w:val="20"/>
                <w:szCs w:val="20"/>
                <w:color w:val="auto"/>
              </w:rPr>
            </w:pPr>
            <w:r>
              <w:rPr>
                <w:rFonts w:ascii="Arial" w:cs="Arial" w:eastAsia="Arial" w:hAnsi="Arial"/>
                <w:sz w:val="13"/>
                <w:szCs w:val="13"/>
                <w:color w:val="auto"/>
              </w:rPr>
              <w:t>Residential - U.S. Government-Sponsored Enterprises</w:t>
            </w:r>
          </w:p>
        </w:tc>
        <w:tc>
          <w:tcPr>
            <w:tcW w:w="16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619,795</w:t>
            </w:r>
          </w:p>
        </w:tc>
        <w:tc>
          <w:tcPr>
            <w:tcW w:w="4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420</w:t>
            </w:r>
          </w:p>
        </w:tc>
        <w:tc>
          <w:tcPr>
            <w:tcW w:w="34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(10,403)</w:t>
            </w:r>
          </w:p>
        </w:tc>
        <w:tc>
          <w:tcPr>
            <w:tcW w:w="44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609,812</w:t>
            </w:r>
          </w:p>
        </w:tc>
      </w:tr>
    </w:tbl>
    <w:p>
      <w:pPr>
        <w:sectPr>
          <w:pgSz w:w="11900" w:h="16922" w:orient="portrait"/>
          <w:cols w:equalWidth="0" w:num="1">
            <w:col w:w="11420"/>
          </w:cols>
          <w:pgMar w:left="240" w:top="125" w:right="23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Commercial - Government Agencies</w:t>
            </w:r>
          </w:p>
        </w:tc>
        <w:tc>
          <w:tcPr>
            <w:tcW w:w="16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71,999</w:t>
            </w:r>
          </w:p>
        </w:tc>
        <w:tc>
          <w:tcPr>
            <w:tcW w:w="5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(3,252)</w:t>
            </w: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68,747</w:t>
            </w:r>
          </w:p>
        </w:tc>
      </w:tr>
      <w:tr>
        <w:trPr>
          <w:trHeight w:val="26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Total Mortgage-Backed Securities</w:t>
            </w:r>
          </w:p>
        </w:tc>
        <w:tc>
          <w:tcPr>
            <w:tcW w:w="1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925,062</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3,549</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(14,692)</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913,919</w:t>
            </w:r>
          </w:p>
        </w:tc>
      </w:tr>
      <w:tr>
        <w:trPr>
          <w:trHeight w:val="264"/>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16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2,236,144</w:t>
            </w:r>
          </w:p>
        </w:tc>
        <w:tc>
          <w:tcPr>
            <w:tcW w:w="5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15,695</w:t>
            </w:r>
          </w:p>
        </w:tc>
        <w:tc>
          <w:tcPr>
            <w:tcW w:w="4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(18,860)</w:t>
            </w:r>
          </w:p>
        </w:tc>
        <w:tc>
          <w:tcPr>
            <w:tcW w:w="4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2,232,979</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9"/>
        </w:trPr>
        <w:tc>
          <w:tcPr>
            <w:tcW w:w="4900" w:type="dxa"/>
            <w:vAlign w:val="bottom"/>
          </w:tcPr>
          <w:p>
            <w:pPr>
              <w:ind w:left="40"/>
              <w:spacing w:after="0"/>
              <w:rPr>
                <w:sz w:val="20"/>
                <w:szCs w:val="20"/>
                <w:color w:val="auto"/>
              </w:rPr>
            </w:pPr>
            <w:r>
              <w:rPr>
                <w:rFonts w:ascii="Arial" w:cs="Arial" w:eastAsia="Arial" w:hAnsi="Arial"/>
                <w:sz w:val="13"/>
                <w:szCs w:val="13"/>
                <w:b w:val="1"/>
                <w:bCs w:val="1"/>
                <w:color w:val="auto"/>
              </w:rPr>
              <w:t>Held-to-Maturity:</w:t>
            </w:r>
          </w:p>
        </w:tc>
        <w:tc>
          <w:tcPr>
            <w:tcW w:w="1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the U.S. Treasury and Government Agencies</w:t>
            </w:r>
          </w:p>
        </w:tc>
        <w:tc>
          <w:tcPr>
            <w:tcW w:w="16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375,074</w:t>
            </w:r>
          </w:p>
        </w:tc>
        <w:tc>
          <w:tcPr>
            <w:tcW w:w="5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4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(1,451)</w:t>
            </w:r>
          </w:p>
        </w:tc>
        <w:tc>
          <w:tcPr>
            <w:tcW w:w="4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373,641</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Debt Securities Issued by States and Political Subdivisions</w:t>
            </w:r>
          </w:p>
        </w:tc>
        <w:tc>
          <w:tcPr>
            <w:tcW w:w="1660" w:type="dxa"/>
            <w:vAlign w:val="bottom"/>
          </w:tcPr>
          <w:p>
            <w:pPr>
              <w:spacing w:after="0"/>
              <w:rPr>
                <w:sz w:val="22"/>
                <w:szCs w:val="2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238,504</w:t>
            </w:r>
          </w:p>
        </w:tc>
        <w:tc>
          <w:tcPr>
            <w:tcW w:w="56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9,125</w:t>
            </w:r>
          </w:p>
        </w:tc>
        <w:tc>
          <w:tcPr>
            <w:tcW w:w="44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247,629</w:t>
            </w:r>
          </w:p>
        </w:tc>
      </w:tr>
      <w:tr>
        <w:trPr>
          <w:trHeight w:val="278"/>
        </w:trPr>
        <w:tc>
          <w:tcPr>
            <w:tcW w:w="4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Securities Issued by Corporations</w:t>
            </w:r>
          </w:p>
        </w:tc>
        <w:tc>
          <w:tcPr>
            <w:tcW w:w="16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119,635</w:t>
            </w: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w:t>
            </w: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(1,591)</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118,167</w:t>
            </w:r>
          </w:p>
        </w:tc>
      </w:tr>
      <w:tr>
        <w:trPr>
          <w:trHeight w:val="262"/>
        </w:trPr>
        <w:tc>
          <w:tcPr>
            <w:tcW w:w="4900" w:type="dxa"/>
            <w:vAlign w:val="bottom"/>
          </w:tcPr>
          <w:p>
            <w:pPr>
              <w:ind w:left="40"/>
              <w:spacing w:after="0"/>
              <w:rPr>
                <w:sz w:val="20"/>
                <w:szCs w:val="20"/>
                <w:color w:val="auto"/>
              </w:rPr>
            </w:pPr>
            <w:r>
              <w:rPr>
                <w:rFonts w:ascii="Arial" w:cs="Arial" w:eastAsia="Arial" w:hAnsi="Arial"/>
                <w:sz w:val="13"/>
                <w:szCs w:val="13"/>
                <w:color w:val="auto"/>
              </w:rPr>
              <w:t>Mortgage-Backed Securities:</w:t>
            </w:r>
          </w:p>
        </w:tc>
        <w:tc>
          <w:tcPr>
            <w:tcW w:w="1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Residential - Government Agencies</w:t>
            </w:r>
          </w:p>
        </w:tc>
        <w:tc>
          <w:tcPr>
            <w:tcW w:w="16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2,229,985</w:t>
            </w: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9,975</w:t>
            </w: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(37,047)</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2,202,913</w:t>
            </w:r>
          </w:p>
        </w:tc>
      </w:tr>
      <w:tr>
        <w:trPr>
          <w:trHeight w:val="262"/>
        </w:trPr>
        <w:tc>
          <w:tcPr>
            <w:tcW w:w="4900" w:type="dxa"/>
            <w:vAlign w:val="bottom"/>
          </w:tcPr>
          <w:p>
            <w:pPr>
              <w:ind w:left="400"/>
              <w:spacing w:after="0"/>
              <w:rPr>
                <w:sz w:val="20"/>
                <w:szCs w:val="20"/>
                <w:color w:val="auto"/>
              </w:rPr>
            </w:pPr>
            <w:r>
              <w:rPr>
                <w:rFonts w:ascii="Arial" w:cs="Arial" w:eastAsia="Arial" w:hAnsi="Arial"/>
                <w:sz w:val="13"/>
                <w:szCs w:val="13"/>
                <w:color w:val="auto"/>
              </w:rPr>
              <w:t>Residential - U.S. Government-Sponsored Enterprises</w:t>
            </w:r>
          </w:p>
        </w:tc>
        <w:tc>
          <w:tcPr>
            <w:tcW w:w="1660" w:type="dxa"/>
            <w:vAlign w:val="bottom"/>
          </w:tcPr>
          <w:p>
            <w:pPr>
              <w:spacing w:after="0"/>
              <w:rPr>
                <w:sz w:val="22"/>
                <w:szCs w:val="2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763,312</w:t>
            </w:r>
          </w:p>
        </w:tc>
        <w:tc>
          <w:tcPr>
            <w:tcW w:w="56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911</w:t>
            </w:r>
          </w:p>
        </w:tc>
        <w:tc>
          <w:tcPr>
            <w:tcW w:w="44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(11,255)</w:t>
            </w:r>
          </w:p>
        </w:tc>
        <w:tc>
          <w:tcPr>
            <w:tcW w:w="4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752,968</w:t>
            </w:r>
          </w:p>
        </w:tc>
      </w:tr>
      <w:tr>
        <w:trPr>
          <w:trHeight w:val="272"/>
        </w:trPr>
        <w:tc>
          <w:tcPr>
            <w:tcW w:w="4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Commercial - Government Agencies</w:t>
            </w:r>
          </w:p>
        </w:tc>
        <w:tc>
          <w:tcPr>
            <w:tcW w:w="16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201,660</w:t>
            </w:r>
          </w:p>
        </w:tc>
        <w:tc>
          <w:tcPr>
            <w:tcW w:w="5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797</w:t>
            </w: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(3,654)</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198,803</w:t>
            </w:r>
          </w:p>
        </w:tc>
      </w:tr>
      <w:tr>
        <w:trPr>
          <w:trHeight w:val="26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Total Mortgage-Backed Securities</w:t>
            </w:r>
          </w:p>
        </w:tc>
        <w:tc>
          <w:tcPr>
            <w:tcW w:w="1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3,194,957</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11,683</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(51,956)</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3,154,684</w:t>
            </w:r>
          </w:p>
        </w:tc>
      </w:tr>
      <w:tr>
        <w:trPr>
          <w:trHeight w:val="264"/>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16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3,928,170</w:t>
            </w:r>
          </w:p>
        </w:tc>
        <w:tc>
          <w:tcPr>
            <w:tcW w:w="5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20,949</w:t>
            </w:r>
          </w:p>
        </w:tc>
        <w:tc>
          <w:tcPr>
            <w:tcW w:w="4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(54,998)</w:t>
            </w:r>
          </w:p>
        </w:tc>
        <w:tc>
          <w:tcPr>
            <w:tcW w:w="4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3,894,121</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83"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mentioned in Note 1 the FASB issued ASU No. 2019-04 in April 2019. In June 2019, the Company elected to early adopt the amendments to Topic 815, Derivatives and Hedging, which allowed the Company a one-time reclassification of certain prepayable debt securities from HTM to AFS. On June 10, 2019, prepayable debt securities with a carrying value of $1.0 billion and a net unrealized gain of $3.1 million were transferred from held-to-maturity to available-for-sale. The reclassified securities consisted of mortgage-backed securities issued by U.S. government agencies and government-sponsored enterprises, municipal debt securities, and corporate debt securities.</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December 31, 2019.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126,483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126,672</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114,822</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114,858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171,950</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173,137</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1"/>
        </w:trPr>
        <w:tc>
          <w:tcPr>
            <w:tcW w:w="616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413,306</w:t>
            </w: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414,719</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221,220</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219,977</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1,164,466</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1,172,826</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584,272</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586,761</w:t>
            </w: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224,372</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224,720</w:t>
            </w:r>
          </w:p>
        </w:tc>
      </w:tr>
      <w:tr>
        <w:trPr>
          <w:trHeight w:val="33"/>
        </w:trPr>
        <w:tc>
          <w:tcPr>
            <w:tcW w:w="6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1,973,110</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1,984,307</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2,607,636</w:t>
            </w:r>
          </w:p>
        </w:tc>
        <w:tc>
          <w:tcPr>
            <w:tcW w:w="4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2,619,003</w:t>
            </w:r>
          </w:p>
        </w:tc>
      </w:tr>
      <w:tr>
        <w:trPr>
          <w:trHeight w:val="73"/>
        </w:trPr>
        <w:tc>
          <w:tcPr>
            <w:tcW w:w="61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51"/>
        </w:trPr>
        <w:tc>
          <w:tcPr>
            <w:tcW w:w="61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294,760</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296,286</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49,401</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50,261</w:t>
            </w:r>
          </w:p>
        </w:tc>
      </w:tr>
      <w:tr>
        <w:trPr>
          <w:trHeight w:val="33"/>
        </w:trPr>
        <w:tc>
          <w:tcPr>
            <w:tcW w:w="6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344,161</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346,547</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1,067,416</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1,075,315</w:t>
            </w: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1,546,479</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1,557,872</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84,238</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83,148</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2,698,133</w:t>
            </w: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2,716,335</w:t>
            </w:r>
          </w:p>
        </w:tc>
      </w:tr>
      <w:tr>
        <w:trPr>
          <w:trHeight w:val="33"/>
        </w:trPr>
        <w:tc>
          <w:tcPr>
            <w:tcW w:w="6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3,042,294</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3,062,882</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Investment securities with carrying values of $2.6 billion, $2.3 billion, $2.4 billion as of December 31, 2019, December 31, 2018, and December 31, 2017, respectively, were pledged to secure deposits of governmental entities and securities sold under agreements to repurchase.</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table below presents the gains and losses from the sales of investment securities for the years ended December 31, 2019, December 31, 2018, and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2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7,810</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12,467</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2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(11,796)</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(3,938)</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(2,037)</w:t>
            </w:r>
          </w:p>
        </w:tc>
      </w:tr>
      <w:tr>
        <w:trPr>
          <w:trHeight w:val="33"/>
        </w:trPr>
        <w:tc>
          <w:tcPr>
            <w:tcW w:w="5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2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(3,986)</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(3,938)</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10,430</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gross gains and losses on sales of investment securities during the year ended December 31, 2019, included sales of AFS municipal debt securities, mortgage-backed securities, and corporate debt securities as part of a portfolio repositioning. In addition, fees paid to the counterparties of our prior Visa Class B share sale transactions which are expensed as incurred also contributed to the losses during the year ended December 31, 2019, December 31, 2018, and December 31, 2017. In addition, losses during the year ended December 31, 2019, and December 31, 2018, included $0.5 million and $1.0 million, respectively, related to a change in the Visa Class B conversion ratio.</w:t>
      </w:r>
    </w:p>
    <w:p>
      <w:pPr>
        <w:sectPr>
          <w:pgSz w:w="11900" w:h="16838" w:orient="portrait"/>
          <w:cols w:equalWidth="0" w:num="1">
            <w:col w:w="11420"/>
          </w:cols>
          <w:pgMar w:left="240" w:top="125"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 securities in an unrealized loss position, segregated by continuous length of impairment,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ind w:left="280"/>
              <w:spacing w:after="0"/>
              <w:rPr>
                <w:sz w:val="20"/>
                <w:szCs w:val="20"/>
                <w:color w:val="auto"/>
              </w:rPr>
            </w:pPr>
            <w:r>
              <w:rPr>
                <w:rFonts w:ascii="Arial" w:cs="Arial" w:eastAsia="Arial" w:hAnsi="Arial"/>
                <w:sz w:val="16"/>
                <w:szCs w:val="16"/>
                <w:b w:val="1"/>
                <w:bCs w:val="1"/>
                <w:color w:val="auto"/>
              </w:rPr>
              <w:t>Less Than 12 Months</w:t>
            </w:r>
          </w:p>
        </w:tc>
        <w:tc>
          <w:tcPr>
            <w:tcW w:w="200" w:type="dxa"/>
            <w:vAlign w:val="bottom"/>
          </w:tcPr>
          <w:p>
            <w:pPr>
              <w:spacing w:after="0"/>
              <w:rPr>
                <w:sz w:val="18"/>
                <w:szCs w:val="18"/>
                <w:color w:val="auto"/>
              </w:rPr>
            </w:pPr>
          </w:p>
        </w:tc>
        <w:tc>
          <w:tcPr>
            <w:tcW w:w="2300" w:type="dxa"/>
            <w:vAlign w:val="bottom"/>
            <w:gridSpan w:val="4"/>
          </w:tcPr>
          <w:p>
            <w:pPr>
              <w:ind w:left="260"/>
              <w:spacing w:after="0"/>
              <w:rPr>
                <w:sz w:val="20"/>
                <w:szCs w:val="20"/>
                <w:color w:val="auto"/>
              </w:rPr>
            </w:pPr>
            <w:r>
              <w:rPr>
                <w:rFonts w:ascii="Arial" w:cs="Arial" w:eastAsia="Arial" w:hAnsi="Arial"/>
                <w:sz w:val="16"/>
                <w:szCs w:val="16"/>
                <w:b w:val="1"/>
                <w:bCs w:val="1"/>
                <w:color w:val="auto"/>
              </w:rPr>
              <w:t>12 Months or Longer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88"/>
              </w:rPr>
              <w:t>Total</w:t>
            </w:r>
          </w:p>
        </w:tc>
        <w:tc>
          <w:tcPr>
            <w:tcW w:w="9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67"/>
              <w:spacing w:after="0"/>
              <w:rPr>
                <w:sz w:val="20"/>
                <w:szCs w:val="20"/>
                <w:color w:val="auto"/>
              </w:rPr>
            </w:pPr>
            <w:r>
              <w:rPr>
                <w:rFonts w:ascii="Arial" w:cs="Arial" w:eastAsia="Arial" w:hAnsi="Arial"/>
                <w:sz w:val="16"/>
                <w:szCs w:val="16"/>
                <w:b w:val="1"/>
                <w:bCs w:val="1"/>
                <w:color w:val="auto"/>
              </w:rPr>
              <w:t>Gross</w:t>
            </w: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8"/>
              </w:rPr>
              <w:t>Unrealized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8"/>
              </w:rPr>
              <w:t>Unrealized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67"/>
              <w:spacing w:after="0"/>
              <w:rPr>
                <w:sz w:val="20"/>
                <w:szCs w:val="20"/>
                <w:color w:val="auto"/>
              </w:rPr>
            </w:pPr>
            <w:r>
              <w:rPr>
                <w:rFonts w:ascii="Arial" w:cs="Arial" w:eastAsia="Arial" w:hAnsi="Arial"/>
                <w:sz w:val="16"/>
                <w:szCs w:val="16"/>
                <w:b w:val="1"/>
                <w:bCs w:val="1"/>
                <w:color w:val="auto"/>
                <w:w w:val="96"/>
              </w:rPr>
              <w:t>Unrealized</w:t>
            </w:r>
          </w:p>
        </w:tc>
      </w:tr>
      <w:tr>
        <w:trPr>
          <w:trHeight w:val="23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Fair Value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Losses</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Available-for-Sales: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4"/>
        </w:trPr>
        <w:tc>
          <w:tcPr>
            <w:tcW w:w="40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and Government Agencies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65,479</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101,761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167,240</w:t>
            </w:r>
          </w:p>
        </w:tc>
        <w:tc>
          <w:tcPr>
            <w:tcW w:w="4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auto"/>
              </w:rPr>
              <w:t>and Political Subdivisions</w:t>
            </w:r>
          </w:p>
        </w:tc>
        <w:tc>
          <w:tcPr>
            <w:tcW w:w="220" w:type="dxa"/>
            <w:vAlign w:val="bottom"/>
          </w:tcPr>
          <w:p>
            <w:pPr>
              <w:spacing w:after="0"/>
              <w:rPr>
                <w:sz w:val="16"/>
                <w:szCs w:val="16"/>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6,788</w:t>
            </w:r>
          </w:p>
        </w:tc>
        <w:tc>
          <w:tcPr>
            <w:tcW w:w="28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440</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7,228</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25,892</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74,693</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100,585</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119,271</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170,805</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290,076</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187,861</w:t>
            </w:r>
          </w:p>
        </w:tc>
        <w:tc>
          <w:tcPr>
            <w:tcW w:w="2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73,720</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261,581</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(1,874)</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59,826</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(319)</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52,965</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112,791</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366,958</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(1,661)</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297,490</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664,448</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(7,682)</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465,117</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(2,189)</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474,384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(7,587)</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939,501</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(9,776)</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auto"/>
              </w:rPr>
              <w:t>and Government Agencies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39,984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39,984</w:t>
            </w:r>
          </w:p>
        </w:tc>
        <w:tc>
          <w:tcPr>
            <w:tcW w:w="4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4,416</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10,421</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14,837</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88,061</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255,816</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343,877</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(5,348)</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340,453</w:t>
            </w:r>
          </w:p>
        </w:tc>
        <w:tc>
          <w:tcPr>
            <w:tcW w:w="2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156,018</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496,471</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(2,478)</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10,529</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52,052</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62,581</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439,043</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(1,350)</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463,886</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902,929</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(9,233)</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443,459</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(1,365)</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514,291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(8,037)</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957,750</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(9,402)</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Available-for-Sales: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4"/>
        </w:trPr>
        <w:tc>
          <w:tcPr>
            <w:tcW w:w="40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and Government Agencies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157,058</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173,763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330,821</w:t>
            </w:r>
          </w:p>
        </w:tc>
        <w:tc>
          <w:tcPr>
            <w:tcW w:w="4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w:t>
            </w: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auto"/>
              </w:rPr>
              <w:t>and Political Subdivisions</w:t>
            </w:r>
          </w:p>
        </w:tc>
        <w:tc>
          <w:tcPr>
            <w:tcW w:w="220" w:type="dxa"/>
            <w:vAlign w:val="bottom"/>
          </w:tcPr>
          <w:p>
            <w:pPr>
              <w:spacing w:after="0"/>
              <w:rPr>
                <w:sz w:val="16"/>
                <w:szCs w:val="16"/>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38,138</w:t>
            </w:r>
          </w:p>
        </w:tc>
        <w:tc>
          <w:tcPr>
            <w:tcW w:w="28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156,772</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194,910</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59,770</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163,371</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223,141</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6,299</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19,011</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25,310</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473,380</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473,380</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(12,563)</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59,380</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59,380</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6,299</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551,771</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558,070</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(17,976)</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261,265</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(1,264)</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1,045,677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1,306,942</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(23,441)</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40"/>
              <w:spacing w:after="0"/>
              <w:rPr>
                <w:sz w:val="20"/>
                <w:szCs w:val="20"/>
                <w:color w:val="auto"/>
              </w:rPr>
            </w:pPr>
            <w:r>
              <w:rPr>
                <w:rFonts w:ascii="Arial" w:cs="Arial" w:eastAsia="Arial" w:hAnsi="Arial"/>
                <w:sz w:val="14"/>
                <w:szCs w:val="14"/>
                <w:color w:val="auto"/>
              </w:rPr>
              <w:t>and Government Agencies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99,440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134,239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233,679</w:t>
            </w:r>
          </w:p>
        </w:tc>
        <w:tc>
          <w:tcPr>
            <w:tcW w:w="4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(1,093)</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95,511</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95,511</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12,974</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1,491,747</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1,504,721</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(51,773)</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617,000</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617,000</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(20,259)</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19,217</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145,715</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(5,116)</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164,932</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32,191</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2,254,462</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(77,103)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2,286,653</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(77,209)</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131,631</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2,484,212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(79,714)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2,615,843</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(80,057)</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does not believe that the investment securities that were in an unrealized loss position as of December 31, 2019, which were comprised of 254 securities, represent an other-than-temporary impairment. Total gross unrealized losses were primarily attributable to changes in interest rates, relative to when the investment securities were purchased, and not due to the credit quality of the investment securities. As of December 31, 2019,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bases, which may be at maturity.</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income from taxable and non-taxable investment securities for the years ended December 31, 2019, December 31, 2018, and December 31, 2017, were as follows:</w:t>
      </w:r>
    </w:p>
    <w:p>
      <w:pPr>
        <w:spacing w:after="0" w:line="130"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2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137,204</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115,947</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108,787</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2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6,586</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18,515</w:t>
            </w: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19,725</w:t>
            </w:r>
          </w:p>
        </w:tc>
      </w:tr>
      <w:tr>
        <w:trPr>
          <w:trHeight w:val="33"/>
        </w:trPr>
        <w:tc>
          <w:tcPr>
            <w:tcW w:w="54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Interest Income from Investment Securities</w:t>
            </w:r>
          </w:p>
        </w:tc>
        <w:tc>
          <w:tcPr>
            <w:tcW w:w="2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143,790</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134,462</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128,512</w:t>
            </w:r>
          </w:p>
        </w:tc>
      </w:tr>
      <w:tr>
        <w:trPr>
          <w:trHeight w:val="20"/>
        </w:trPr>
        <w:tc>
          <w:tcPr>
            <w:tcW w:w="54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December 31, 2018, the carrying value of the Company’s Federal Home Loan Bank of Des Moines (“FHLB Des Moines”)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and Federal Reserve Bank stock was as follows:</w:t>
      </w:r>
    </w:p>
    <w:p>
      <w:pPr>
        <w:spacing w:after="0" w:line="171"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6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13,000</w:t>
            </w:r>
          </w:p>
        </w:tc>
        <w:tc>
          <w:tcPr>
            <w:tcW w:w="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6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21,093</w:t>
            </w:r>
          </w:p>
        </w:tc>
        <w:tc>
          <w:tcPr>
            <w:tcW w:w="5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20,858</w:t>
            </w:r>
          </w:p>
        </w:tc>
      </w:tr>
      <w:tr>
        <w:trPr>
          <w:trHeight w:val="33"/>
        </w:trPr>
        <w:tc>
          <w:tcPr>
            <w:tcW w:w="54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34,093</w:t>
            </w:r>
          </w:p>
        </w:tc>
        <w:tc>
          <w:tcPr>
            <w:tcW w:w="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35,858</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These securities can only be redeemed or sold at their par value and only to the respective issuing government-supported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is indemnified by Visa members, including the Company. Visa funded an escrow account from its initial public offering to settle these litigation claims. Should this escrow account not be sufficient to cover these litigation claims, Visa is entitled to fund additional amounts to the escrow account by reducing each member bank’s Class B conversion ratio to unrestricted Class A shares. As of December 31, 2019, the conversion ratio was 1.6228. See Note 17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occasionally sells these Visa Class B shares to other financial institutions. Concurrent with every sale the Company enters into an agreement with the buyer that requires payment to the buyer in the event Visa further reduces the conversion ratio. Based on the existing transfer restriction and the uncertainty of the outcome of the Visa litigation mentioned above, the remaining 80,214 Class B shares (130,171 Class A equivalents) that the Company owns as of December 31, 2019, are carried at a zero cost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December 31, 2019, and December 31, 2018:</w:t>
      </w:r>
    </w:p>
    <w:p>
      <w:pPr>
        <w:spacing w:after="0" w:line="185"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37465</wp:posOffset>
            </wp:positionV>
            <wp:extent cx="1878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5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1,379,152</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2,518,051</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5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194,170</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5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122,454</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4,213,827</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5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5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3,891,100</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1,676,073</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5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720,286</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489,606</w:t>
            </w: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5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6,777,065</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5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10,990,892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00" w:hanging="92"/>
        <w:spacing w:after="0"/>
        <w:tabs>
          <w:tab w:leader="none" w:pos="10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Comprised of other revolving credit, installment, and lease financing.</w:t>
      </w:r>
    </w:p>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Total loans and leases were reported net of unearned fee of $1.3 million and income of $15.1 million as of December 31, 2019 and December 31, 2018, respectively.</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Commercial loans and residential mortgage loans of $1.0 billion were pledged to secure an undrawn FRB line of credit as of December 31, 2019, and December 31, 2018.</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As of December 31, 2019, and December 31, 2018, residential mortgage loans of $3.1 billion and $2.9 billion, were pledged under a blanket pledge arrangement to secure FHLB advances, respectively. See Note 10 </w:t>
      </w:r>
      <w:r>
        <w:rPr>
          <w:rFonts w:ascii="Arial" w:cs="Arial" w:eastAsia="Arial" w:hAnsi="Arial"/>
          <w:sz w:val="18"/>
          <w:szCs w:val="18"/>
          <w:i w:val="1"/>
          <w:iCs w:val="1"/>
          <w:color w:val="auto"/>
        </w:rPr>
        <w:t>Other Debt</w:t>
      </w:r>
      <w:r>
        <w:rPr>
          <w:rFonts w:ascii="Arial" w:cs="Arial" w:eastAsia="Arial" w:hAnsi="Arial"/>
          <w:sz w:val="18"/>
          <w:szCs w:val="18"/>
          <w:color w:val="auto"/>
        </w:rPr>
        <w:t xml:space="preserve"> for FHLB advances outstanding as of December 31, 2019, and December 31, 2018.</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$5.3 million, $1.5 million, and $4.9 million for the years ended December 31, 2019, December 31, 2018, and December 31, 2017, respectively. Net gains on sales of commercial loans were not material for the years ended December 31, 2019, December 31, 2018, and December 31, 2017.</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Substantially all of the Company’s lending activity is with customers located in Hawaii. A substantial portion of the Company’s real estate loans are secured by real estate in Hawaii.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6" w:name="page87"/>
    <w:bookmarkEnd w:id="86"/>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following presents by portfolio segment, the activity in the Allowance for the years ended December 31, 2019, December 31, 2018, and December 31, 2017. The following also presents by portfolio segment, the balance in the Allowance disaggregated on the basis of the Company’s impairment measurement method and the related recorded investment in loans and leases as of December 31, 2019, December 31, 2018, and December 31,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Consumer</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2019</w:t>
            </w: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Balance at Beginning of Period</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66,874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39,819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106,693</w:t>
            </w:r>
          </w:p>
        </w:tc>
      </w:tr>
      <w:tr>
        <w:trPr>
          <w:trHeight w:val="237"/>
        </w:trPr>
        <w:tc>
          <w:tcPr>
            <w:tcW w:w="5880" w:type="dxa"/>
            <w:vAlign w:val="bottom"/>
          </w:tcPr>
          <w:p>
            <w:pPr>
              <w:ind w:left="720"/>
              <w:spacing w:after="0"/>
              <w:rPr>
                <w:sz w:val="20"/>
                <w:szCs w:val="20"/>
                <w:color w:val="auto"/>
              </w:rPr>
            </w:pPr>
            <w:r>
              <w:rPr>
                <w:rFonts w:ascii="Arial" w:cs="Arial" w:eastAsia="Arial" w:hAnsi="Arial"/>
                <w:sz w:val="16"/>
                <w:szCs w:val="16"/>
                <w:color w:val="auto"/>
              </w:rPr>
              <w:t>Loans and Leases Charged-Off</w:t>
            </w:r>
          </w:p>
        </w:tc>
        <w:tc>
          <w:tcPr>
            <w:tcW w:w="17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(2,738)</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(21,217)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(23,955)</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 on Loans and Leases Previously Charged-Off</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1,513</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9,776</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11,289</w:t>
            </w:r>
          </w:p>
        </w:tc>
      </w:tr>
      <w:tr>
        <w:trPr>
          <w:trHeight w:val="231"/>
        </w:trPr>
        <w:tc>
          <w:tcPr>
            <w:tcW w:w="5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Net Loans and Leases Recovered (Charged-Off)</w:t>
            </w:r>
          </w:p>
        </w:tc>
        <w:tc>
          <w:tcPr>
            <w:tcW w:w="1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(1,225)</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(11,441)</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(12,666)</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Credit Losses</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8,152</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7,848</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16,000</w:t>
            </w:r>
          </w:p>
        </w:tc>
      </w:tr>
      <w:tr>
        <w:trPr>
          <w:trHeight w:val="231"/>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73,801</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36,226</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110,027</w:t>
            </w:r>
          </w:p>
        </w:tc>
      </w:tr>
      <w:tr>
        <w:trPr>
          <w:trHeight w:val="73"/>
        </w:trPr>
        <w:tc>
          <w:tcPr>
            <w:tcW w:w="58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1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2,657</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3,246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5,903</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71,144</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32,980</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104,124</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73,801</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36,226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110,027</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Recorded Investment in Loans and Leases:</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35,442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39,760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75,202</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4,178,385</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6,737,305</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10,915,690</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4,213,827</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6,777,065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10,990,892</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2018</w:t>
            </w: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Balance at Beginning of Period</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65,822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41,524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37"/>
        </w:trPr>
        <w:tc>
          <w:tcPr>
            <w:tcW w:w="5880" w:type="dxa"/>
            <w:vAlign w:val="bottom"/>
          </w:tcPr>
          <w:p>
            <w:pPr>
              <w:ind w:left="720"/>
              <w:spacing w:after="0"/>
              <w:rPr>
                <w:sz w:val="20"/>
                <w:szCs w:val="20"/>
                <w:color w:val="auto"/>
              </w:rPr>
            </w:pPr>
            <w:r>
              <w:rPr>
                <w:rFonts w:ascii="Arial" w:cs="Arial" w:eastAsia="Arial" w:hAnsi="Arial"/>
                <w:sz w:val="16"/>
                <w:szCs w:val="16"/>
                <w:color w:val="auto"/>
              </w:rPr>
              <w:t>Loans and Leases Charged-Off</w:t>
            </w:r>
          </w:p>
        </w:tc>
        <w:tc>
          <w:tcPr>
            <w:tcW w:w="17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(1,505)</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(23,059)</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(24,564)</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 on Loans and Leases Previously Charged-Off</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2,039</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8,447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10,486</w:t>
            </w:r>
          </w:p>
        </w:tc>
      </w:tr>
      <w:tr>
        <w:trPr>
          <w:trHeight w:val="231"/>
        </w:trPr>
        <w:tc>
          <w:tcPr>
            <w:tcW w:w="5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Net Loans and Leases Recovered (Charged-Off)</w:t>
            </w:r>
          </w:p>
        </w:tc>
        <w:tc>
          <w:tcPr>
            <w:tcW w:w="1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534</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(14,612)</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(14,078)</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Credit Losses</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518</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12,907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13,425</w:t>
            </w:r>
          </w:p>
        </w:tc>
      </w:tr>
      <w:tr>
        <w:trPr>
          <w:trHeight w:val="231"/>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66,874</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39,819</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106,693</w:t>
            </w:r>
          </w:p>
        </w:tc>
      </w:tr>
      <w:tr>
        <w:trPr>
          <w:trHeight w:val="73"/>
        </w:trPr>
        <w:tc>
          <w:tcPr>
            <w:tcW w:w="58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3,754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66,652</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36,065</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102,717</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66,874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39,819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106,693</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Recorded Investment in Loans and Leases:</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12,298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42,327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54,625</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3,967,494</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6,426,655</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10,394,149</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3,979,792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6,468,982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2017</w:t>
            </w: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Balance at Beginning of Period</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65,680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38,593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104,273</w:t>
            </w:r>
          </w:p>
        </w:tc>
      </w:tr>
      <w:tr>
        <w:trPr>
          <w:trHeight w:val="237"/>
        </w:trPr>
        <w:tc>
          <w:tcPr>
            <w:tcW w:w="5880" w:type="dxa"/>
            <w:vAlign w:val="bottom"/>
          </w:tcPr>
          <w:p>
            <w:pPr>
              <w:ind w:left="720"/>
              <w:spacing w:after="0"/>
              <w:rPr>
                <w:sz w:val="20"/>
                <w:szCs w:val="20"/>
                <w:color w:val="auto"/>
              </w:rPr>
            </w:pPr>
            <w:r>
              <w:rPr>
                <w:rFonts w:ascii="Arial" w:cs="Arial" w:eastAsia="Arial" w:hAnsi="Arial"/>
                <w:sz w:val="16"/>
                <w:szCs w:val="16"/>
                <w:color w:val="auto"/>
              </w:rPr>
              <w:t>Loans and Leases Charged-Off</w:t>
            </w:r>
          </w:p>
        </w:tc>
        <w:tc>
          <w:tcPr>
            <w:tcW w:w="17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(21,847)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(23,255)</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 on Loans and Leases Previously Charged-Off</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7,943</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9,428</w:t>
            </w:r>
          </w:p>
        </w:tc>
      </w:tr>
      <w:tr>
        <w:trPr>
          <w:trHeight w:val="231"/>
        </w:trPr>
        <w:tc>
          <w:tcPr>
            <w:tcW w:w="5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Net Loans and Leases Recovered (Charged-Off)</w:t>
            </w:r>
          </w:p>
        </w:tc>
        <w:tc>
          <w:tcPr>
            <w:tcW w:w="1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77</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(13,904)</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(13,827)</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Credit Losses</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16,835</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16,900</w:t>
            </w:r>
          </w:p>
        </w:tc>
      </w:tr>
      <w:tr>
        <w:trPr>
          <w:trHeight w:val="231"/>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65,822</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41,524</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107,346</w:t>
            </w:r>
          </w:p>
        </w:tc>
      </w:tr>
      <w:tr>
        <w:trPr>
          <w:trHeight w:val="73"/>
        </w:trPr>
        <w:tc>
          <w:tcPr>
            <w:tcW w:w="58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65,681</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37,749</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103,430</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65,822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41,524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Recorded Investment in Loans and Leases:</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20,216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41,002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61,218</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3,746,282</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5,989,447</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9,735,729</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91"/>
        </w:trPr>
        <w:tc>
          <w:tcPr>
            <w:tcW w:w="5880" w:type="dxa"/>
            <w:vAlign w:val="bottom"/>
            <w:shd w:val="clear" w:color="auto" w:fill="CCEEFF"/>
          </w:tcPr>
          <w:p>
            <w:pPr>
              <w:spacing w:after="0"/>
              <w:rPr>
                <w:sz w:val="7"/>
                <w:szCs w:val="7"/>
                <w:color w:val="auto"/>
              </w:rPr>
            </w:pPr>
          </w:p>
        </w:tc>
        <w:tc>
          <w:tcPr>
            <w:tcW w:w="17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125" w:right="239" w:bottom="0" w:gutter="0" w:footer="0" w:header="0"/>
        </w:sectPr>
      </w:pPr>
    </w:p>
    <w:bookmarkStart w:id="87" w:name="page88"/>
    <w:bookmarkEnd w:id="87"/>
    <w:p>
      <w:pPr>
        <w:spacing w:after="0"/>
        <w:tabs>
          <w:tab w:leader="none" w:pos="6820" w:val="left"/>
          <w:tab w:leader="none" w:pos="7420" w:val="left"/>
          <w:tab w:leader="none" w:pos="8340" w:val="left"/>
          <w:tab w:leader="none" w:pos="8800" w:val="left"/>
          <w:tab w:leader="none" w:pos="9680" w:val="left"/>
          <w:tab w:leader="none" w:pos="1014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3,766,498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6,030,449</w:t>
        <w:tab/>
        <w:t>$</w:t>
      </w:r>
      <w:r>
        <w:rPr>
          <w:sz w:val="20"/>
          <w:szCs w:val="20"/>
          <w:color w:val="auto"/>
        </w:rPr>
        <w:tab/>
      </w:r>
      <w:r>
        <w:rPr>
          <w:rFonts w:ascii="Arial" w:cs="Arial" w:eastAsia="Arial" w:hAnsi="Arial"/>
          <w:sz w:val="14"/>
          <w:szCs w:val="14"/>
          <w:color w:val="auto"/>
        </w:rPr>
        <w:t>9,796,947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-109855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820"/>
          </w:cols>
          <w:pgMar w:left="740" w:top="130"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25" w:right="25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47" w:lineRule="exact"/>
        <w:rPr>
          <w:sz w:val="20"/>
          <w:szCs w:val="20"/>
          <w:color w:val="auto"/>
        </w:rPr>
      </w:pPr>
    </w:p>
    <w:p>
      <w:pPr>
        <w:sectPr>
          <w:pgSz w:w="11900" w:h="16838" w:orient="portrait"/>
          <w:cols w:equalWidth="0" w:num="2">
            <w:col w:w="1080" w:space="720"/>
            <w:col w:w="9600"/>
          </w:cols>
          <w:pgMar w:left="240" w:top="125" w:right="2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jc w:val="both"/>
        <w:ind w:right="680"/>
        <w:spacing w:after="0" w:line="312" w:lineRule="auto"/>
        <w:rPr>
          <w:sz w:val="20"/>
          <w:szCs w:val="20"/>
          <w:color w:val="auto"/>
        </w:rPr>
      </w:pPr>
      <w:r>
        <w:rPr>
          <w:rFonts w:ascii="Arial" w:cs="Arial" w:eastAsia="Arial" w:hAnsi="Arial"/>
          <w:sz w:val="16"/>
          <w:szCs w:val="16"/>
          <w:color w:val="auto"/>
        </w:rPr>
        <w:t>Loans and leases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47" w:lineRule="exact"/>
        <w:rPr>
          <w:sz w:val="20"/>
          <w:szCs w:val="20"/>
          <w:color w:val="auto"/>
        </w:rPr>
      </w:pPr>
    </w:p>
    <w:p>
      <w:pPr>
        <w:sectPr>
          <w:pgSz w:w="11900" w:h="16838" w:orient="portrait"/>
          <w:cols w:equalWidth="0" w:num="2">
            <w:col w:w="1560" w:space="240"/>
            <w:col w:w="9600"/>
          </w:cols>
          <w:pgMar w:left="240" w:top="125" w:right="2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100" w:space="700"/>
            <w:col w:w="9600"/>
          </w:cols>
          <w:pgMar w:left="240" w:top="125" w:right="259" w:bottom="1440" w:gutter="0" w:footer="0" w:header="0"/>
          <w:type w:val="continuous"/>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0"/>
          </w:cols>
          <w:pgMar w:left="240" w:top="125" w:right="25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December 31, 2019, and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4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Industrial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Construction</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Financing</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1,306,040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2,463,858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188,832</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120,933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4,079,663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37,722</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16,453</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4,148</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58,323</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35,390</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37,740</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1,190</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75,841</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1,379,152</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2,518,051</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194,170</w:t>
            </w:r>
          </w:p>
        </w:tc>
        <w:tc>
          <w:tcPr>
            <w:tcW w:w="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122,454</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4,213,827</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7"/>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Residential</w:t>
            </w:r>
          </w:p>
        </w:tc>
        <w:tc>
          <w:tcPr>
            <w:tcW w:w="400" w:type="dxa"/>
            <w:vAlign w:val="bottom"/>
          </w:tcPr>
          <w:p>
            <w:pPr>
              <w:spacing w:after="0"/>
              <w:rPr>
                <w:sz w:val="24"/>
                <w:szCs w:val="24"/>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Home</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4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Automobile</w:t>
            </w: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3,886,389</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1,671,468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719,337</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488,113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6,765,307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4,711</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4,605</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949</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1,493</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11,758</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3,891,100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1,676,073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720,286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489,606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6,777,065</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Total Recorded Investment in Loans and Leases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10,990,892</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69"/>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December 31, 2018</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4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Industrial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Construction</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Financing</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1,302,278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2,256,128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168,740</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175,223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3,902,369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17,688</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30,468</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48,161</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11,183</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15,760</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1,321</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29,262</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1,331,149</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2,302,356</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170,061</w:t>
            </w:r>
          </w:p>
        </w:tc>
        <w:tc>
          <w:tcPr>
            <w:tcW w:w="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176,226</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7"/>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Residential</w:t>
            </w:r>
          </w:p>
        </w:tc>
        <w:tc>
          <w:tcPr>
            <w:tcW w:w="400" w:type="dxa"/>
            <w:vAlign w:val="bottom"/>
          </w:tcPr>
          <w:p>
            <w:pPr>
              <w:spacing w:after="0"/>
              <w:rPr>
                <w:sz w:val="24"/>
                <w:szCs w:val="24"/>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Home</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4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Automobile</w:t>
            </w: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3,668,475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1,677,193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657,620</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454,697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6,457,985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5,321</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4,249</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513</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10,997</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3,673,796</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1,681,442</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658,133</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455,611</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6,468,982</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Total Recorded Investment in Loans and Leases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10,448,774</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class, an aging analysis of the Company’s loan and lease portfolio as of December 31, 2019, and December 31, 2018.</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60 - 89</w:t>
            </w:r>
          </w:p>
        </w:tc>
        <w:tc>
          <w:tcPr>
            <w:tcW w:w="28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3"/>
              </w:rPr>
              <w:t>Past Due</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4"/>
        </w:trPr>
        <w:tc>
          <w:tcPr>
            <w:tcW w:w="21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620" w:type="dxa"/>
            <w:vAlign w:val="bottom"/>
          </w:tcPr>
          <w:p>
            <w:pPr>
              <w:spacing w:after="0"/>
              <w:rPr>
                <w:sz w:val="12"/>
                <w:szCs w:val="12"/>
                <w:color w:val="auto"/>
              </w:rPr>
            </w:pPr>
          </w:p>
        </w:tc>
        <w:tc>
          <w:tcPr>
            <w:tcW w:w="740" w:type="dxa"/>
            <w:vAlign w:val="bottom"/>
          </w:tcPr>
          <w:p>
            <w:pPr>
              <w:jc w:val="right"/>
              <w:ind w:right="112"/>
              <w:spacing w:after="0" w:line="144"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40" w:type="dxa"/>
            <w:vAlign w:val="bottom"/>
          </w:tcPr>
          <w:p>
            <w:pPr>
              <w:jc w:val="right"/>
              <w:ind w:right="112"/>
              <w:spacing w:after="0" w:line="144" w:lineRule="exact"/>
              <w:rPr>
                <w:sz w:val="20"/>
                <w:szCs w:val="20"/>
                <w:color w:val="auto"/>
              </w:rPr>
            </w:pPr>
            <w:r>
              <w:rPr>
                <w:rFonts w:ascii="Arial" w:cs="Arial" w:eastAsia="Arial" w:hAnsi="Arial"/>
                <w:sz w:val="14"/>
                <w:szCs w:val="14"/>
                <w:b w:val="1"/>
                <w:bCs w:val="1"/>
                <w:color w:val="auto"/>
              </w:rPr>
              <w:t>Days</w:t>
            </w:r>
          </w:p>
        </w:tc>
        <w:tc>
          <w:tcPr>
            <w:tcW w:w="28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b w:val="1"/>
                <w:bCs w:val="1"/>
                <w:color w:val="auto"/>
              </w:rPr>
              <w:t>90 Days</w:t>
            </w:r>
          </w:p>
        </w:tc>
        <w:tc>
          <w:tcPr>
            <w:tcW w:w="260" w:type="dxa"/>
            <w:vAlign w:val="bottom"/>
          </w:tcPr>
          <w:p>
            <w:pPr>
              <w:spacing w:after="0"/>
              <w:rPr>
                <w:sz w:val="12"/>
                <w:szCs w:val="12"/>
                <w:color w:val="auto"/>
              </w:rPr>
            </w:pPr>
          </w:p>
        </w:tc>
        <w:tc>
          <w:tcPr>
            <w:tcW w:w="640" w:type="dxa"/>
            <w:vAlign w:val="bottom"/>
          </w:tcPr>
          <w:p>
            <w:pPr>
              <w:jc w:val="right"/>
              <w:ind w:right="92"/>
              <w:spacing w:after="0" w:line="144"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980" w:type="dxa"/>
            <w:vAlign w:val="bottom"/>
          </w:tcPr>
          <w:p>
            <w:pPr>
              <w:jc w:val="right"/>
              <w:ind w:right="92"/>
              <w:spacing w:after="0" w:line="144" w:lineRule="exact"/>
              <w:rPr>
                <w:sz w:val="20"/>
                <w:szCs w:val="20"/>
                <w:color w:val="auto"/>
              </w:rPr>
            </w:pPr>
            <w:r>
              <w:rPr>
                <w:rFonts w:ascii="Arial" w:cs="Arial" w:eastAsia="Arial" w:hAnsi="Arial"/>
                <w:sz w:val="14"/>
                <w:szCs w:val="14"/>
                <w:b w:val="1"/>
                <w:bCs w:val="1"/>
                <w:color w:val="auto"/>
                <w:w w:val="90"/>
              </w:rPr>
              <w:t>Past Due and</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92"/>
              <w:spacing w:after="0" w:line="144" w:lineRule="exact"/>
              <w:rPr>
                <w:sz w:val="20"/>
                <w:szCs w:val="20"/>
                <w:color w:val="auto"/>
              </w:rPr>
            </w:pPr>
            <w:r>
              <w:rPr>
                <w:rFonts w:ascii="Arial" w:cs="Arial" w:eastAsia="Arial" w:hAnsi="Arial"/>
                <w:sz w:val="14"/>
                <w:szCs w:val="14"/>
                <w:b w:val="1"/>
                <w:bCs w:val="1"/>
                <w:color w:val="auto"/>
                <w:w w:val="96"/>
              </w:rPr>
              <w:t>Total Loans</w:t>
            </w:r>
          </w:p>
        </w:tc>
        <w:tc>
          <w:tcPr>
            <w:tcW w:w="26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3"/>
        </w:trPr>
        <w:tc>
          <w:tcPr>
            <w:tcW w:w="21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Past Due</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Past Due</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or More</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7"/>
              </w:rPr>
              <w:t>Accrual</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Non-Accrual</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and Leases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
              <w:spacing w:after="0" w:line="193" w:lineRule="exact"/>
              <w:rPr>
                <w:sz w:val="20"/>
                <w:szCs w:val="20"/>
                <w:color w:val="auto"/>
              </w:rPr>
            </w:pPr>
            <w:r>
              <w:rPr>
                <w:rFonts w:ascii="Arial" w:cs="Arial" w:eastAsia="Arial" w:hAnsi="Arial"/>
                <w:sz w:val="14"/>
                <w:szCs w:val="14"/>
                <w:b w:val="1"/>
                <w:bCs w:val="1"/>
                <w:color w:val="auto"/>
                <w:w w:val="93"/>
              </w:rPr>
              <w:t xml:space="preserve">are Current </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6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Commercial and Industrial</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12,534</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148</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830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13,512</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1,365,640</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1,379,152</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Commercial Mortgage</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2,998</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9,244</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12,242</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2,505,809</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2,518,051</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9,244</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Construction</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101</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51</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152</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194,018</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194,170</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Lease Financing</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720</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720</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121,734</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122,454</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Commercial</w:t>
            </w:r>
          </w:p>
        </w:tc>
        <w:tc>
          <w:tcPr>
            <w:tcW w:w="6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16,353</w:t>
            </w: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199</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10,074</w:t>
            </w: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26,626</w:t>
            </w:r>
          </w:p>
        </w:tc>
        <w:tc>
          <w:tcPr>
            <w:tcW w:w="2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4,187,201</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4,213,827</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9,665</w:t>
            </w:r>
          </w:p>
        </w:tc>
        <w:tc>
          <w:tcPr>
            <w:tcW w:w="0" w:type="dxa"/>
            <w:vAlign w:val="bottom"/>
          </w:tcPr>
          <w:p>
            <w:pPr>
              <w:spacing w:after="0"/>
              <w:rPr>
                <w:sz w:val="1"/>
                <w:szCs w:val="1"/>
                <w:color w:val="auto"/>
              </w:rPr>
            </w:pPr>
          </w:p>
        </w:tc>
      </w:tr>
      <w:tr>
        <w:trPr>
          <w:trHeight w:val="263"/>
        </w:trPr>
        <w:tc>
          <w:tcPr>
            <w:tcW w:w="2160" w:type="dxa"/>
            <w:vAlign w:val="bottom"/>
          </w:tcPr>
          <w:p>
            <w:pPr>
              <w:ind w:left="20"/>
              <w:spacing w:after="0"/>
              <w:rPr>
                <w:sz w:val="20"/>
                <w:szCs w:val="20"/>
                <w:color w:val="auto"/>
              </w:rPr>
            </w:pPr>
            <w:r>
              <w:rPr>
                <w:rFonts w:ascii="Arial" w:cs="Arial" w:eastAsia="Arial" w:hAnsi="Arial"/>
                <w:sz w:val="14"/>
                <w:szCs w:val="14"/>
                <w:color w:val="auto"/>
              </w:rPr>
              <w:t>Consumer</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Residential Mortgage</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6,097</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2,070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1,839</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4,125</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14,131</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3,876,969</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3,891,100</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Home Equity</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3,949</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2,280</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4,125</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3,181</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13,535</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1,662,538</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1,676,073</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Automobile</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16,067</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4,154</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949</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21,170</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699,116</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720,286</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1</w:t>
            </w:r>
          </w:p>
        </w:tc>
        <w:tc>
          <w:tcPr>
            <w:tcW w:w="6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3,498</w:t>
            </w: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2,074</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1,493</w:t>
            </w: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7,065</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482,541</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489,606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Consumer</w:t>
            </w:r>
          </w:p>
        </w:tc>
        <w:tc>
          <w:tcPr>
            <w:tcW w:w="6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29,611</w:t>
            </w: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10,578</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8,406</w:t>
            </w: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7,306</w:t>
            </w: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55,901</w:t>
            </w:r>
          </w:p>
        </w:tc>
        <w:tc>
          <w:tcPr>
            <w:tcW w:w="2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6,721,164</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6,777,065</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304"/>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45,964</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10,777</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8,406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17,380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82,527</w:t>
            </w: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6"/>
              </w:rPr>
              <w:t>10,908,365</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10,990,892</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11,506</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Commercial and Industrial</w:t>
            </w: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3,653</w:t>
            </w:r>
          </w:p>
        </w:tc>
        <w:tc>
          <w:tcPr>
            <w:tcW w:w="3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118</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542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4,323</w:t>
            </w: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1,326,826</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1,331,149</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Commercial Mortgage</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561</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2,040</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2,601</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2,299,755</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2,302,356</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Construction</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170,061</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170,061</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21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Lease Financing</w:t>
            </w:r>
          </w:p>
        </w:tc>
        <w:tc>
          <w:tcPr>
            <w:tcW w:w="6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176,226</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176,226</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Commercial</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4,214</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118</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2,582</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6,924</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3,972,868</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3,979,792</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2,555</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w:t>
            </w:r>
          </w:p>
        </w:tc>
        <w:tc>
          <w:tcPr>
            <w:tcW w:w="6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5,319</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638</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2,446</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5,321</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13,724</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3,660,072</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3,673,796</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Home Equity</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3,323</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1,581</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2,684</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3,671</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11,259</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1,670,183</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1,681,442</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64"/>
        </w:trPr>
        <w:tc>
          <w:tcPr>
            <w:tcW w:w="2160" w:type="dxa"/>
            <w:vAlign w:val="bottom"/>
          </w:tcPr>
          <w:p>
            <w:pPr>
              <w:ind w:left="260"/>
              <w:spacing w:after="0"/>
              <w:rPr>
                <w:sz w:val="20"/>
                <w:szCs w:val="20"/>
                <w:color w:val="auto"/>
              </w:rPr>
            </w:pPr>
            <w:r>
              <w:rPr>
                <w:rFonts w:ascii="Arial" w:cs="Arial" w:eastAsia="Arial" w:hAnsi="Arial"/>
                <w:sz w:val="14"/>
                <w:szCs w:val="14"/>
                <w:color w:val="auto"/>
              </w:rPr>
              <w:t>Automobile</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12,372</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2,240</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513</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15,125</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643,008</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658,133</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1</w:t>
            </w:r>
          </w:p>
        </w:tc>
        <w:tc>
          <w:tcPr>
            <w:tcW w:w="6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2,913</w:t>
            </w:r>
          </w:p>
        </w:tc>
        <w:tc>
          <w:tcPr>
            <w:tcW w:w="3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1,245</w:t>
            </w:r>
          </w:p>
        </w:tc>
        <w:tc>
          <w:tcPr>
            <w:tcW w:w="2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914</w:t>
            </w:r>
          </w:p>
        </w:tc>
        <w:tc>
          <w:tcPr>
            <w:tcW w:w="2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5,072</w:t>
            </w:r>
          </w:p>
        </w:tc>
        <w:tc>
          <w:tcPr>
            <w:tcW w:w="2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450,539</w:t>
            </w: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455,611</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Consumer</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23,927</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5,704</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6,557</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8,992</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45,180</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6,423,802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6,468,982</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263"/>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28,141</w:t>
            </w: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5,822</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6,567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11,574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52,104</w:t>
            </w:r>
          </w:p>
        </w:tc>
        <w:tc>
          <w:tcPr>
            <w:tcW w:w="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10,396,670</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10,448,774</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80" w:hanging="72"/>
        <w:spacing w:after="0"/>
        <w:tabs>
          <w:tab w:leader="none" w:pos="80" w:val="left"/>
        </w:tabs>
        <w:numPr>
          <w:ilvl w:val="0"/>
          <w:numId w:val="41"/>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8" w:lineRule="exact"/>
        <w:rPr>
          <w:sz w:val="20"/>
          <w:szCs w:val="20"/>
          <w:color w:val="auto"/>
        </w:rPr>
      </w:pPr>
    </w:p>
    <w:p>
      <w:pPr>
        <w:ind w:left="80" w:hanging="72"/>
        <w:spacing w:after="0"/>
        <w:tabs>
          <w:tab w:leader="none" w:pos="80" w:val="left"/>
        </w:tabs>
        <w:numPr>
          <w:ilvl w:val="0"/>
          <w:numId w:val="42"/>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91" w:name="page92"/>
    <w:bookmarkEnd w:id="9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December 31, 2019, and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r>
      <w:tr>
        <w:trPr>
          <w:trHeight w:val="203"/>
        </w:trPr>
        <w:tc>
          <w:tcPr>
            <w:tcW w:w="5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4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Allowance for</w:t>
            </w:r>
          </w:p>
        </w:tc>
      </w:tr>
      <w:tr>
        <w:trPr>
          <w:trHeight w:val="237"/>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3,334</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3,334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10,658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15,774</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1,190</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1,190</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15,182</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20,298</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15,182</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20,298</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73"/>
        </w:trPr>
        <w:tc>
          <w:tcPr>
            <w:tcW w:w="5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70"/>
        </w:trPr>
        <w:tc>
          <w:tcPr>
            <w:tcW w:w="57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6"/>
                <w:szCs w:val="16"/>
                <w:b w:val="1"/>
                <w:bCs w:val="1"/>
                <w:color w:val="auto"/>
              </w:rPr>
              <w:t>Impaired Loans with an Allowance Recorded:</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18,467</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18,750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2,552</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1,793</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1,793</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20,260</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20,543</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2,657</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17,939</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21,553</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2,631</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17,086</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17,086</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7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1,650</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1,650</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31"/>
        </w:trPr>
        <w:tc>
          <w:tcPr>
            <w:tcW w:w="570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39,760</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43,374</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3,246</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an Allowance Recorded</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60,020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63,917</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5,903</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0"/>
        </w:trPr>
        <w:tc>
          <w:tcPr>
            <w:tcW w:w="5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Impaired Loans:</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35,442</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40,841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2,657</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39,760</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43,374</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3,246</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w:t>
            </w: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75,202</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84,215</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5,903</w:t>
            </w:r>
          </w:p>
        </w:tc>
      </w:tr>
      <w:tr>
        <w:trPr>
          <w:trHeight w:val="73"/>
        </w:trPr>
        <w:tc>
          <w:tcPr>
            <w:tcW w:w="5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70"/>
        </w:trPr>
        <w:tc>
          <w:tcPr>
            <w:tcW w:w="57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4,587</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4,587</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2,712</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6,212</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Construction</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1,321</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1,321</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8,620</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12,120</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8,620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Impaired Loans with an Allowance Recorded:</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1,856</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1,822</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1,822</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3,678</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3,921</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19,753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23,635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3,359</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3,359</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17,117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17,117</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r>
      <w:tr>
        <w:trPr>
          <w:trHeight w:val="270"/>
        </w:trPr>
        <w:tc>
          <w:tcPr>
            <w:tcW w:w="57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7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2,098</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2,098</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42,327</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46,209</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3,754</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 with an Allowance Recorded</w:t>
            </w: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46,005</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50,130</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3,976</w:t>
            </w:r>
          </w:p>
        </w:tc>
      </w:tr>
      <w:tr>
        <w:trPr>
          <w:trHeight w:val="73"/>
        </w:trPr>
        <w:tc>
          <w:tcPr>
            <w:tcW w:w="5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70"/>
        </w:trPr>
        <w:tc>
          <w:tcPr>
            <w:tcW w:w="57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6"/>
                <w:szCs w:val="16"/>
                <w:b w:val="1"/>
                <w:bCs w:val="1"/>
                <w:color w:val="auto"/>
              </w:rPr>
              <w:t>Impaired Loans:</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12,298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16,041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42,327</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46,209</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3,754</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6"/>
        </w:trPr>
        <w:tc>
          <w:tcPr>
            <w:tcW w:w="5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Impaired Loans</w:t>
            </w: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54,625</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62,250</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bl>
    <w:p>
      <w:pPr>
        <w:sectPr>
          <w:pgSz w:w="11900" w:h="16900" w:orient="portrait"/>
          <w:cols w:equalWidth="0" w:num="1">
            <w:col w:w="11420"/>
          </w:cols>
          <w:pgMar w:left="240" w:top="125" w:right="239" w:bottom="0" w:gutter="0" w:footer="0" w:header="0"/>
        </w:sectPr>
      </w:pPr>
    </w:p>
    <w:bookmarkStart w:id="92" w:name="page93"/>
    <w:bookmarkEnd w:id="92"/>
    <w:p>
      <w:pPr>
        <w:ind w:left="80" w:hanging="72"/>
        <w:spacing w:after="0"/>
        <w:tabs>
          <w:tab w:leader="none" w:pos="80" w:val="left"/>
        </w:tabs>
        <w:numPr>
          <w:ilvl w:val="0"/>
          <w:numId w:val="43"/>
        </w:numPr>
        <w:rPr>
          <w:rFonts w:ascii="Arial" w:cs="Arial" w:eastAsia="Arial" w:hAnsi="Arial"/>
          <w:sz w:val="9"/>
          <w:szCs w:val="9"/>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Comprised of other revolving credit and installment financing.</w:t>
      </w:r>
    </w:p>
    <w:p>
      <w:pPr>
        <w:spacing w:after="0" w:line="22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219"/>
          </w:cols>
          <w:pgMar w:left="240" w:top="296" w:right="1440"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years ended December 31, 2019, and December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left="599"/>
              <w:spacing w:after="0"/>
              <w:rPr>
                <w:sz w:val="20"/>
                <w:szCs w:val="20"/>
                <w:color w:val="auto"/>
              </w:rPr>
            </w:pPr>
            <w:r>
              <w:rPr>
                <w:rFonts w:ascii="Arial" w:cs="Arial" w:eastAsia="Arial" w:hAnsi="Arial"/>
                <w:sz w:val="16"/>
                <w:szCs w:val="16"/>
                <w:b w:val="1"/>
                <w:bCs w:val="1"/>
                <w:color w:val="auto"/>
                <w:w w:val="90"/>
              </w:rPr>
              <w:t>Year Ended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December 31, 2019</w:t>
            </w:r>
          </w:p>
        </w:tc>
        <w:tc>
          <w:tcPr>
            <w:tcW w:w="240" w:type="dxa"/>
            <w:vAlign w:val="bottom"/>
          </w:tcPr>
          <w:p>
            <w:pPr>
              <w:spacing w:after="0"/>
              <w:rPr>
                <w:sz w:val="18"/>
                <w:szCs w:val="18"/>
                <w:color w:val="auto"/>
              </w:rPr>
            </w:pPr>
          </w:p>
        </w:tc>
        <w:tc>
          <w:tcPr>
            <w:tcW w:w="236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Average</w:t>
            </w:r>
          </w:p>
        </w:tc>
        <w:tc>
          <w:tcPr>
            <w:tcW w:w="4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Interest</w:t>
            </w:r>
          </w:p>
        </w:tc>
        <w:tc>
          <w:tcPr>
            <w:tcW w:w="2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Average</w:t>
            </w:r>
          </w:p>
        </w:tc>
        <w:tc>
          <w:tcPr>
            <w:tcW w:w="32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Interest</w:t>
            </w:r>
          </w:p>
        </w:tc>
      </w:t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4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Recorded</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Income</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Recognized</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Recognized</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4,447</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r>
      <w:tr>
        <w:trPr>
          <w:trHeight w:val="237"/>
        </w:trPr>
        <w:tc>
          <w:tcPr>
            <w:tcW w:w="606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8,308</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4,642</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Construction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1,243</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31"/>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13,998</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12,344</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539</w:t>
            </w:r>
          </w:p>
        </w:tc>
      </w:tr>
      <w:tr>
        <w:trPr>
          <w:trHeight w:val="33"/>
        </w:trPr>
        <w:tc>
          <w:tcPr>
            <w:tcW w:w="6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13,998</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12,344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w:t>
            </w: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Impaired Loans with an Allowance Recorded: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5,651</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606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3,147</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6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8,798</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31"/>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18,607</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20,324</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w:t>
            </w:r>
          </w:p>
        </w:tc>
      </w:tr>
      <w:tr>
        <w:trPr>
          <w:trHeight w:val="237"/>
        </w:trPr>
        <w:tc>
          <w:tcPr>
            <w:tcW w:w="6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3,272</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2,676</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17,529</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16,190</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1,116</w:t>
            </w:r>
          </w:p>
        </w:tc>
      </w:tr>
      <w:tr>
        <w:trPr>
          <w:trHeight w:val="270"/>
        </w:trPr>
        <w:tc>
          <w:tcPr>
            <w:tcW w:w="60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1,783</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2,624</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w:t>
            </w: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41,191</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41,814</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2,532</w:t>
            </w: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Impaired Loans with an Allowance Recorded</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49,989</w:t>
            </w:r>
          </w:p>
        </w:tc>
        <w:tc>
          <w:tcPr>
            <w:tcW w:w="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2,369</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43,912</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2,657</w:t>
            </w:r>
          </w:p>
        </w:tc>
      </w:tr>
      <w:tr>
        <w:trPr>
          <w:trHeight w:val="73"/>
        </w:trPr>
        <w:tc>
          <w:tcPr>
            <w:tcW w:w="60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Impaired Loans: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22,796</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14,442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41,191</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41,814</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2,532</w:t>
            </w:r>
          </w:p>
        </w:tc>
      </w:tr>
      <w:tr>
        <w:trPr>
          <w:trHeight w:val="33"/>
        </w:trPr>
        <w:tc>
          <w:tcPr>
            <w:tcW w:w="6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63,987</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56,256</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w:t>
            </w: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and installment financing.</w:t>
      </w:r>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For the year ended December 31, 2017, the average recorded investment in impaired loans was $60.4 million and the interest income recognized on impaired loans was $2.8 million. For the years ended December 31, 2019, December 31, 2018, and December 31, 2017, the amount of interest income recognized by the Company within the period that the loans were impaired were primarily related to loans modified in a troubled debt restructuring that were on accrual status. For the years ended December 31, 2019, December 31, 2018, and December 31, 2017, the amount of interest income recognized using a cash-basis method of accounting during the time within that period that the loans were impaired was not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$69.1 million and $54.0 million as of December 31, 2019, and December 31, 2018, respectively. As of December 31, 2019, there were $0.3 million commitments to lend additional funds on loans modified in a TDR. As of December 31, 2018, there were $0.2 million commitments to lend additional funds on loans modified in a TDR.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class, information related to loans modified in a TDR during the years ended December 31, 2019, and December 31, 2018.</w:t>
      </w:r>
    </w:p>
    <w:p>
      <w:pPr>
        <w:sectPr>
          <w:pgSz w:w="11900" w:h="16838" w:orient="portrait"/>
          <w:cols w:equalWidth="0" w:num="1">
            <w:col w:w="11420"/>
          </w:cols>
          <w:pgMar w:left="240" w:top="125" w:right="239" w:bottom="1440" w:gutter="0" w:footer="0" w:header="0"/>
        </w:sectPr>
      </w:pPr>
    </w:p>
    <w:p>
      <w:pPr>
        <w:spacing w:after="0" w:line="183" w:lineRule="exact"/>
        <w:rPr>
          <w:sz w:val="20"/>
          <w:szCs w:val="20"/>
          <w:color w:val="auto"/>
        </w:rPr>
      </w:pPr>
    </w:p>
    <w:p>
      <w:pPr>
        <w:jc w:val="center"/>
        <w:ind w:left="254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jc w:val="center"/>
        <w:ind w:left="2540"/>
        <w:spacing w:after="0"/>
        <w:rPr>
          <w:sz w:val="20"/>
          <w:szCs w:val="20"/>
          <w:color w:val="auto"/>
        </w:rPr>
      </w:pPr>
      <w:r>
        <w:rPr>
          <w:rFonts w:ascii="Arial" w:cs="Arial" w:eastAsia="Arial" w:hAnsi="Arial"/>
          <w:sz w:val="15"/>
          <w:szCs w:val="15"/>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40005</wp:posOffset>
            </wp:positionV>
            <wp:extent cx="2718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92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jc w:val="center"/>
        <w:ind w:right="920"/>
        <w:spacing w:after="0"/>
        <w:rPr>
          <w:sz w:val="20"/>
          <w:szCs w:val="20"/>
          <w:color w:val="auto"/>
        </w:rPr>
      </w:pPr>
      <w:r>
        <w:rPr>
          <w:rFonts w:ascii="Arial" w:cs="Arial" w:eastAsia="Arial" w:hAnsi="Arial"/>
          <w:sz w:val="15"/>
          <w:szCs w:val="15"/>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40005</wp:posOffset>
            </wp:positionV>
            <wp:extent cx="26327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500" w:space="720"/>
            <w:col w:w="32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3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340" w:type="dxa"/>
            <w:vAlign w:val="bottom"/>
          </w:tcPr>
          <w:p>
            <w:pPr>
              <w:jc w:val="right"/>
              <w:ind w:right="8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4"/>
                <w:szCs w:val="14"/>
                <w:color w:val="auto"/>
              </w:rPr>
            </w:pPr>
          </w:p>
        </w:tc>
        <w:tc>
          <w:tcPr>
            <w:tcW w:w="1400" w:type="dxa"/>
            <w:vAlign w:val="bottom"/>
          </w:tcPr>
          <w:p>
            <w:pPr>
              <w:jc w:val="right"/>
              <w:ind w:right="181"/>
              <w:spacing w:after="0"/>
              <w:rPr>
                <w:sz w:val="20"/>
                <w:szCs w:val="20"/>
                <w:color w:val="auto"/>
              </w:rPr>
            </w:pPr>
            <w:r>
              <w:rPr>
                <w:rFonts w:ascii="Arial" w:cs="Arial" w:eastAsia="Arial" w:hAnsi="Arial"/>
                <w:sz w:val="14"/>
                <w:szCs w:val="14"/>
                <w:b w:val="1"/>
                <w:bCs w:val="1"/>
                <w:color w:val="auto"/>
              </w:rPr>
              <w:t>Increase in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300" w:type="dxa"/>
            <w:vAlign w:val="bottom"/>
          </w:tcPr>
          <w:p>
            <w:pPr>
              <w:jc w:val="right"/>
              <w:ind w:right="8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Arial" w:cs="Arial" w:eastAsia="Arial" w:hAnsi="Arial"/>
                <w:sz w:val="14"/>
                <w:szCs w:val="14"/>
                <w:b w:val="1"/>
                <w:bCs w:val="1"/>
                <w:color w:val="auto"/>
              </w:rPr>
              <w:t>Increase in</w:t>
            </w:r>
          </w:p>
        </w:tc>
        <w:tc>
          <w:tcPr>
            <w:tcW w:w="0" w:type="dxa"/>
            <w:vAlign w:val="bottom"/>
          </w:tcPr>
          <w:p>
            <w:pPr>
              <w:spacing w:after="0"/>
              <w:rPr>
                <w:sz w:val="1"/>
                <w:szCs w:val="1"/>
                <w:color w:val="auto"/>
              </w:rPr>
            </w:pPr>
          </w:p>
        </w:tc>
      </w:tr>
      <w:tr>
        <w:trPr>
          <w:trHeight w:val="149"/>
        </w:trPr>
        <w:tc>
          <w:tcPr>
            <w:tcW w:w="260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12"/>
                <w:szCs w:val="12"/>
                <w:color w:val="auto"/>
              </w:rPr>
            </w:pPr>
          </w:p>
        </w:tc>
        <w:tc>
          <w:tcPr>
            <w:tcW w:w="1400" w:type="dxa"/>
            <w:vAlign w:val="bottom"/>
          </w:tcPr>
          <w:p>
            <w:pPr>
              <w:jc w:val="right"/>
              <w:ind w:right="181"/>
              <w:spacing w:after="0" w:line="149" w:lineRule="exact"/>
              <w:rPr>
                <w:sz w:val="20"/>
                <w:szCs w:val="20"/>
                <w:color w:val="auto"/>
              </w:rPr>
            </w:pPr>
            <w:r>
              <w:rPr>
                <w:rFonts w:ascii="Arial" w:cs="Arial" w:eastAsia="Arial" w:hAnsi="Arial"/>
                <w:sz w:val="14"/>
                <w:szCs w:val="14"/>
                <w:b w:val="1"/>
                <w:bCs w:val="1"/>
                <w:color w:val="auto"/>
              </w:rPr>
              <w:t>Allowance</w:t>
            </w: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12"/>
                <w:szCs w:val="12"/>
                <w:color w:val="auto"/>
              </w:rPr>
            </w:pPr>
          </w:p>
        </w:tc>
        <w:tc>
          <w:tcPr>
            <w:tcW w:w="126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Contracts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 xml:space="preserve">(as of period end) </w:t>
            </w:r>
            <w:r>
              <w:rPr>
                <w:rFonts w:ascii="Arial" w:cs="Arial" w:eastAsia="Arial" w:hAnsi="Arial"/>
                <w:sz w:val="8"/>
                <w:szCs w:val="8"/>
                <w:b w:val="1"/>
                <w:bCs w:val="1"/>
                <w:color w:val="auto"/>
                <w:w w:val="95"/>
              </w:rPr>
              <w:t>1</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8"/>
              </w:rPr>
              <w:t>(as of period end)</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2"/>
              </w:rPr>
              <w:t xml:space="preserve">(as of period end) </w:t>
            </w:r>
            <w:r>
              <w:rPr>
                <w:rFonts w:ascii="Arial" w:cs="Arial" w:eastAsia="Arial" w:hAnsi="Arial"/>
                <w:sz w:val="8"/>
                <w:szCs w:val="8"/>
                <w:b w:val="1"/>
                <w:bCs w:val="1"/>
                <w:color w:val="auto"/>
                <w:w w:val="92"/>
              </w:rPr>
              <w:t>1</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17,585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2,465</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1,449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3,623</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1,650</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1"/>
        </w:trPr>
        <w:tc>
          <w:tcPr>
            <w:tcW w:w="26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3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9</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21,208</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rPr>
              <w:t>2,465</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3,099</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1,458</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368</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9</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332</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5,911</w:t>
            </w:r>
          </w:p>
        </w:tc>
        <w:tc>
          <w:tcPr>
            <w:tcW w:w="3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73</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366</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7,400</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95</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572</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17</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138</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927</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1"/>
        </w:trPr>
        <w:tc>
          <w:tcPr>
            <w:tcW w:w="26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432</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6,908</w:t>
            </w:r>
          </w:p>
        </w:tc>
        <w:tc>
          <w:tcPr>
            <w:tcW w:w="3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99</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519</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11,223</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441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28,116</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2,564</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14,322</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
        </w:trPr>
        <w:tc>
          <w:tcPr>
            <w:tcW w:w="2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9"/>
          <w:szCs w:val="9"/>
          <w:color w:val="auto"/>
        </w:rPr>
      </w:pPr>
      <w:r>
        <w:rPr>
          <w:rFonts w:ascii="Arial" w:cs="Arial" w:eastAsia="Arial" w:hAnsi="Arial"/>
          <w:sz w:val="14"/>
          <w:szCs w:val="14"/>
          <w:color w:val="auto"/>
        </w:rPr>
        <w:t>The period end balances reflect all partial paydowns and charge-offs since the modification date. TDRs fully paid off, charged off, or foreclosed upon by period end are not included.</w:t>
      </w:r>
    </w:p>
    <w:p>
      <w:pPr>
        <w:ind w:left="180" w:hanging="172"/>
        <w:spacing w:after="0"/>
        <w:tabs>
          <w:tab w:leader="none" w:pos="180" w:val="left"/>
        </w:tabs>
        <w:numPr>
          <w:ilvl w:val="0"/>
          <w:numId w:val="45"/>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following presents by class, loans modified in a TDR that defaulted during the year ended December 31, 2019, and December 31, 2018, and within twelve months of their modification date. A TDR is considered to be in default once it becomes 60 days or more past due following a modification.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560" w:type="dxa"/>
            <w:vAlign w:val="bottom"/>
            <w:gridSpan w:val="4"/>
          </w:tcPr>
          <w:p>
            <w:pPr>
              <w:ind w:left="540"/>
              <w:spacing w:after="0"/>
              <w:rPr>
                <w:sz w:val="20"/>
                <w:szCs w:val="20"/>
                <w:color w:val="auto"/>
              </w:rPr>
            </w:pPr>
            <w:r>
              <w:rPr>
                <w:rFonts w:ascii="Arial" w:cs="Arial" w:eastAsia="Arial" w:hAnsi="Arial"/>
                <w:sz w:val="16"/>
                <w:szCs w:val="16"/>
                <w:b w:val="1"/>
                <w:bCs w:val="1"/>
                <w:color w:val="auto"/>
              </w:rPr>
              <w:t>Year Ended December 31, 2019</w:t>
            </w:r>
          </w:p>
        </w:tc>
        <w:tc>
          <w:tcPr>
            <w:tcW w:w="3160" w:type="dxa"/>
            <w:vAlign w:val="bottom"/>
            <w:gridSpan w:val="3"/>
          </w:tcPr>
          <w:p>
            <w:pPr>
              <w:jc w:val="right"/>
              <w:ind w:right="401"/>
              <w:spacing w:after="0"/>
              <w:rPr>
                <w:sz w:val="20"/>
                <w:szCs w:val="20"/>
                <w:color w:val="auto"/>
              </w:rPr>
            </w:pPr>
            <w:r>
              <w:rPr>
                <w:rFonts w:ascii="Arial" w:cs="Arial" w:eastAsia="Arial" w:hAnsi="Arial"/>
                <w:sz w:val="16"/>
                <w:szCs w:val="16"/>
                <w:b w:val="1"/>
                <w:bCs w:val="1"/>
                <w:color w:val="auto"/>
              </w:rPr>
              <w:t>Year Ended December 31, 2018</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Recorded</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45"/>
        </w:trPr>
        <w:tc>
          <w:tcPr>
            <w:tcW w:w="47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2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Number of</w:t>
            </w:r>
          </w:p>
        </w:tc>
        <w:tc>
          <w:tcPr>
            <w:tcW w:w="56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2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7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Investment</w:t>
            </w:r>
          </w:p>
        </w:tc>
        <w:tc>
          <w:tcPr>
            <w:tcW w:w="12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2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Contracts</w:t>
            </w: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 xml:space="preserve">(as of period end) </w:t>
            </w:r>
            <w:r>
              <w:rPr>
                <w:rFonts w:ascii="Arial" w:cs="Arial" w:eastAsia="Arial" w:hAnsi="Arial"/>
                <w:sz w:val="8"/>
                <w:szCs w:val="8"/>
                <w:b w:val="1"/>
                <w:bCs w:val="1"/>
                <w:color w:val="auto"/>
              </w:rPr>
              <w:t>1</w:t>
            </w:r>
          </w:p>
        </w:tc>
        <w:tc>
          <w:tcPr>
            <w:tcW w:w="12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Contracts</w:t>
            </w: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8"/>
              </w:rPr>
              <w:t xml:space="preserve">(as of period end)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2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81"/>
              <w:spacing w:after="0"/>
              <w:rPr>
                <w:sz w:val="20"/>
                <w:szCs w:val="20"/>
                <w:color w:val="auto"/>
              </w:rPr>
            </w:pPr>
            <w:r>
              <w:rPr>
                <w:rFonts w:ascii="Arial" w:cs="Arial" w:eastAsia="Arial" w:hAnsi="Arial"/>
                <w:sz w:val="16"/>
                <w:szCs w:val="16"/>
                <w:color w:val="auto"/>
              </w:rPr>
              <w:t>1</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128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1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128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132</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1280" w:type="dxa"/>
            <w:vAlign w:val="bottom"/>
          </w:tcPr>
          <w:p>
            <w:pPr>
              <w:jc w:val="right"/>
              <w:ind w:right="281"/>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192</w:t>
            </w:r>
          </w:p>
        </w:tc>
        <w:tc>
          <w:tcPr>
            <w:tcW w:w="340" w:type="dxa"/>
            <w:vAlign w:val="bottom"/>
          </w:tcPr>
          <w:p>
            <w:pPr>
              <w:spacing w:after="0"/>
              <w:rPr>
                <w:sz w:val="20"/>
                <w:szCs w:val="20"/>
                <w:color w:val="auto"/>
              </w:rPr>
            </w:pPr>
          </w:p>
        </w:tc>
        <w:tc>
          <w:tcPr>
            <w:tcW w:w="126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128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40</w:t>
            </w: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607</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38</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22</w:t>
            </w:r>
          </w:p>
        </w:tc>
        <w:tc>
          <w:tcPr>
            <w:tcW w:w="5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w:t>
            </w: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34</w:t>
            </w:r>
          </w:p>
        </w:tc>
        <w:tc>
          <w:tcPr>
            <w:tcW w:w="5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128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64</w:t>
            </w: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1,060</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72</w:t>
            </w:r>
          </w:p>
        </w:tc>
        <w:tc>
          <w:tcPr>
            <w:tcW w:w="5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280" w:type="dxa"/>
            <w:vAlign w:val="bottom"/>
            <w:tcBorders>
              <w:top w:val="single" w:sz="8" w:color="auto"/>
            </w:tcBorders>
          </w:tcPr>
          <w:p>
            <w:pPr>
              <w:jc w:val="right"/>
              <w:ind w:right="281"/>
              <w:spacing w:after="0"/>
              <w:rPr>
                <w:sz w:val="20"/>
                <w:szCs w:val="20"/>
                <w:color w:val="auto"/>
              </w:rPr>
            </w:pPr>
            <w:r>
              <w:rPr>
                <w:rFonts w:ascii="Arial" w:cs="Arial" w:eastAsia="Arial" w:hAnsi="Arial"/>
                <w:sz w:val="16"/>
                <w:szCs w:val="16"/>
                <w:color w:val="auto"/>
              </w:rPr>
              <w:t>64</w:t>
            </w: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1,060</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81"/>
              <w:spacing w:after="0"/>
              <w:rPr>
                <w:sz w:val="20"/>
                <w:szCs w:val="20"/>
                <w:color w:val="auto"/>
              </w:rPr>
            </w:pPr>
            <w:r>
              <w:rPr>
                <w:rFonts w:ascii="Arial" w:cs="Arial" w:eastAsia="Arial" w:hAnsi="Arial"/>
                <w:sz w:val="16"/>
                <w:szCs w:val="16"/>
                <w:color w:val="auto"/>
              </w:rPr>
              <w:t>73</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00" w:hanging="92"/>
        <w:spacing w:after="0"/>
        <w:tabs>
          <w:tab w:leader="none" w:pos="100" w:val="left"/>
        </w:tabs>
        <w:numPr>
          <w:ilvl w:val="0"/>
          <w:numId w:val="46"/>
        </w:numPr>
        <w:rPr>
          <w:rFonts w:ascii="Arial" w:cs="Arial" w:eastAsia="Arial" w:hAnsi="Arial"/>
          <w:sz w:val="11"/>
          <w:szCs w:val="11"/>
          <w:color w:val="auto"/>
        </w:rPr>
      </w:pPr>
      <w:r>
        <w:rPr>
          <w:rFonts w:ascii="Arial" w:cs="Arial" w:eastAsia="Arial" w:hAnsi="Arial"/>
          <w:sz w:val="14"/>
          <w:szCs w:val="14"/>
          <w:color w:val="auto"/>
        </w:rPr>
        <w:t>The period end balances reflect all paydowns and charge-offs since the modification date. TDRs fully paid off, charged off, or foreclosed upon by period end are not included.</w:t>
      </w:r>
    </w:p>
    <w:p>
      <w:pPr>
        <w:spacing w:after="0" w:line="190"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$1.0 million as of December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portfolio of residential mortgage loans serviced for third parties was $3.1 billion as of December 31, 2019, and $2.9 billion as of</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December 31, 2018, and December 31, 2017. Substantially all of these loans were originated by the Company and sold to third parties on a non-recourse basis with servicing rights retained. These retained servicing rights are recorded as a servicing asset and are initially recorded at fair value (see Note 21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Assets and Liabilities </w:t>
      </w:r>
      <w:r>
        <w:rPr>
          <w:rFonts w:ascii="Arial" w:cs="Arial" w:eastAsia="Arial" w:hAnsi="Arial"/>
          <w:sz w:val="18"/>
          <w:szCs w:val="18"/>
          <w:color w:val="auto"/>
        </w:rPr>
        <w:t>for more information). Changes to the balance of mortgage servicing rights are recorded in mortgage banking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statements of income.</w:t>
      </w:r>
    </w:p>
    <w:p>
      <w:pPr>
        <w:spacing w:after="0" w:line="1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$7.3 million for the years ended December 31, 2019, and December 31, 2018, and $7.1 million for year ended December 31, 2017. Servicing income is recorded in mortgage banking income in the Company’s consolidated statements of income. The Company’s residential mortgage investor loan servicing portfolio is primarily comprised of fixed rate loans concentrated in Hawaii.</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years ended December 31, 2019, December 31, 2018, and December 31, 2017, the change in the fair value of the Company’s mortgage servicing rights accounted for under the fair value measurement method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1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1,290</w:t>
            </w:r>
          </w:p>
        </w:tc>
        <w:tc>
          <w:tcPr>
            <w:tcW w:w="5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1,454</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Changes in Fair Value:</w:t>
            </w:r>
          </w:p>
        </w:tc>
        <w:tc>
          <w:tcPr>
            <w:tcW w:w="2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Payoffs</w:t>
            </w:r>
          </w:p>
        </w:tc>
        <w:tc>
          <w:tcPr>
            <w:tcW w:w="2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31"/>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2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(164)</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(164)</w:t>
            </w:r>
          </w:p>
        </w:tc>
        <w:tc>
          <w:tcPr>
            <w:tcW w:w="5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r>
      <w:tr>
        <w:trPr>
          <w:trHeight w:val="33"/>
        </w:trPr>
        <w:tc>
          <w:tcPr>
            <w:tcW w:w="55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1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1,126</w:t>
            </w:r>
          </w:p>
        </w:tc>
        <w:tc>
          <w:tcPr>
            <w:tcW w:w="5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1,290</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w:t>
            </w: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years ended December 31, 2019, December 31, 2018, and December 31, 2017, the change in the carrying value of the Company’s mortgage servicing rights accounted for under the amortization method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2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23,020</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23,168</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22,008</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Servicing Rights that Resulted From Asset Transfers</w:t>
            </w:r>
          </w:p>
        </w:tc>
        <w:tc>
          <w:tcPr>
            <w:tcW w:w="222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4,485</w:t>
            </w:r>
          </w:p>
        </w:tc>
        <w:tc>
          <w:tcPr>
            <w:tcW w:w="54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2,470</w:t>
            </w: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3,976</w:t>
            </w:r>
          </w:p>
        </w:tc>
      </w:tr>
      <w:tr>
        <w:trPr>
          <w:trHeight w:val="33"/>
        </w:trPr>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2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(3,609)</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(2,618)</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(2,816)</w:t>
            </w:r>
          </w:p>
        </w:tc>
      </w:tr>
      <w:tr>
        <w:trPr>
          <w:trHeight w:val="231"/>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2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23,896</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23,020</w:t>
            </w:r>
          </w:p>
        </w:tc>
        <w:tc>
          <w:tcPr>
            <w:tcW w:w="5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23,168</w:t>
            </w:r>
          </w:p>
        </w:tc>
      </w:tr>
      <w:tr>
        <w:trPr>
          <w:trHeight w:val="73"/>
        </w:trPr>
        <w:tc>
          <w:tcPr>
            <w:tcW w:w="540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197"/>
        </w:trPr>
        <w:tc>
          <w:tcPr>
            <w:tcW w:w="54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Fair Value:</w:t>
            </w: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2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29,218</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26,716</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25,148</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22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25,714</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29,218</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26,716</w:t>
            </w:r>
          </w:p>
        </w:tc>
      </w:tr>
    </w:tbl>
    <w:p>
      <w:pPr>
        <w:spacing w:after="0" w:line="200" w:lineRule="exact"/>
        <w:rPr>
          <w:sz w:val="20"/>
          <w:szCs w:val="20"/>
          <w:color w:val="auto"/>
        </w:rPr>
      </w:pPr>
    </w:p>
    <w:p>
      <w:pPr>
        <w:spacing w:after="0" w:line="2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December 31, 2019, and December 31, 2018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spacing w:after="0"/>
              <w:rPr>
                <w:sz w:val="18"/>
                <w:szCs w:val="18"/>
                <w:color w:val="auto"/>
              </w:rPr>
            </w:pPr>
          </w:p>
        </w:tc>
        <w:tc>
          <w:tcPr>
            <w:tcW w:w="19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8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1"/>
        </w:trPr>
        <w:tc>
          <w:tcPr>
            <w:tcW w:w="8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r>
      <w:tr>
        <w:trPr>
          <w:trHeight w:val="33"/>
        </w:trPr>
        <w:tc>
          <w:tcPr>
            <w:tcW w:w="8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8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9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1160" w:type="dxa"/>
            <w:vAlign w:val="bottom"/>
          </w:tcPr>
          <w:p>
            <w:pPr>
              <w:jc w:val="right"/>
              <w:spacing w:after="0"/>
              <w:rPr>
                <w:sz w:val="20"/>
                <w:szCs w:val="20"/>
                <w:color w:val="auto"/>
              </w:rPr>
            </w:pPr>
            <w:r>
              <w:rPr>
                <w:rFonts w:ascii="Arial" w:cs="Arial" w:eastAsia="Arial" w:hAnsi="Arial"/>
                <w:sz w:val="16"/>
                <w:szCs w:val="16"/>
                <w:color w:val="auto"/>
              </w:rPr>
              <w:t>6.20</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7.89</w:t>
            </w:r>
          </w:p>
        </w:tc>
        <w:tc>
          <w:tcPr>
            <w:tcW w:w="200" w:type="dxa"/>
            <w:vAlign w:val="bottom"/>
          </w:tcPr>
          <w:p>
            <w:pPr>
              <w:spacing w:after="0"/>
              <w:rPr>
                <w:sz w:val="20"/>
                <w:szCs w:val="20"/>
                <w:color w:val="auto"/>
              </w:rPr>
            </w:pPr>
          </w:p>
        </w:tc>
      </w:tr>
      <w:tr>
        <w:trPr>
          <w:trHeight w:val="33"/>
        </w:trPr>
        <w:tc>
          <w:tcPr>
            <w:tcW w:w="8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8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9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98"/>
        </w:trPr>
        <w:tc>
          <w:tcPr>
            <w:tcW w:w="8700" w:type="dxa"/>
            <w:vAlign w:val="bottom"/>
          </w:tcPr>
          <w:p>
            <w:pPr>
              <w:ind w:left="40"/>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6"/>
                <w:szCs w:val="16"/>
                <w:color w:val="auto"/>
              </w:rPr>
              <w:t>7.33</w:t>
            </w:r>
          </w:p>
        </w:tc>
        <w:tc>
          <w:tcPr>
            <w:tcW w:w="820" w:type="dxa"/>
            <w:vAlign w:val="bottom"/>
          </w:tcPr>
          <w:p>
            <w:pPr>
              <w:jc w:val="right"/>
              <w:ind w:right="579"/>
              <w:spacing w:after="0"/>
              <w:rPr>
                <w:sz w:val="20"/>
                <w:szCs w:val="20"/>
                <w:color w:val="auto"/>
              </w:rPr>
            </w:pPr>
            <w:r>
              <w:rPr>
                <w:rFonts w:ascii="Arial" w:cs="Arial" w:eastAsia="Arial" w:hAnsi="Arial"/>
                <w:sz w:val="16"/>
                <w:szCs w:val="16"/>
                <w:color w:val="auto"/>
                <w:w w:val="98"/>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9.59</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48"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December 31, 2019, and December 31, 2018, is presented in the following table.</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280"/>
              <w:spacing w:after="0"/>
              <w:rPr>
                <w:sz w:val="20"/>
                <w:szCs w:val="20"/>
                <w:color w:val="auto"/>
              </w:rPr>
            </w:pPr>
            <w:r>
              <w:rPr>
                <w:rFonts w:ascii="Arial" w:cs="Arial" w:eastAsia="Arial" w:hAnsi="Arial"/>
                <w:sz w:val="16"/>
                <w:szCs w:val="16"/>
                <w:color w:val="auto"/>
              </w:rPr>
              <w:t>Decrease in fair value from 25 basis points (“bps”) adverse change</w:t>
            </w:r>
          </w:p>
        </w:tc>
        <w:tc>
          <w:tcPr>
            <w:tcW w:w="2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(296)</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33"/>
        </w:trPr>
        <w:tc>
          <w:tcPr>
            <w:tcW w:w="6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 fair value from 50 bps adverse change</w:t>
            </w:r>
          </w:p>
        </w:tc>
        <w:tc>
          <w:tcPr>
            <w:tcW w:w="2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(586)</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 fair value from 25 bps adverse change</w:t>
            </w:r>
          </w:p>
        </w:tc>
        <w:tc>
          <w:tcPr>
            <w:tcW w:w="2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(264)</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37"/>
        </w:trPr>
        <w:tc>
          <w:tcPr>
            <w:tcW w:w="6660" w:type="dxa"/>
            <w:vAlign w:val="bottom"/>
          </w:tcPr>
          <w:p>
            <w:pPr>
              <w:ind w:left="280"/>
              <w:spacing w:after="0"/>
              <w:rPr>
                <w:sz w:val="20"/>
                <w:szCs w:val="20"/>
                <w:color w:val="auto"/>
              </w:rPr>
            </w:pPr>
            <w:r>
              <w:rPr>
                <w:rFonts w:ascii="Arial" w:cs="Arial" w:eastAsia="Arial" w:hAnsi="Arial"/>
                <w:sz w:val="16"/>
                <w:szCs w:val="16"/>
                <w:color w:val="auto"/>
              </w:rPr>
              <w:t>Decrease in fair value from 50 bps adverse change</w:t>
            </w:r>
          </w:p>
        </w:tc>
        <w:tc>
          <w:tcPr>
            <w:tcW w:w="2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(522)</w:t>
            </w: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(643)</w:t>
            </w:r>
          </w:p>
        </w:tc>
      </w:tr>
    </w:tbl>
    <w:p>
      <w:pPr>
        <w:spacing w:after="0" w:line="200" w:lineRule="exact"/>
        <w:rPr>
          <w:sz w:val="20"/>
          <w:szCs w:val="20"/>
          <w:color w:val="auto"/>
        </w:rPr>
      </w:pPr>
    </w:p>
    <w:p>
      <w:pPr>
        <w:spacing w:after="0" w:line="25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Premises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premises and equipment as of December 31, 2019, and December 31, 2018,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Depreciation and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Cost</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Net Book Value</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Premises</w:t>
            </w:r>
          </w:p>
        </w:tc>
        <w:tc>
          <w:tcPr>
            <w:tcW w:w="3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360,170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(235,031)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125,139</w:t>
            </w:r>
          </w:p>
        </w:tc>
      </w:tr>
      <w:tr>
        <w:trPr>
          <w:trHeight w:val="33"/>
        </w:trPr>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133,725</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(72,852)</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60,873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Finance Leases</w:t>
            </w:r>
          </w:p>
        </w:tc>
        <w:tc>
          <w:tcPr>
            <w:tcW w:w="30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6,593</w:t>
            </w:r>
          </w:p>
        </w:tc>
        <w:tc>
          <w:tcPr>
            <w:tcW w:w="320" w:type="dxa"/>
            <w:vAlign w:val="bottom"/>
          </w:tcPr>
          <w:p>
            <w:pPr>
              <w:spacing w:after="0"/>
              <w:rPr>
                <w:sz w:val="20"/>
                <w:szCs w:val="20"/>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(4,217)</w:t>
            </w:r>
          </w:p>
        </w:tc>
        <w:tc>
          <w:tcPr>
            <w:tcW w:w="3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2,376</w:t>
            </w:r>
          </w:p>
        </w:tc>
      </w:tr>
      <w:tr>
        <w:trPr>
          <w:trHeight w:val="33"/>
        </w:trPr>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500,488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(312,100)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188,388</w:t>
            </w: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Premises</w:t>
            </w:r>
          </w:p>
        </w:tc>
        <w:tc>
          <w:tcPr>
            <w:tcW w:w="3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339,441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(238,450)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100,991</w:t>
            </w:r>
          </w:p>
        </w:tc>
      </w:tr>
      <w:tr>
        <w:trPr>
          <w:trHeight w:val="33"/>
        </w:trPr>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120,165</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(71,767)</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48,398</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Finance Leases</w:t>
            </w:r>
          </w:p>
        </w:tc>
        <w:tc>
          <w:tcPr>
            <w:tcW w:w="30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6,593</w:t>
            </w:r>
          </w:p>
        </w:tc>
        <w:tc>
          <w:tcPr>
            <w:tcW w:w="320" w:type="dxa"/>
            <w:vAlign w:val="bottom"/>
          </w:tcPr>
          <w:p>
            <w:pPr>
              <w:spacing w:after="0"/>
              <w:rPr>
                <w:sz w:val="20"/>
                <w:szCs w:val="20"/>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(4,145)</w:t>
            </w:r>
          </w:p>
        </w:tc>
        <w:tc>
          <w:tcPr>
            <w:tcW w:w="3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2,448</w:t>
            </w:r>
          </w:p>
        </w:tc>
      </w:tr>
      <w:tr>
        <w:trPr>
          <w:trHeight w:val="33"/>
        </w:trPr>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466,199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(314,362)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151,837</w:t>
            </w: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Depreciation and amortization (including finance lease amortization) included in noninterest expense was $17.3 million, $14.4 million, and $13.0 million for the years ended December 31, 2019, December 31, 2018, and December 31,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the Company’s premises and equipment for the years ended December 31, 2019, December 31, 2018, and December 31,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other assets as of December 31, 2019, and December 31, 2018, were as follows:</w:t>
      </w:r>
    </w:p>
    <w:p>
      <w:pPr>
        <w:spacing w:after="0" w:line="185"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7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34,093</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35,858</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7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28,931</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14,604</w:t>
            </w:r>
          </w:p>
        </w:tc>
      </w:tr>
      <w:tr>
        <w:trPr>
          <w:trHeight w:val="33"/>
        </w:trPr>
        <w:tc>
          <w:tcPr>
            <w:tcW w:w="6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84,618</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85,860</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7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41,464</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31,871</w:t>
            </w:r>
          </w:p>
        </w:tc>
      </w:tr>
      <w:tr>
        <w:trPr>
          <w:trHeight w:val="33"/>
        </w:trPr>
        <w:tc>
          <w:tcPr>
            <w:tcW w:w="6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15,140</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8,533</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7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20,180</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18,996</w:t>
            </w:r>
          </w:p>
        </w:tc>
      </w:tr>
      <w:tr>
        <w:trPr>
          <w:trHeight w:val="33"/>
        </w:trPr>
        <w:tc>
          <w:tcPr>
            <w:tcW w:w="6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7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48,248</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35,160</w:t>
            </w:r>
          </w:p>
        </w:tc>
      </w:tr>
      <w:tr>
        <w:trPr>
          <w:trHeight w:val="231"/>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7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272,674</w:t>
            </w:r>
          </w:p>
        </w:tc>
        <w:tc>
          <w:tcPr>
            <w:tcW w:w="5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230,882</w:t>
            </w:r>
          </w:p>
        </w:tc>
      </w:tr>
      <w:tr>
        <w:trPr>
          <w:trHeight w:val="33"/>
        </w:trPr>
        <w:tc>
          <w:tcPr>
            <w:tcW w:w="6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Deposits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2019, and December 31, 2018, the Company’s total time deposits were $1.8 billion and $1.7 billion, respectively. As of December 31, 2019, the contractual maturities of these time deposits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1,425,438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2021</w:t>
            </w:r>
          </w:p>
        </w:tc>
        <w:tc>
          <w:tcPr>
            <w:tcW w:w="47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272,921</w:t>
            </w:r>
          </w:p>
        </w:tc>
      </w:tr>
      <w:tr>
        <w:trPr>
          <w:trHeight w:val="27"/>
        </w:trPr>
        <w:tc>
          <w:tcPr>
            <w:tcW w:w="5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60,676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2023</w:t>
            </w:r>
          </w:p>
        </w:tc>
        <w:tc>
          <w:tcPr>
            <w:tcW w:w="47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27,487</w:t>
            </w:r>
          </w:p>
        </w:tc>
      </w:tr>
      <w:tr>
        <w:trPr>
          <w:trHeight w:val="27"/>
        </w:trPr>
        <w:tc>
          <w:tcPr>
            <w:tcW w:w="5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7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5,268</w:t>
            </w:r>
          </w:p>
        </w:tc>
      </w:tr>
      <w:tr>
        <w:trPr>
          <w:trHeight w:val="27"/>
        </w:trPr>
        <w:tc>
          <w:tcPr>
            <w:tcW w:w="574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1,802,431</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19"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919"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amount of time deposits with balances of $100,000 or more was $1.5 billion as of December 31, 2019, and December 31, 2018, respectively.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the contractual maturities of these time deposits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or Less</w:t>
            </w:r>
          </w:p>
        </w:tc>
        <w:tc>
          <w:tcPr>
            <w:tcW w:w="4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545,570</w:t>
            </w:r>
          </w:p>
        </w:tc>
      </w:tr>
      <w:tr>
        <w:trPr>
          <w:trHeight w:val="224"/>
        </w:trPr>
        <w:tc>
          <w:tcPr>
            <w:tcW w:w="6480" w:type="dxa"/>
            <w:vAlign w:val="bottom"/>
          </w:tcPr>
          <w:p>
            <w:pPr>
              <w:ind w:left="40"/>
              <w:spacing w:after="0"/>
              <w:rPr>
                <w:sz w:val="20"/>
                <w:szCs w:val="20"/>
                <w:color w:val="auto"/>
              </w:rPr>
            </w:pPr>
            <w:r>
              <w:rPr>
                <w:rFonts w:ascii="Arial" w:cs="Arial" w:eastAsia="Arial" w:hAnsi="Arial"/>
                <w:sz w:val="16"/>
                <w:szCs w:val="16"/>
                <w:color w:val="auto"/>
              </w:rPr>
              <w:t>Over Three Months through Six Months</w:t>
            </w:r>
          </w:p>
        </w:tc>
        <w:tc>
          <w:tcPr>
            <w:tcW w:w="40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253,868</w:t>
            </w:r>
          </w:p>
        </w:tc>
      </w:tr>
      <w:tr>
        <w:trPr>
          <w:trHeight w:val="33"/>
        </w:trPr>
        <w:tc>
          <w:tcPr>
            <w:tcW w:w="6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Over Six Months through Twelve Months</w:t>
            </w:r>
          </w:p>
        </w:tc>
        <w:tc>
          <w:tcPr>
            <w:tcW w:w="40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477,384</w:t>
            </w:r>
          </w:p>
        </w:tc>
      </w:tr>
      <w:tr>
        <w:trPr>
          <w:trHeight w:val="224"/>
        </w:trPr>
        <w:tc>
          <w:tcPr>
            <w:tcW w:w="6480" w:type="dxa"/>
            <w:vAlign w:val="bottom"/>
          </w:tcPr>
          <w:p>
            <w:pPr>
              <w:ind w:left="40"/>
              <w:spacing w:after="0"/>
              <w:rPr>
                <w:sz w:val="20"/>
                <w:szCs w:val="20"/>
                <w:color w:val="auto"/>
              </w:rPr>
            </w:pPr>
            <w:r>
              <w:rPr>
                <w:rFonts w:ascii="Arial" w:cs="Arial" w:eastAsia="Arial" w:hAnsi="Arial"/>
                <w:sz w:val="16"/>
                <w:szCs w:val="16"/>
                <w:color w:val="auto"/>
              </w:rPr>
              <w:t>Over Twelve Months</w:t>
            </w:r>
          </w:p>
        </w:tc>
        <w:tc>
          <w:tcPr>
            <w:tcW w:w="40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270,831</w:t>
            </w:r>
          </w:p>
        </w:tc>
      </w:tr>
      <w:tr>
        <w:trPr>
          <w:trHeight w:val="33"/>
        </w:trPr>
        <w:tc>
          <w:tcPr>
            <w:tcW w:w="64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1,547,653</w:t>
            </w:r>
          </w:p>
        </w:tc>
      </w:tr>
      <w:tr>
        <w:trPr>
          <w:trHeight w:val="20"/>
        </w:trPr>
        <w:tc>
          <w:tcPr>
            <w:tcW w:w="6480" w:type="dxa"/>
            <w:vAlign w:val="bottom"/>
            <w:tcBorders>
              <w:top w:val="single" w:sz="8" w:color="auto"/>
              <w:bottom w:val="single" w:sz="8" w:color="auto"/>
            </w:tcBorders>
          </w:tcPr>
          <w:p>
            <w:pPr>
              <w:spacing w:after="0" w:line="20" w:lineRule="exact"/>
              <w:rPr>
                <w:sz w:val="1"/>
                <w:szCs w:val="1"/>
                <w:color w:val="auto"/>
              </w:rPr>
            </w:pPr>
          </w:p>
        </w:tc>
        <w:tc>
          <w:tcPr>
            <w:tcW w:w="4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Deposits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2019, and December 31, 2018, deposits of governmental entities of $1.2 billion and $1.1 billion, respectively, required collateralization by acceptable investment securities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Details of the Company’s short-term borrowings (original term of one year or less) as of December 31, 2019, and December 31, 2018 were as follows:</w:t>
      </w:r>
    </w:p>
    <w:p>
      <w:pPr>
        <w:spacing w:after="0" w:line="278"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37465</wp:posOffset>
            </wp:positionV>
            <wp:extent cx="19208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Securities Sold Under Agreements to Repurchase (short-term) </w:t>
            </w:r>
            <w:r>
              <w:rPr>
                <w:rFonts w:ascii="Arial" w:cs="Arial" w:eastAsia="Arial" w:hAnsi="Arial"/>
                <w:sz w:val="21"/>
                <w:szCs w:val="21"/>
                <w:b w:val="1"/>
                <w:bCs w:val="1"/>
                <w:color w:val="auto"/>
                <w:vertAlign w:val="superscript"/>
              </w:rPr>
              <w:t>1</w:t>
            </w:r>
          </w:p>
        </w:tc>
        <w:tc>
          <w:tcPr>
            <w:tcW w:w="2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Amounts Outstanding</w:t>
            </w:r>
          </w:p>
        </w:tc>
        <w:tc>
          <w:tcPr>
            <w:tcW w:w="2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2,200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4,196</w:t>
            </w:r>
          </w:p>
        </w:tc>
      </w:tr>
      <w:tr>
        <w:trPr>
          <w:trHeight w:val="33"/>
        </w:trPr>
        <w:tc>
          <w:tcPr>
            <w:tcW w:w="6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6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Interest Rate</w:t>
            </w:r>
          </w:p>
        </w:tc>
        <w:tc>
          <w:tcPr>
            <w:tcW w:w="2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33"/>
        </w:trPr>
        <w:tc>
          <w:tcPr>
            <w:tcW w:w="64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62" w:lineRule="exact"/>
        <w:rPr>
          <w:sz w:val="20"/>
          <w:szCs w:val="20"/>
          <w:color w:val="auto"/>
        </w:rPr>
      </w:pPr>
    </w:p>
    <w:p>
      <w:pPr>
        <w:ind w:left="80" w:right="80" w:hanging="72"/>
        <w:spacing w:after="0" w:line="257" w:lineRule="auto"/>
        <w:tabs>
          <w:tab w:leader="none" w:pos="80" w:val="left"/>
        </w:tabs>
        <w:numPr>
          <w:ilvl w:val="0"/>
          <w:numId w:val="50"/>
        </w:numPr>
        <w:rPr>
          <w:rFonts w:ascii="Arial" w:cs="Arial" w:eastAsia="Arial" w:hAnsi="Arial"/>
          <w:sz w:val="9"/>
          <w:szCs w:val="9"/>
          <w:color w:val="auto"/>
        </w:rPr>
      </w:pPr>
      <w:r>
        <w:rPr>
          <w:rFonts w:ascii="Arial" w:cs="Arial" w:eastAsia="Arial" w:hAnsi="Arial"/>
          <w:sz w:val="14"/>
          <w:szCs w:val="14"/>
          <w:color w:val="auto"/>
        </w:rPr>
        <w:t>Consists entirely of repurchase agreements with government entities. Excludes long-term repurchase agreements with government entities of $2.1 million and $0.1 million as of December 31, 2019, and December 31, 2018, respectively, and long-term repurchase agreements with private institutions of $600.0 million and $500.0 million as of December 31, 2019, and December 31, 2018, respectively.</w:t>
      </w:r>
    </w:p>
    <w:p>
      <w:pPr>
        <w:spacing w:after="0" w:line="1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total securities sold under agreements to repurchase were $604.3 million and $504.3 million as of December 31, 2019, and December 31, 2018, respectively. As of December 31, 2019, all of our repurchase agreements were at fixed interest rates.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2019, long-term repurchase agreements (original term over one year) placed with government entities were $2.1 million with a weighted-average interest rate of 1.09% and a weighted-average maturity of 635 days.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2019, long-term repurchase agreements placed with private institutions were $600.0 million with a weighted-average interest rate of 2.68%. Remaining terms ranged from 2022 to 2026 with a weighted-average maturity of 4.0 years.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3.4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debt as of December 31, 2019, and December 31, 2018, were as follows:</w:t>
      </w:r>
    </w:p>
    <w:p>
      <w:pPr>
        <w:spacing w:after="0" w:line="16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34290</wp:posOffset>
            </wp:positionV>
            <wp:extent cx="1732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75,000</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Finance Lease Obligations</w:t>
            </w:r>
          </w:p>
        </w:tc>
        <w:tc>
          <w:tcPr>
            <w:tcW w:w="35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10,565</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10,643</w:t>
            </w:r>
          </w:p>
        </w:tc>
      </w:tr>
      <w:tr>
        <w:trPr>
          <w:trHeight w:val="33"/>
        </w:trPr>
        <w:tc>
          <w:tcPr>
            <w:tcW w:w="55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85,565</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135,643</w:t>
            </w:r>
          </w:p>
        </w:tc>
      </w:tr>
      <w:tr>
        <w:trPr>
          <w:trHeight w:val="20"/>
        </w:trPr>
        <w:tc>
          <w:tcPr>
            <w:tcW w:w="556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 a member of the FHLB, the Bank may borrow funds from the FHLB in amounts up to 45% of the Bank’s total assets, provided the Bank is able to pledge an adequate amount of qualified assets to secure the borrowings. As of December 31, 2019, FHLB advances totaled $75.0 million with a weighted-average interest rate of 2.42% and maturity dates during 2020. As of December 31, 2019, the Company had a remaining line of credit with the FHLB of $2.5 billion. See Note 4 </w:t>
      </w:r>
      <w:r>
        <w:rPr>
          <w:rFonts w:ascii="Arial" w:cs="Arial" w:eastAsia="Arial" w:hAnsi="Arial"/>
          <w:sz w:val="18"/>
          <w:szCs w:val="18"/>
          <w:i w:val="1"/>
          <w:iCs w:val="1"/>
          <w:color w:val="auto"/>
        </w:rPr>
        <w:t>Loans and Leases and the Allowance for Loan and Lease Losses</w:t>
      </w:r>
      <w:r>
        <w:rPr>
          <w:rFonts w:ascii="Arial" w:cs="Arial" w:eastAsia="Arial" w:hAnsi="Arial"/>
          <w:sz w:val="18"/>
          <w:szCs w:val="18"/>
          <w:color w:val="auto"/>
        </w:rPr>
        <w:t xml:space="preserve"> for loans pledged to the FHLB as of December 31, 2019, and December 31, 2018.</w:t>
      </w:r>
    </w:p>
    <w:p>
      <w:pPr>
        <w:sectPr>
          <w:pgSz w:w="11900" w:h="16838" w:orient="portrait"/>
          <w:cols w:equalWidth="0" w:num="1">
            <w:col w:w="11420"/>
          </w:cols>
          <w:pgMar w:left="240" w:top="125"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Finance lease obligations relate to office space at the Company’s headquarters. The lease began in 1993 and has a 60 year term. Lease payments are fixed at $0.8 million per year through December 2022 and are negotiable thereafter.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As of December 31, 2019, the Company had an undrawn line of credit with the FRB of $533.5 million. See Note 4 </w:t>
      </w:r>
      <w:r>
        <w:rPr>
          <w:rFonts w:ascii="Arial" w:cs="Arial" w:eastAsia="Arial" w:hAnsi="Arial"/>
          <w:sz w:val="18"/>
          <w:szCs w:val="18"/>
          <w:i w:val="1"/>
          <w:iCs w:val="1"/>
          <w:color w:val="auto"/>
        </w:rPr>
        <w:t>Loans and Leases and the Allowance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Loan and Lease Losses </w:t>
      </w:r>
      <w:r>
        <w:rPr>
          <w:rFonts w:ascii="Arial" w:cs="Arial" w:eastAsia="Arial" w:hAnsi="Arial"/>
          <w:sz w:val="18"/>
          <w:szCs w:val="18"/>
          <w:color w:val="auto"/>
        </w:rPr>
        <w:t>for loans pledged to the FRB as of December 31, 2019, and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the annual maturities of the Company’s other debt, exclusive of finance lease obligations, were expected to be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Amount</w:t>
            </w:r>
          </w:p>
        </w:tc>
      </w:tr>
      <w:tr>
        <w:trPr>
          <w:trHeight w:val="23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75,000</w:t>
            </w:r>
          </w:p>
        </w:tc>
      </w:tr>
      <w:tr>
        <w:trPr>
          <w:trHeight w:val="224"/>
        </w:trPr>
        <w:tc>
          <w:tcPr>
            <w:tcW w:w="6280" w:type="dxa"/>
            <w:vAlign w:val="bottom"/>
          </w:tcPr>
          <w:p>
            <w:pPr>
              <w:ind w:left="40"/>
              <w:spacing w:after="0"/>
              <w:rPr>
                <w:sz w:val="20"/>
                <w:szCs w:val="20"/>
                <w:color w:val="auto"/>
              </w:rPr>
            </w:pPr>
            <w:r>
              <w:rPr>
                <w:rFonts w:ascii="Arial" w:cs="Arial" w:eastAsia="Arial" w:hAnsi="Arial"/>
                <w:sz w:val="16"/>
                <w:szCs w:val="16"/>
                <w:color w:val="auto"/>
              </w:rPr>
              <w:t>2021</w:t>
            </w:r>
          </w:p>
        </w:tc>
        <w:tc>
          <w:tcPr>
            <w:tcW w:w="410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24"/>
        </w:trPr>
        <w:tc>
          <w:tcPr>
            <w:tcW w:w="6280" w:type="dxa"/>
            <w:vAlign w:val="bottom"/>
          </w:tcPr>
          <w:p>
            <w:pPr>
              <w:ind w:left="40"/>
              <w:spacing w:after="0"/>
              <w:rPr>
                <w:sz w:val="20"/>
                <w:szCs w:val="20"/>
                <w:color w:val="auto"/>
              </w:rPr>
            </w:pPr>
            <w:r>
              <w:rPr>
                <w:rFonts w:ascii="Arial" w:cs="Arial" w:eastAsia="Arial" w:hAnsi="Arial"/>
                <w:sz w:val="16"/>
                <w:szCs w:val="16"/>
                <w:color w:val="auto"/>
              </w:rPr>
              <w:t>2023</w:t>
            </w:r>
          </w:p>
        </w:tc>
        <w:tc>
          <w:tcPr>
            <w:tcW w:w="410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24"/>
        </w:trPr>
        <w:tc>
          <w:tcPr>
            <w:tcW w:w="62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10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75,000</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4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6280" w:type="dxa"/>
            <w:vAlign w:val="bottom"/>
          </w:tcPr>
          <w:p>
            <w:pPr>
              <w:spacing w:after="0"/>
              <w:rPr>
                <w:sz w:val="20"/>
                <w:szCs w:val="20"/>
                <w:color w:val="auto"/>
              </w:rPr>
            </w:pPr>
            <w:r>
              <w:rPr>
                <w:rFonts w:ascii="Arial" w:cs="Arial" w:eastAsia="Arial" w:hAnsi="Arial"/>
                <w:sz w:val="18"/>
                <w:szCs w:val="18"/>
                <w:b w:val="1"/>
                <w:bCs w:val="1"/>
                <w:color w:val="auto"/>
              </w:rPr>
              <w:t>Note 11. Shareholders’ Equity</w:t>
            </w:r>
          </w:p>
        </w:tc>
        <w:tc>
          <w:tcPr>
            <w:tcW w:w="4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i w:val="1"/>
                <w:iCs w:val="1"/>
                <w:color w:val="auto"/>
              </w:rPr>
              <w:t>Regulatory Capital</w:t>
            </w:r>
          </w:p>
        </w:tc>
        <w:tc>
          <w:tcPr>
            <w:tcW w:w="4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minimum required capital amounts and ratios for well capitalized institutions and the actual capital amounts and ratios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Bank as of December 31, 2019, and 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4040" w:type="dxa"/>
            <w:vAlign w:val="bottom"/>
          </w:tcPr>
          <w:p>
            <w:pPr>
              <w:jc w:val="right"/>
              <w:ind w:right="959"/>
              <w:spacing w:after="0"/>
              <w:rPr>
                <w:sz w:val="20"/>
                <w:szCs w:val="20"/>
                <w:color w:val="auto"/>
              </w:rPr>
            </w:pPr>
            <w:r>
              <w:rPr>
                <w:rFonts w:ascii="Arial" w:cs="Arial" w:eastAsia="Arial" w:hAnsi="Arial"/>
                <w:sz w:val="16"/>
                <w:szCs w:val="16"/>
                <w:b w:val="1"/>
                <w:bCs w:val="1"/>
                <w:color w:val="auto"/>
              </w:rPr>
              <w:t>Well Capitalized</w:t>
            </w: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Minimum Ratio</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Company</w:t>
            </w: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4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1,286,832</w:t>
            </w:r>
          </w:p>
        </w:tc>
        <w:tc>
          <w:tcPr>
            <w:tcW w:w="6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1,229,775</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1,289,424</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1,243,939</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Tier 1 Capital</w:t>
            </w:r>
          </w:p>
        </w:tc>
        <w:tc>
          <w:tcPr>
            <w:tcW w:w="40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1,289,424</w:t>
            </w:r>
          </w:p>
        </w:tc>
        <w:tc>
          <w:tcPr>
            <w:tcW w:w="6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1,243,939</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1,406,273</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1,360,788</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Common Equity Tier 1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12.18%</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11.76%</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4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8.0%</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12.18%</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Total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10.0%</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13.28%</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12.87%</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4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5.0%</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7.25%</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70"/>
        </w:trPr>
        <w:tc>
          <w:tcPr>
            <w:tcW w:w="430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4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1,268,200</w:t>
            </w:r>
          </w:p>
        </w:tc>
        <w:tc>
          <w:tcPr>
            <w:tcW w:w="6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1,195,132</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1,290,723</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1,229,227</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Tier 1 Capital</w:t>
            </w:r>
          </w:p>
        </w:tc>
        <w:tc>
          <w:tcPr>
            <w:tcW w:w="40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1,290,723</w:t>
            </w:r>
          </w:p>
        </w:tc>
        <w:tc>
          <w:tcPr>
            <w:tcW w:w="6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1,229,227</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1,404,238</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1,342,742</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Common Equity Tier 1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13.07%</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12.46%</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4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8.0%</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13.07%</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12.46%</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Total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10.0%</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14.21%</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13.61%</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4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5.0%</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7.60%</w:t>
            </w:r>
          </w:p>
        </w:tc>
        <w:tc>
          <w:tcPr>
            <w:tcW w:w="6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r>
      <w:tr>
        <w:trPr>
          <w:trHeight w:val="33"/>
        </w:trPr>
        <w:tc>
          <w:tcPr>
            <w:tcW w:w="430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regulators about the components of regulatory capital, risk weightings, and other factors.</w:t>
      </w:r>
    </w:p>
    <w:p>
      <w:pPr>
        <w:sectPr>
          <w:pgSz w:w="11900" w:h="16838" w:orient="portrait"/>
          <w:cols w:equalWidth="0" w:num="1">
            <w:col w:w="11420"/>
          </w:cols>
          <w:pgMar w:left="240" w:top="125"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Quantitative measures established by regulation to ensure capital adequacy require the Company and the Bank to maintain minimum amounts and ratios of Common Equity Tier 1, Tier 1 and Total Capital. Both Common Equity Tier 1 Capital and Tier 1 Capital are common shareholders’ equity, reduced by certain intangible assets, postretirement benefit liability adjustments, and unrealized gains and losses on investment securities. Total Capital is Tier 1 Capital plus an allowable amount of the reserve for credit losses. Risk-weighted assets are calculated by taking assets and credit equivalent amounts of off-balance-sheet items and assigning them to one of several broad risk categories. Four capital ratios are used to measure capital adequacy: Common Equity Tier 1 Capital divided by risk-weighted assets, as defined; Tier 1 Capital divided by risk-weighted assets; Total Capital divided by risk-weighted assets; and the Tier 1 Leverage ratio, which is Tier 1 Capital divided by quarterly adjusted average total assets.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minimum risk-based capital requirements, all banks must hold additional capital, referred to as the capital conservation buffer (which is in the form of common equity) under the U.S. Basel III capital framework, to avoid being subject to limits on capital distributions and certain discretionary bonus payments to officers. The capital conservation buffer which was fully phased-in on January 1, 2019, is a minimum of 2.5% of additional capital in addition to the minimum risk-based capital ratios.</w:t>
      </w:r>
    </w:p>
    <w:p>
      <w:pPr>
        <w:spacing w:after="0" w:line="18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2019, the Company and the Bank were well capitalized as defined in the regulatory framework for prompt corrective action. The capital conservation buffer requirements do not currently result in any limitations on distributions or discretionary bonuses for the Company or the Bank. There were no conditions or events since December 31, 2019, that management believes have changed the Company or the Bank’s capital classifications.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Dividends paid by the Parent are substantially funded from dividends received from the Bank. The Bank is subject to federal and state regulatory restrictions that limit cash dividends and loans to the Parent. These restrictions generally require advanced approval from the Bank’s regulator for payment of dividends in excess of the sum of net income for the current calendar year and the retained net income of the prior two calendar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 Program</w:t>
      </w:r>
    </w:p>
    <w:p>
      <w:pPr>
        <w:spacing w:after="0" w:line="22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Parent has a common stock repurchase program in which shares repurchased are held in treasury stock for reissuance in connection with share-based compensation plans and for general corporate purposes. For the year ended December 31, 2019, the Parent repurchased 1,642,998 shares of common stock under its share repurchase program at an average cost per share of $81.98 and total cost of $134.7 million. From the beginning of the stock repurchase program in July 2001 through December 31, 2019, the Parent repurchased a total of 56.9 million shares of common stock at an average cost of $40.38 per share and total cost nearly $2.3 billion. From January 1, 2020, through February 14, 2020, the Parent repurchased an additional 114,358 shares of common stock at an average cost of $92.63 per share for a total of $10.6 million. The actual amount and timing of future share repurchases, if any, will depend on market conditions, applicable SEC rules and various other factors.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other comprehensive income (loss), net of tax: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Before Tax</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2019</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30,169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8,001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22,168</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Loss on Sale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70"/>
        </w:trPr>
        <w:tc>
          <w:tcPr>
            <w:tcW w:w="7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833</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221</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612</w:t>
            </w:r>
          </w:p>
        </w:tc>
      </w:tr>
      <w:tr>
        <w:trPr>
          <w:trHeight w:val="244"/>
        </w:trPr>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30,850</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8,173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22,677</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Actuarial Gains (Losses) Arising During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1,598</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423</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1,175</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31"/>
        </w:trPr>
        <w:tc>
          <w:tcPr>
            <w:tcW w:w="73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(3,736)</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(2,746)</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27,114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7,183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19,931</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(11,051)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(8,120)</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2,164</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569</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1,595</w:t>
            </w:r>
          </w:p>
        </w:tc>
      </w:tr>
      <w:tr>
        <w:trPr>
          <w:trHeight w:val="231"/>
        </w:trPr>
        <w:tc>
          <w:tcPr>
            <w:tcW w:w="7380" w:type="dxa"/>
            <w:vAlign w:val="bottom"/>
          </w:tcPr>
          <w:p>
            <w:pPr>
              <w:ind w:left="50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(8,887)</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(2,362)</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(6,525)</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Actuarial Gains (Losses) Arising During the Period</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(4,468)</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(1,184)</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(3,284)</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1,835</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1,375</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(3,200)</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r>
      <w:tr>
        <w:trPr>
          <w:trHeight w:val="231"/>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(12,087)</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(3,236)</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(8,851)</w:t>
            </w:r>
          </w:p>
        </w:tc>
      </w:tr>
      <w:tr>
        <w:trPr>
          <w:trHeight w:val="73"/>
        </w:trPr>
        <w:tc>
          <w:tcPr>
            <w:tcW w:w="7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56"/>
        </w:trPr>
        <w:tc>
          <w:tcPr>
            <w:tcW w:w="7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(5,263)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(2,078)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(3,185)</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73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70"/>
        </w:trPr>
        <w:tc>
          <w:tcPr>
            <w:tcW w:w="7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1,982</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783</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1,199</w:t>
            </w:r>
          </w:p>
        </w:tc>
      </w:tr>
      <w:tr>
        <w:trPr>
          <w:trHeight w:val="244"/>
        </w:trPr>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(3,281)</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Actuarial Gains (Losses) Arising During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1,382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545</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837</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1"/>
        </w:trPr>
        <w:tc>
          <w:tcPr>
            <w:tcW w:w="73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1,944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767</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1,177</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80" w:right="540" w:hanging="172"/>
        <w:spacing w:after="0" w:line="273" w:lineRule="auto"/>
        <w:tabs>
          <w:tab w:leader="none" w:pos="180" w:val="left"/>
        </w:tabs>
        <w:numPr>
          <w:ilvl w:val="0"/>
          <w:numId w:val="51"/>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ectPr>
          <w:pgSz w:w="11900" w:h="16838" w:orient="portrait"/>
          <w:cols w:equalWidth="0" w:num="1">
            <w:col w:w="11420"/>
          </w:cols>
          <w:pgMar w:left="240" w:top="125"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78"/>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78"/>
              <w:spacing w:after="0"/>
              <w:rPr>
                <w:sz w:val="20"/>
                <w:szCs w:val="20"/>
                <w:color w:val="auto"/>
              </w:rPr>
            </w:pPr>
            <w:r>
              <w:rPr>
                <w:rFonts w:ascii="Arial" w:cs="Arial" w:eastAsia="Arial" w:hAnsi="Arial"/>
                <w:sz w:val="16"/>
                <w:szCs w:val="16"/>
                <w:b w:val="1"/>
                <w:bCs w:val="1"/>
                <w:color w:val="auto"/>
              </w:rPr>
              <w:t>Securities-</w:t>
            </w:r>
          </w:p>
        </w:tc>
        <w:tc>
          <w:tcPr>
            <w:tcW w:w="220" w:type="dxa"/>
            <w:vAlign w:val="bottom"/>
          </w:tcPr>
          <w:p>
            <w:pPr>
              <w:spacing w:after="0"/>
              <w:rPr>
                <w:sz w:val="17"/>
                <w:szCs w:val="17"/>
                <w:color w:val="auto"/>
              </w:rPr>
            </w:pPr>
          </w:p>
        </w:tc>
        <w:tc>
          <w:tcPr>
            <w:tcW w:w="1280" w:type="dxa"/>
            <w:vAlign w:val="bottom"/>
          </w:tcPr>
          <w:p>
            <w:pPr>
              <w:jc w:val="right"/>
              <w:ind w:right="58"/>
              <w:spacing w:after="0"/>
              <w:rPr>
                <w:sz w:val="20"/>
                <w:szCs w:val="20"/>
                <w:color w:val="auto"/>
              </w:rPr>
            </w:pPr>
            <w:r>
              <w:rPr>
                <w:rFonts w:ascii="Arial" w:cs="Arial" w:eastAsia="Arial" w:hAnsi="Arial"/>
                <w:sz w:val="16"/>
                <w:szCs w:val="16"/>
                <w:b w:val="1"/>
                <w:bCs w:val="1"/>
                <w:color w:val="auto"/>
              </w:rPr>
              <w:t>Investment</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78"/>
              <w:spacing w:after="0"/>
              <w:rPr>
                <w:sz w:val="20"/>
                <w:szCs w:val="20"/>
                <w:color w:val="auto"/>
              </w:rPr>
            </w:pPr>
            <w:r>
              <w:rPr>
                <w:rFonts w:ascii="Arial" w:cs="Arial" w:eastAsia="Arial" w:hAnsi="Arial"/>
                <w:sz w:val="16"/>
                <w:szCs w:val="16"/>
                <w:b w:val="1"/>
                <w:bCs w:val="1"/>
                <w:color w:val="auto"/>
                <w:w w:val="99"/>
              </w:rPr>
              <w:t>Available-For-</w:t>
            </w:r>
          </w:p>
        </w:tc>
        <w:tc>
          <w:tcPr>
            <w:tcW w:w="220" w:type="dxa"/>
            <w:vAlign w:val="bottom"/>
          </w:tcPr>
          <w:p>
            <w:pPr>
              <w:spacing w:after="0"/>
              <w:rPr>
                <w:sz w:val="17"/>
                <w:szCs w:val="17"/>
                <w:color w:val="auto"/>
              </w:rPr>
            </w:pPr>
          </w:p>
        </w:tc>
        <w:tc>
          <w:tcPr>
            <w:tcW w:w="1280" w:type="dxa"/>
            <w:vAlign w:val="bottom"/>
          </w:tcPr>
          <w:p>
            <w:pPr>
              <w:jc w:val="right"/>
              <w:ind w:right="58"/>
              <w:spacing w:after="0"/>
              <w:rPr>
                <w:sz w:val="20"/>
                <w:szCs w:val="20"/>
                <w:color w:val="auto"/>
              </w:rPr>
            </w:pPr>
            <w:r>
              <w:rPr>
                <w:rFonts w:ascii="Arial" w:cs="Arial" w:eastAsia="Arial" w:hAnsi="Arial"/>
                <w:sz w:val="16"/>
                <w:szCs w:val="16"/>
                <w:b w:val="1"/>
                <w:bCs w:val="1"/>
                <w:color w:val="auto"/>
                <w:w w:val="91"/>
              </w:rPr>
              <w:t>Securities-Held-</w:t>
            </w:r>
          </w:p>
        </w:tc>
        <w:tc>
          <w:tcPr>
            <w:tcW w:w="200" w:type="dxa"/>
            <w:vAlign w:val="bottom"/>
          </w:tcPr>
          <w:p>
            <w:pPr>
              <w:spacing w:after="0"/>
              <w:rPr>
                <w:sz w:val="17"/>
                <w:szCs w:val="17"/>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b w:val="1"/>
                <w:bCs w:val="1"/>
                <w:color w:val="auto"/>
                <w:w w:val="93"/>
              </w:rPr>
              <w:t>Defined Benefit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Sale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To-Maturities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Plans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(10,447)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(4,586)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(36,010)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(51,043)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22,168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18,459</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6"/>
                <w:szCs w:val="16"/>
                <w:color w:val="auto"/>
              </w:rPr>
              <w:t>Cumulative Effect of ASU 2019-04</w:t>
            </w:r>
          </w:p>
        </w:tc>
        <w:tc>
          <w:tcPr>
            <w:tcW w:w="28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(3,259)</w:t>
            </w:r>
          </w:p>
        </w:tc>
        <w:tc>
          <w:tcPr>
            <w:tcW w:w="220" w:type="dxa"/>
            <w:vAlign w:val="bottom"/>
          </w:tcPr>
          <w:p>
            <w:pPr>
              <w:spacing w:after="0"/>
              <w:rPr>
                <w:sz w:val="21"/>
                <w:szCs w:val="21"/>
                <w:color w:val="auto"/>
              </w:rPr>
            </w:pPr>
          </w:p>
        </w:tc>
        <w:tc>
          <w:tcPr>
            <w:tcW w:w="1280" w:type="dxa"/>
            <w:vAlign w:val="bottom"/>
          </w:tcPr>
          <w:p>
            <w:pPr>
              <w:jc w:val="right"/>
              <w:ind w:right="58"/>
              <w:spacing w:after="0"/>
              <w:rPr>
                <w:sz w:val="20"/>
                <w:szCs w:val="20"/>
                <w:color w:val="auto"/>
              </w:rPr>
            </w:pPr>
            <w:r>
              <w:rPr>
                <w:rFonts w:ascii="Arial" w:cs="Arial" w:eastAsia="Arial" w:hAnsi="Arial"/>
                <w:sz w:val="18"/>
                <w:szCs w:val="18"/>
                <w:color w:val="auto"/>
              </w:rPr>
              <w:t>3,259</w:t>
            </w:r>
          </w:p>
        </w:tc>
        <w:tc>
          <w:tcPr>
            <w:tcW w:w="20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(103)</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612</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963</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31"/>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18,806</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3,871</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(2,746)</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19,931</w:t>
            </w:r>
          </w:p>
        </w:tc>
        <w:tc>
          <w:tcPr>
            <w:tcW w:w="0" w:type="dxa"/>
            <w:vAlign w:val="bottom"/>
          </w:tcPr>
          <w:p>
            <w:pPr>
              <w:spacing w:after="0"/>
              <w:rPr>
                <w:sz w:val="1"/>
                <w:szCs w:val="1"/>
                <w:color w:val="auto"/>
              </w:rPr>
            </w:pPr>
          </w:p>
        </w:tc>
      </w:tr>
      <w:tr>
        <w:trPr>
          <w:trHeight w:val="33"/>
        </w:trPr>
        <w:tc>
          <w:tcPr>
            <w:tcW w:w="58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8,359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(38,756)</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(31,112)</w:t>
            </w:r>
          </w:p>
        </w:tc>
        <w:tc>
          <w:tcPr>
            <w:tcW w:w="0" w:type="dxa"/>
            <w:vAlign w:val="bottom"/>
          </w:tcPr>
          <w:p>
            <w:pPr>
              <w:spacing w:after="0"/>
              <w:rPr>
                <w:sz w:val="1"/>
                <w:szCs w:val="1"/>
                <w:color w:val="auto"/>
              </w:rPr>
            </w:pP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Period</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(1,915)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(5,085)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(27,715)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(34,715)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(8,120)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(11,404)</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280" w:type="dxa"/>
            <w:vAlign w:val="bottom"/>
          </w:tcPr>
          <w:p>
            <w:pPr>
              <w:spacing w:after="0"/>
              <w:rPr>
                <w:sz w:val="20"/>
                <w:szCs w:val="20"/>
                <w:color w:val="auto"/>
              </w:rPr>
            </w:pPr>
          </w:p>
        </w:tc>
        <w:tc>
          <w:tcPr>
            <w:tcW w:w="12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1,595</w:t>
            </w:r>
          </w:p>
        </w:tc>
        <w:tc>
          <w:tcPr>
            <w:tcW w:w="20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958</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2,553</w:t>
            </w:r>
          </w:p>
        </w:tc>
        <w:tc>
          <w:tcPr>
            <w:tcW w:w="0" w:type="dxa"/>
            <w:vAlign w:val="bottom"/>
          </w:tcPr>
          <w:p>
            <w:pPr>
              <w:spacing w:after="0"/>
              <w:rPr>
                <w:sz w:val="1"/>
                <w:szCs w:val="1"/>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(8,120)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1,595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(8,851)</w:t>
            </w:r>
          </w:p>
        </w:tc>
        <w:tc>
          <w:tcPr>
            <w:tcW w:w="0" w:type="dxa"/>
            <w:vAlign w:val="bottom"/>
          </w:tcPr>
          <w:p>
            <w:pPr>
              <w:spacing w:after="0"/>
              <w:rPr>
                <w:sz w:val="1"/>
                <w:szCs w:val="1"/>
                <w:color w:val="auto"/>
              </w:rPr>
            </w:pPr>
          </w:p>
        </w:tc>
      </w:tr>
      <w:tr>
        <w:trPr>
          <w:trHeight w:val="220"/>
        </w:trPr>
        <w:tc>
          <w:tcPr>
            <w:tcW w:w="5520" w:type="dxa"/>
            <w:vAlign w:val="bottom"/>
          </w:tcPr>
          <w:p>
            <w:pPr>
              <w:ind w:left="40"/>
              <w:spacing w:after="0"/>
              <w:rPr>
                <w:sz w:val="20"/>
                <w:szCs w:val="20"/>
                <w:color w:val="auto"/>
              </w:rPr>
            </w:pPr>
            <w:r>
              <w:rPr>
                <w:rFonts w:ascii="Arial" w:cs="Arial" w:eastAsia="Arial" w:hAnsi="Arial"/>
                <w:sz w:val="16"/>
                <w:szCs w:val="16"/>
                <w:color w:val="auto"/>
              </w:rPr>
              <w:t>Reclassification of the Income Tax Effects of the</w:t>
            </w:r>
          </w:p>
        </w:tc>
        <w:tc>
          <w:tcPr>
            <w:tcW w:w="280" w:type="dxa"/>
            <w:vAlign w:val="bottom"/>
          </w:tcPr>
          <w:p>
            <w:pPr>
              <w:spacing w:after="0"/>
              <w:rPr>
                <w:sz w:val="19"/>
                <w:szCs w:val="19"/>
                <w:color w:val="auto"/>
              </w:rPr>
            </w:pPr>
          </w:p>
        </w:tc>
        <w:tc>
          <w:tcPr>
            <w:tcW w:w="1240" w:type="dxa"/>
            <w:vAlign w:val="bottom"/>
            <w:vMerge w:val="restart"/>
          </w:tcPr>
          <w:p>
            <w:pPr>
              <w:jc w:val="right"/>
              <w:ind w:right="18"/>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(5,969)</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240"/>
              <w:spacing w:after="0"/>
              <w:rPr>
                <w:sz w:val="20"/>
                <w:szCs w:val="20"/>
                <w:color w:val="auto"/>
              </w:rPr>
            </w:pPr>
            <w:r>
              <w:rPr>
                <w:rFonts w:ascii="Arial" w:cs="Arial" w:eastAsia="Arial" w:hAnsi="Arial"/>
                <w:sz w:val="16"/>
                <w:szCs w:val="16"/>
                <w:color w:val="auto"/>
              </w:rPr>
              <w:t>Tax Act from AOCI</w:t>
            </w:r>
          </w:p>
        </w:tc>
        <w:tc>
          <w:tcPr>
            <w:tcW w:w="2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(7,477)</w:t>
            </w:r>
          </w:p>
        </w:tc>
        <w:tc>
          <w:tcPr>
            <w:tcW w:w="0" w:type="dxa"/>
            <w:vAlign w:val="bottom"/>
          </w:tcPr>
          <w:p>
            <w:pPr>
              <w:spacing w:after="0"/>
              <w:rPr>
                <w:sz w:val="1"/>
                <w:szCs w:val="1"/>
                <w:color w:val="auto"/>
              </w:rPr>
            </w:pPr>
          </w:p>
        </w:tc>
      </w:tr>
      <w:tr>
        <w:trPr>
          <w:trHeight w:val="27"/>
        </w:trPr>
        <w:tc>
          <w:tcPr>
            <w:tcW w:w="58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(10,447)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(4,586)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(36,010)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(51,043)</w:t>
            </w:r>
          </w:p>
        </w:tc>
        <w:tc>
          <w:tcPr>
            <w:tcW w:w="0" w:type="dxa"/>
            <w:vAlign w:val="bottom"/>
          </w:tcPr>
          <w:p>
            <w:pPr>
              <w:spacing w:after="0"/>
              <w:rPr>
                <w:sz w:val="1"/>
                <w:szCs w:val="1"/>
                <w:color w:val="auto"/>
              </w:rPr>
            </w:pP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Period</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8"/>
              <w:spacing w:after="0"/>
              <w:rPr>
                <w:sz w:val="20"/>
                <w:szCs w:val="20"/>
                <w:color w:val="auto"/>
              </w:rPr>
            </w:pPr>
            <w:r>
              <w:rPr>
                <w:rFonts w:ascii="Arial" w:cs="Arial" w:eastAsia="Arial" w:hAnsi="Arial"/>
                <w:sz w:val="16"/>
                <w:szCs w:val="16"/>
                <w:color w:val="auto"/>
              </w:rPr>
              <w:t>1,270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(6,284)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(28,892)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(33,906)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(3,185)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535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280" w:type="dxa"/>
            <w:vAlign w:val="bottom"/>
          </w:tcPr>
          <w:p>
            <w:pPr>
              <w:spacing w:after="0"/>
              <w:rPr>
                <w:sz w:val="20"/>
                <w:szCs w:val="20"/>
                <w:color w:val="auto"/>
              </w:rPr>
            </w:pPr>
          </w:p>
        </w:tc>
        <w:tc>
          <w:tcPr>
            <w:tcW w:w="12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1,199</w:t>
            </w:r>
          </w:p>
        </w:tc>
        <w:tc>
          <w:tcPr>
            <w:tcW w:w="20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642</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0" w:type="dxa"/>
            <w:vAlign w:val="bottom"/>
          </w:tcPr>
          <w:p>
            <w:pPr>
              <w:spacing w:after="0"/>
              <w:rPr>
                <w:sz w:val="1"/>
                <w:szCs w:val="1"/>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(3,185)</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1,199</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1,177</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31"/>
        </w:trPr>
        <w:tc>
          <w:tcPr>
            <w:tcW w:w="5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6"/>
                <w:szCs w:val="16"/>
                <w:color w:val="auto"/>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(1,915)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(5,085)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(27,715)</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(34,715)</w:t>
            </w:r>
          </w:p>
        </w:tc>
        <w:tc>
          <w:tcPr>
            <w:tcW w:w="0" w:type="dxa"/>
            <w:vAlign w:val="bottom"/>
          </w:tcPr>
          <w:p>
            <w:pPr>
              <w:spacing w:after="0"/>
              <w:rPr>
                <w:sz w:val="1"/>
                <w:szCs w:val="1"/>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w w:val="99"/>
              </w:rPr>
              <w:t>Details about Accumulated Other Comprehensive Income (Loss)</w:t>
            </w:r>
          </w:p>
        </w:tc>
        <w:tc>
          <w:tcPr>
            <w:tcW w:w="480" w:type="dxa"/>
            <w:vAlign w:val="bottom"/>
          </w:tcPr>
          <w:p>
            <w:pPr>
              <w:spacing w:after="0"/>
              <w:rPr>
                <w:sz w:val="17"/>
                <w:szCs w:val="17"/>
                <w:color w:val="auto"/>
              </w:rPr>
            </w:pPr>
          </w:p>
        </w:tc>
        <w:tc>
          <w:tcPr>
            <w:tcW w:w="384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Amount Reclassified from Accumulated Other</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w w:val="95"/>
              </w:rPr>
              <w:t>Statement Where Net Income</w:t>
            </w:r>
          </w:p>
        </w:tc>
      </w:tr>
      <w:tr>
        <w:trPr>
          <w:trHeight w:val="24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Components</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w w:val="98"/>
              </w:rPr>
              <w:t>Comprehensive Income (Loss)</w:t>
            </w:r>
            <w:r>
              <w:rPr>
                <w:rFonts w:ascii="Arial" w:cs="Arial" w:eastAsia="Arial" w:hAnsi="Arial"/>
                <w:sz w:val="21"/>
                <w:szCs w:val="21"/>
                <w:b w:val="1"/>
                <w:bCs w:val="1"/>
                <w:color w:val="auto"/>
                <w:w w:val="98"/>
                <w:vertAlign w:val="superscript"/>
              </w:rPr>
              <w:t>1</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Is Presented</w:t>
            </w: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c>
          <w:tcPr>
            <w:tcW w:w="2160" w:type="dxa"/>
            <w:vAlign w:val="bottom"/>
          </w:tcPr>
          <w:p>
            <w:pPr>
              <w:spacing w:after="0"/>
              <w:rPr>
                <w:sz w:val="22"/>
                <w:szCs w:val="22"/>
                <w:color w:val="auto"/>
              </w:rPr>
            </w:pPr>
          </w:p>
        </w:tc>
      </w:tr>
      <w:tr>
        <w:trPr>
          <w:trHeight w:val="237"/>
        </w:trPr>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2160" w:type="dxa"/>
            <w:vAlign w:val="bottom"/>
          </w:tcPr>
          <w:p>
            <w:pPr>
              <w:spacing w:after="0"/>
              <w:rPr>
                <w:sz w:val="20"/>
                <w:szCs w:val="20"/>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0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Unrealized Holding Gains (Losses) on</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9"/>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r>
      <w:tr>
        <w:trPr>
          <w:trHeight w:val="237"/>
        </w:trPr>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221</w:t>
            </w:r>
          </w:p>
        </w:tc>
        <w:tc>
          <w:tcPr>
            <w:tcW w:w="4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569</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783</w:t>
            </w:r>
          </w:p>
        </w:tc>
        <w:tc>
          <w:tcPr>
            <w:tcW w:w="2160" w:type="dxa"/>
            <w:vAlign w:val="bottom"/>
          </w:tcPr>
          <w:p>
            <w:pPr>
              <w:ind w:left="40"/>
              <w:spacing w:after="0"/>
              <w:rPr>
                <w:sz w:val="20"/>
                <w:szCs w:val="20"/>
                <w:color w:val="auto"/>
              </w:rPr>
            </w:pPr>
            <w:r>
              <w:rPr>
                <w:rFonts w:ascii="Arial" w:cs="Arial" w:eastAsia="Arial" w:hAnsi="Arial"/>
                <w:sz w:val="16"/>
                <w:szCs w:val="16"/>
                <w:color w:val="auto"/>
              </w:rPr>
              <w:t>Provision for Income Tax</w:t>
            </w:r>
          </w:p>
        </w:tc>
      </w:tr>
      <w:tr>
        <w:trPr>
          <w:trHeight w:val="33"/>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Tax</w:t>
            </w:r>
          </w:p>
        </w:tc>
      </w:tr>
      <w:tr>
        <w:trPr>
          <w:trHeight w:val="220"/>
        </w:trPr>
        <w:tc>
          <w:tcPr>
            <w:tcW w:w="4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6"/>
                <w:szCs w:val="16"/>
                <w:color w:val="auto"/>
              </w:rPr>
              <w:t>Investment Securities Gains</w:t>
            </w:r>
          </w:p>
        </w:tc>
      </w:tr>
      <w:tr>
        <w:trPr>
          <w:trHeight w:val="206"/>
        </w:trPr>
        <w:tc>
          <w:tcPr>
            <w:tcW w:w="4900" w:type="dxa"/>
            <w:vAlign w:val="bottom"/>
          </w:tcPr>
          <w:p>
            <w:pPr>
              <w:ind w:left="20"/>
              <w:spacing w:after="0"/>
              <w:rPr>
                <w:sz w:val="20"/>
                <w:szCs w:val="20"/>
                <w:color w:val="auto"/>
              </w:rPr>
            </w:pPr>
            <w:r>
              <w:rPr>
                <w:rFonts w:ascii="Arial" w:cs="Arial" w:eastAsia="Arial" w:hAnsi="Arial"/>
                <w:sz w:val="16"/>
                <w:szCs w:val="16"/>
                <w:color w:val="auto"/>
              </w:rPr>
              <w:t>Sales of Investment Securities Available-for-Sale</w:t>
            </w:r>
          </w:p>
        </w:tc>
        <w:tc>
          <w:tcPr>
            <w:tcW w:w="48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152</w:t>
            </w:r>
          </w:p>
        </w:tc>
        <w:tc>
          <w:tcPr>
            <w:tcW w:w="4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Pr>
          <w:p>
            <w:pPr>
              <w:ind w:left="40"/>
              <w:spacing w:after="0"/>
              <w:rPr>
                <w:sz w:val="20"/>
                <w:szCs w:val="20"/>
                <w:color w:val="auto"/>
              </w:rPr>
            </w:pPr>
            <w:r>
              <w:rPr>
                <w:rFonts w:ascii="Arial" w:cs="Arial" w:eastAsia="Arial" w:hAnsi="Arial"/>
                <w:sz w:val="16"/>
                <w:szCs w:val="16"/>
                <w:color w:val="auto"/>
              </w:rPr>
              <w:t>(Losses), Net</w:t>
            </w:r>
          </w:p>
        </w:tc>
      </w:tr>
      <w:tr>
        <w:trPr>
          <w:trHeight w:val="33"/>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w:t>
            </w:r>
          </w:p>
        </w:tc>
      </w:tr>
      <w:tr>
        <w:trPr>
          <w:trHeight w:val="231"/>
        </w:trPr>
        <w:tc>
          <w:tcPr>
            <w:tcW w:w="49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103</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Pr>
          <w:p>
            <w:pPr>
              <w:ind w:left="40"/>
              <w:spacing w:after="0"/>
              <w:rPr>
                <w:sz w:val="20"/>
                <w:szCs w:val="20"/>
                <w:color w:val="auto"/>
              </w:rPr>
            </w:pPr>
            <w:r>
              <w:rPr>
                <w:rFonts w:ascii="Arial" w:cs="Arial" w:eastAsia="Arial" w:hAnsi="Arial"/>
                <w:sz w:val="16"/>
                <w:szCs w:val="16"/>
                <w:color w:val="auto"/>
              </w:rPr>
              <w:t>Net of Tax</w:t>
            </w:r>
          </w:p>
        </w:tc>
      </w:tr>
      <w:tr>
        <w:trPr>
          <w:trHeight w:val="33"/>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4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6"/>
                <w:szCs w:val="16"/>
                <w:color w:val="auto"/>
              </w:rPr>
              <w:t>Amortization of Defined Benefit Plans Items</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3"/>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4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288</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567</w:t>
            </w: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2160" w:type="dxa"/>
            <w:vAlign w:val="bottom"/>
            <w:shd w:val="clear" w:color="auto" w:fill="CCEEFF"/>
          </w:tcPr>
          <w:p>
            <w:pPr>
              <w:spacing w:after="0"/>
              <w:rPr>
                <w:sz w:val="23"/>
                <w:szCs w:val="23"/>
                <w:color w:val="auto"/>
              </w:rPr>
            </w:pPr>
          </w:p>
        </w:tc>
      </w:tr>
      <w:tr>
        <w:trPr>
          <w:trHeight w:val="270"/>
        </w:trPr>
        <w:tc>
          <w:tcPr>
            <w:tcW w:w="49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21"/>
                <w:szCs w:val="21"/>
                <w:color w:val="auto"/>
                <w:vertAlign w:val="superscript"/>
              </w:rPr>
              <w:t>2</w:t>
            </w: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(1,598)</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w:t>
            </w:r>
          </w:p>
        </w:tc>
        <w:tc>
          <w:tcPr>
            <w:tcW w:w="5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w:t>
            </w:r>
          </w:p>
        </w:tc>
        <w:tc>
          <w:tcPr>
            <w:tcW w:w="2160" w:type="dxa"/>
            <w:vAlign w:val="bottom"/>
            <w:tcBorders>
              <w:bottom w:val="single" w:sz="8" w:color="CCEEFF"/>
            </w:tcBorders>
          </w:tcPr>
          <w:p>
            <w:pPr>
              <w:spacing w:after="0"/>
              <w:rPr>
                <w:sz w:val="23"/>
                <w:szCs w:val="23"/>
                <w:color w:val="auto"/>
              </w:rPr>
            </w:pPr>
          </w:p>
        </w:tc>
      </w:tr>
      <w:tr>
        <w:trPr>
          <w:trHeight w:val="244"/>
        </w:trPr>
        <w:tc>
          <w:tcPr>
            <w:tcW w:w="4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Before Tax</w:t>
            </w:r>
          </w:p>
        </w:tc>
      </w:tr>
      <w:tr>
        <w:trPr>
          <w:trHeight w:val="237"/>
        </w:trPr>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347</w:t>
            </w:r>
          </w:p>
        </w:tc>
        <w:tc>
          <w:tcPr>
            <w:tcW w:w="4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310</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2160" w:type="dxa"/>
            <w:vAlign w:val="bottom"/>
          </w:tcPr>
          <w:p>
            <w:pPr>
              <w:ind w:left="40"/>
              <w:spacing w:after="0"/>
              <w:rPr>
                <w:sz w:val="20"/>
                <w:szCs w:val="20"/>
                <w:color w:val="auto"/>
              </w:rPr>
            </w:pPr>
            <w:r>
              <w:rPr>
                <w:rFonts w:ascii="Arial" w:cs="Arial" w:eastAsia="Arial" w:hAnsi="Arial"/>
                <w:sz w:val="16"/>
                <w:szCs w:val="16"/>
                <w:color w:val="auto"/>
              </w:rPr>
              <w:t>Provision for Income Tax</w:t>
            </w:r>
          </w:p>
        </w:tc>
      </w:tr>
      <w:tr>
        <w:trPr>
          <w:trHeight w:val="33"/>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Tax</w:t>
            </w:r>
          </w:p>
        </w:tc>
      </w:tr>
      <w:tr>
        <w:trPr>
          <w:trHeight w:val="223"/>
        </w:trPr>
        <w:tc>
          <w:tcPr>
            <w:tcW w:w="49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160" w:type="dxa"/>
            <w:vAlign w:val="bottom"/>
          </w:tcPr>
          <w:p>
            <w:pPr>
              <w:spacing w:after="0"/>
              <w:rPr>
                <w:sz w:val="19"/>
                <w:szCs w:val="19"/>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(1,472)</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w:t>
            </w:r>
          </w:p>
        </w:tc>
        <w:tc>
          <w:tcPr>
            <w:tcW w:w="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Tax</w:t>
            </w:r>
          </w:p>
        </w:tc>
      </w:tr>
      <w:tr>
        <w:trPr>
          <w:trHeight w:val="20"/>
        </w:trPr>
        <w:tc>
          <w:tcPr>
            <w:tcW w:w="4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62"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20" w:hanging="172"/>
        <w:spacing w:after="0" w:line="255" w:lineRule="auto"/>
        <w:tabs>
          <w:tab w:leader="none" w:pos="180" w:val="left"/>
        </w:tabs>
        <w:numPr>
          <w:ilvl w:val="0"/>
          <w:numId w:val="53"/>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14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29"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basic earnings per share. The following is a reconciliation of the weighted average number of common shares outstanding for computing diluted earnings per share and antidilutive stock options and restricted stock outstanding for the years ended December 31, 2019, December 31, 2018, and December 31, 2017: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60" w:type="dxa"/>
            <w:vAlign w:val="bottom"/>
          </w:tcPr>
          <w:p>
            <w:pPr>
              <w:jc w:val="right"/>
              <w:ind w:right="419"/>
              <w:spacing w:after="0"/>
              <w:rPr>
                <w:sz w:val="20"/>
                <w:szCs w:val="20"/>
                <w:color w:val="auto"/>
              </w:rPr>
            </w:pPr>
            <w:r>
              <w:rPr>
                <w:rFonts w:ascii="Arial" w:cs="Arial" w:eastAsia="Arial" w:hAnsi="Arial"/>
                <w:sz w:val="16"/>
                <w:szCs w:val="16"/>
                <w:b w:val="1"/>
                <w:bCs w:val="1"/>
                <w:color w:val="auto"/>
                <w:w w:val="98"/>
              </w:rPr>
              <w:t>Weighted Average Shares</w:t>
            </w:r>
          </w:p>
        </w:tc>
        <w:tc>
          <w:tcPr>
            <w:tcW w:w="134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24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33"/>
        </w:trPr>
        <w:tc>
          <w:tcPr>
            <w:tcW w:w="5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40,384,328</w:t>
            </w:r>
          </w:p>
        </w:tc>
        <w:tc>
          <w:tcPr>
            <w:tcW w:w="24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41,714,770</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42,280,931</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265,242</w:t>
            </w:r>
          </w:p>
        </w:tc>
        <w:tc>
          <w:tcPr>
            <w:tcW w:w="2460" w:type="dxa"/>
            <w:vAlign w:val="bottom"/>
          </w:tcPr>
          <w:p>
            <w:pPr>
              <w:jc w:val="right"/>
              <w:ind w:right="599"/>
              <w:spacing w:after="0"/>
              <w:rPr>
                <w:sz w:val="20"/>
                <w:szCs w:val="20"/>
                <w:color w:val="auto"/>
              </w:rPr>
            </w:pPr>
            <w:r>
              <w:rPr>
                <w:rFonts w:ascii="Arial" w:cs="Arial" w:eastAsia="Arial" w:hAnsi="Arial"/>
                <w:sz w:val="16"/>
                <w:szCs w:val="16"/>
                <w:color w:val="auto"/>
              </w:rPr>
              <w:t>284,629</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326,126</w:t>
            </w:r>
          </w:p>
        </w:tc>
      </w:tr>
      <w:tr>
        <w:trPr>
          <w:trHeight w:val="33"/>
        </w:trPr>
        <w:tc>
          <w:tcPr>
            <w:tcW w:w="5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40,649,570</w:t>
            </w:r>
          </w:p>
        </w:tc>
        <w:tc>
          <w:tcPr>
            <w:tcW w:w="24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41,999,399</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42,607,057</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9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4,905</w:t>
            </w:r>
          </w:p>
        </w:tc>
        <w:tc>
          <w:tcPr>
            <w:tcW w:w="24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32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provision for income taxes is allocated to business segments using a 26% effective income tax rate. However, the provision for income taxes for our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small business loans and leases, and credit cards. Deposit products include checking, savings, and time deposit accounts. Retail Banking also offers retail insurance products. Products and services from Retail Banking are delivered to customers through 68 branch locations and 387 ATMs throughout Hawaii and the Pacific Islands, e-Bankoh (on-line banking service), a 24-hour customer service center, and a mobile banking service.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Selected business segment financial information as of and for the years ended December 31, 2019, December 31, 2018, and December 31, 2017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Retail</w:t>
            </w:r>
          </w:p>
        </w:tc>
        <w:tc>
          <w:tcPr>
            <w:tcW w:w="32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2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Services and</w:t>
            </w:r>
          </w:p>
        </w:tc>
        <w:tc>
          <w:tcPr>
            <w:tcW w:w="32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Treasury</w:t>
            </w:r>
          </w:p>
        </w:tc>
        <w:tc>
          <w:tcPr>
            <w:tcW w:w="2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r>
      <w:tr>
        <w:trPr>
          <w:trHeight w:val="237"/>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Banking</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Private Banking</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2019</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266,429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185,259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39,374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6,653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497,715</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11,670</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976</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3,339</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16,000</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254,759</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184,283</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39,359</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3,314</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481,715</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86,682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33,362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55,696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7,598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183,338</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(216,688)</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(84,616)</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(64,974)</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(12,949)</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(379,227)</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124,753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133,029</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30,081</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285,826</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(30,725)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(28,852)</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(7,929)</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7,593</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(59,913)</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94,028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104,177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22,152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225,913</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Total Assets as of December 31, 2019</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6,732,811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4,254,261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321,700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6,786,724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18,095,496</w:t>
            </w:r>
          </w:p>
        </w:tc>
      </w:tr>
      <w:tr>
        <w:trPr>
          <w:trHeight w:val="73"/>
        </w:trPr>
        <w:tc>
          <w:tcPr>
            <w:tcW w:w="39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78"/>
        </w:trPr>
        <w:tc>
          <w:tcPr>
            <w:tcW w:w="39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264,459</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179,577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41,222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486,352</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7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14,898</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(760)</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(652)</w:t>
            </w:r>
          </w:p>
        </w:tc>
        <w:tc>
          <w:tcPr>
            <w:tcW w:w="2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13,425</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249,561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180,337</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41,283</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472,927</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7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79,004</w:t>
            </w:r>
          </w:p>
        </w:tc>
        <w:tc>
          <w:tcPr>
            <w:tcW w:w="3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23,733</w:t>
            </w:r>
          </w:p>
        </w:tc>
        <w:tc>
          <w:tcPr>
            <w:tcW w:w="2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55,338</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10,848</w:t>
            </w:r>
          </w:p>
        </w:tc>
        <w:tc>
          <w:tcPr>
            <w:tcW w:w="2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168,923</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(211,761)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(81,344)</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(65,847)</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(12,672)</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(371,624)</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116,804</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122,726</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30,774</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270,226</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(29,172)</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(28,496)</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(8,113)</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15,157</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(50,624)</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87,632</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94,230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22,661</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15,079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219,602</w:t>
            </w:r>
          </w:p>
        </w:tc>
      </w:tr>
      <w:tr>
        <w:trPr>
          <w:trHeight w:val="73"/>
        </w:trPr>
        <w:tc>
          <w:tcPr>
            <w:tcW w:w="39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as of December 31, 2018</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6,365,263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3,958,523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349,832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6,470,356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17,143,974</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264,041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171,038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29,693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457,238</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14,008</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3,073</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16,900</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250,033</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171,198</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29,714</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(10,607)</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440,338</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85,042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21,670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57,105</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21,600</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185,417</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(209,807)</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(74,209)</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(61,674)</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(12,001)</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(357,691)</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125,268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118,659</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25,145</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268,064</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(44,545)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(41,797)</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(9,303)</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12,253</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(83,392)</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80,723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76,862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15,842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184,672</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Total Assets as of December 31, 2017</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5,936,568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3,742,991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336,455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7,073,038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17,089,052</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defined contribution plans, defined benefit plans, and a postretirement benefit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Bank of Hawaii Retirement Savings Plan (the “Savings Plan”) has three Company contribution components in addition to employee contributions: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 401(k) matching, as described below; 2) a 3% fixed amount based on eligible compensation; and 3) a discretionary value-sharing contribution.</w:t>
      </w:r>
    </w:p>
    <w:p>
      <w:pPr>
        <w:spacing w:after="0" w:line="2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401(k) matching component, participating employees may contribute up to 50% of their eligible compensation (within federal limits) to the Savings Plan. The Company makes matching contributions on behalf of participants equal to $1.25 for each $1.00 contributed by participants, up to 2% of the participants’ eligible compensation, and $0.50 for every $1.00 contributed by participants over 2%, up to 5% of the participants’ eligible compensation. A 3% fixed contribution and a discretionary value-sharing contribution, that is linked to the Company’s financial goals, are made regardless of whether the participating employee contributes to the Savings Plan and are invested in accordance with the participant’s selection of investment options available under the Savings Plan. The Company also has a non-qualified savings plan which covers certain employees with compensation exceeding Internal Revenue Service (“IRS”) limits on pay amounts in the allocation of the Savings Plan’s benefits. Total expense for all components of the Company’s defined contribution plans was $15.2 million, $14.5 million, and $13.5 million for the years ended December 31, 2019, December 31, 2018, and December 31,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Company has two defined benefit plans (the “Pension Plans”). In 1995, the Company froze its non-contributory, qualified defined benefit retirement plan (the “Retirement Plan”) and the excess retirement plan (the “Excess Plan”), which covered employees of the Company and participating subsidiaries who met certain eligibility requirements. Beginning January 1, 2001, the Pension Plans no longer provided for compensation increases in the determination of benefits. The projected benefit obligation is equal to the accumulated benefit obligation due to the frozen status of the Pension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assets of the Retirement Plan primarily consist of equity and fixed income mutual funds.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Excess Plan is a non-qualified excess retirement benefit plan which covers certain employees of the Company and participating subsidiaries with compensation exceeding IRS limits on pay amounts applicable to the Pension Plan’s benefit formula. The Excess Plan has no plan assets. The Excess Plan’s projected benefit obligation and accumulated benefit obligation were $3.6 million for December 31, 2019, and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Plan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postretirement benefit plan provides retirees hired before January 1, 2012, with medical and dental insurance coverage. For eligible participants that retired before 2008 and met certain age requirements, the Company and retiree share in the cost of providing postretirement benefits where both the employer and retiree pay a portion of the insurance premiums. Eligible participants who retired before 2008 who did not meet certain age requirements continued on the Company’s benefit plans, but pay for their full insurance premiums. Participants who retired on or after January 1, 2008, who had medical or dental coverage under the Company’s plans immediately before retirement and meet certain age and years of service requirements as of December 31, 2008, are also eligible to participate in the Company’s benefit plans, but must pay for their full insurance premiums. Retirees age 65 and older are provided with a Medicare supplemental plan subsidy. Most employees of the Company who have met certain eligibility requirements are covered by this plan. Participants who retired on or after January 1, 2008, who met certain age and/or years of service requirements, are eligible for the Health Reimbursement Account (“HRA”) program. The HRA program provides retirees with an initial credit based on years of service. Thereafter, an annual credit up to a maximum of $1,200 is provided into the HRA. The retiree may use the HRA for medical, vision, prescription drug and dental premiums, co-payments, and medically necessary health care expenses that are not covered by any medical or dental insurance program or flexible health spending account. The plan was amended to provide access-only coverage for employees hired on or after January 1, 2012, and lowered eligibility for access from age 55 to age 50. These retirees continue on the medical and dental plan until age 65 paying the full premium. As of December 31, 2019, and December 31, 2018, the Company had no segregated assets to provide for postretirement benefits.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following table provides a reconciliation of changes in benefit obligation and fair value of plan assets, as well as the funded status recognized in the Company’s consolidated statements of condition for the Pension Plans and postretirement benefit plan for the years ended December 31, 2019, and December 31,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Pension Benefits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Postretirement Benefits</w:t>
            </w:r>
          </w:p>
        </w:tc>
      </w:tr>
      <w:tr>
        <w:trPr>
          <w:trHeight w:val="33"/>
        </w:trPr>
        <w:tc>
          <w:tcPr>
            <w:tcW w:w="5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 Obligation at Beginning of Year</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102,662</w:t>
            </w:r>
          </w:p>
        </w:tc>
        <w:tc>
          <w:tcPr>
            <w:tcW w:w="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110,080</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23,452</w:t>
            </w:r>
          </w:p>
        </w:tc>
        <w:tc>
          <w:tcPr>
            <w:tcW w:w="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24,206</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Service Cost</w:t>
            </w:r>
          </w:p>
        </w:tc>
        <w:tc>
          <w:tcPr>
            <w:tcW w:w="380" w:type="dxa"/>
            <w:vAlign w:val="bottom"/>
          </w:tcPr>
          <w:p>
            <w:pPr>
              <w:spacing w:after="0"/>
              <w:rPr>
                <w:sz w:val="20"/>
                <w:szCs w:val="20"/>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455</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4,401</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4,193</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1,025</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w:t>
            </w:r>
          </w:p>
        </w:tc>
      </w:tr>
      <w:tr>
        <w:trPr>
          <w:trHeight w:val="270"/>
        </w:trPr>
        <w:tc>
          <w:tcPr>
            <w:tcW w:w="5260" w:type="dxa"/>
            <w:vAlign w:val="bottom"/>
          </w:tcPr>
          <w:p>
            <w:pPr>
              <w:ind w:left="180"/>
              <w:spacing w:after="0"/>
              <w:rPr>
                <w:sz w:val="20"/>
                <w:szCs w:val="20"/>
                <w:color w:val="auto"/>
              </w:rPr>
            </w:pPr>
            <w:r>
              <w:rPr>
                <w:rFonts w:ascii="Arial" w:cs="Arial" w:eastAsia="Arial" w:hAnsi="Arial"/>
                <w:sz w:val="16"/>
                <w:szCs w:val="16"/>
                <w:color w:val="auto"/>
              </w:rPr>
              <w:t xml:space="preserve">Plan Amendment </w:t>
            </w:r>
            <w:r>
              <w:rPr>
                <w:rFonts w:ascii="Arial" w:cs="Arial" w:eastAsia="Arial" w:hAnsi="Arial"/>
                <w:sz w:val="21"/>
                <w:szCs w:val="21"/>
                <w:color w:val="auto"/>
                <w:vertAlign w:val="superscript"/>
              </w:rPr>
              <w:t>3</w:t>
            </w:r>
          </w:p>
        </w:tc>
        <w:tc>
          <w:tcPr>
            <w:tcW w:w="3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3"/>
                <w:szCs w:val="23"/>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10,359</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4,095</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w:t>
            </w:r>
          </w:p>
        </w:tc>
      </w:tr>
      <w:tr>
        <w:trPr>
          <w:trHeight w:val="27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Employer Benefits Paid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(6,785)</w:t>
            </w:r>
          </w:p>
        </w:tc>
        <w:tc>
          <w:tcPr>
            <w:tcW w:w="7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(1,456)</w:t>
            </w:r>
          </w:p>
        </w:tc>
        <w:tc>
          <w:tcPr>
            <w:tcW w:w="5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110,637</w:t>
            </w:r>
          </w:p>
        </w:tc>
        <w:tc>
          <w:tcPr>
            <w:tcW w:w="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102,662</w:t>
            </w:r>
          </w:p>
        </w:tc>
        <w:tc>
          <w:tcPr>
            <w:tcW w:w="4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27,571</w:t>
            </w:r>
          </w:p>
        </w:tc>
        <w:tc>
          <w:tcPr>
            <w:tcW w:w="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23,452</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Fair Value of Plan Assets at Beginning of Year</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85,553</w:t>
            </w:r>
          </w:p>
        </w:tc>
        <w:tc>
          <w:tcPr>
            <w:tcW w:w="7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96,908</w:t>
            </w:r>
          </w:p>
        </w:tc>
        <w:tc>
          <w:tcPr>
            <w:tcW w:w="4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Actual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14,400</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(5,246)</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Employer Contributions</w:t>
            </w:r>
          </w:p>
        </w:tc>
        <w:tc>
          <w:tcPr>
            <w:tcW w:w="380" w:type="dxa"/>
            <w:vAlign w:val="bottom"/>
          </w:tcPr>
          <w:p>
            <w:pPr>
              <w:spacing w:after="0"/>
              <w:rPr>
                <w:sz w:val="20"/>
                <w:szCs w:val="20"/>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470</w:t>
            </w:r>
          </w:p>
        </w:tc>
        <w:tc>
          <w:tcPr>
            <w:tcW w:w="7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471</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1,456</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1,278</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 xml:space="preserve">Employer Benefits Paid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(6,785)</w:t>
            </w:r>
          </w:p>
        </w:tc>
        <w:tc>
          <w:tcPr>
            <w:tcW w:w="7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(6,580)</w:t>
            </w:r>
          </w:p>
        </w:tc>
        <w:tc>
          <w:tcPr>
            <w:tcW w:w="4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(1,456)</w:t>
            </w: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Fair Value of Plan Assets at End of Year</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93,638</w:t>
            </w:r>
          </w:p>
        </w:tc>
        <w:tc>
          <w:tcPr>
            <w:tcW w:w="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85,553</w:t>
            </w:r>
          </w:p>
        </w:tc>
        <w:tc>
          <w:tcPr>
            <w:tcW w:w="4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Funded Status at End of Year </w:t>
            </w:r>
            <w:r>
              <w:rPr>
                <w:rFonts w:ascii="Arial" w:cs="Arial" w:eastAsia="Arial" w:hAnsi="Arial"/>
                <w:sz w:val="21"/>
                <w:szCs w:val="21"/>
                <w:b w:val="1"/>
                <w:bCs w:val="1"/>
                <w:color w:val="auto"/>
                <w:vertAlign w:val="superscript"/>
              </w:rPr>
              <w:t>2</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(16,999)</w:t>
            </w:r>
          </w:p>
        </w:tc>
        <w:tc>
          <w:tcPr>
            <w:tcW w:w="7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(17,109)</w:t>
            </w:r>
          </w:p>
        </w:tc>
        <w:tc>
          <w:tcPr>
            <w:tcW w:w="4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(27,571)</w:t>
            </w:r>
          </w:p>
        </w:tc>
        <w:tc>
          <w:tcPr>
            <w:tcW w:w="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(23,452)</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60" w:hanging="172"/>
        <w:spacing w:after="0" w:line="261" w:lineRule="auto"/>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Participants' contributions relative to the postretirement benefit plan were offset against employer benefits paid in the table above. Participants' contributions for postretirement benefits were $0.7 million and $0.6 million for the years ended December 31, 2019, and December 31, 2018, respectively.</w:t>
      </w:r>
    </w:p>
    <w:p>
      <w:pPr>
        <w:spacing w:after="0" w:line="1"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Amounts are recognized in Retirement Benefits Payable in the consolidated statements of condition.</w:t>
      </w:r>
    </w:p>
    <w:p>
      <w:pPr>
        <w:spacing w:after="0" w:line="28"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9"/>
          <w:szCs w:val="9"/>
          <w:color w:val="auto"/>
        </w:rPr>
      </w:pPr>
      <w:r>
        <w:rPr>
          <w:rFonts w:ascii="Arial" w:cs="Arial" w:eastAsia="Arial" w:hAnsi="Arial"/>
          <w:sz w:val="14"/>
          <w:szCs w:val="14"/>
          <w:color w:val="auto"/>
        </w:rPr>
        <w:t>For certain retirees, medical premiums were changed to a full retiree rate instead of a blended rate.</w:t>
      </w:r>
    </w:p>
    <w:p>
      <w:pPr>
        <w:spacing w:after="0" w:line="19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changes in actuarial losses (gains) related to the Company’s Pension and postretirement benefit Plans are mainly due to changes in discount rates for the years ended December 31, 2019, and December 31, 2018. For the year ended December 31, 2019, the change in discount rate resulted in a $10.8 million increase to the Company’s Pension Plans liability and a $3.4 million increase to the Company’s postretirement benefit plan liability. For the year ended December 31, 2018, the change in discount rate resulted in a $5.4 million reduction to the Company’s Pension Plans liability and a $1.6 million reduction to the Company’s postretirement benefit plan liability.</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presents the amounts recognized in the Company’s accumulated other comprehensive income for the Pension Plans and postretirement benefit plan as of December 31, 2019, and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Pension Benefits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50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8"/>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15"/>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Amounts Recognized in Accumulated Other</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 Net of Tax</w:t>
            </w:r>
          </w:p>
        </w:tc>
        <w:tc>
          <w:tcPr>
            <w:tcW w:w="3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Actuarial Gains (Losses)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(41,404)</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(42,127)</w:t>
            </w:r>
          </w:p>
        </w:tc>
        <w:tc>
          <w:tcPr>
            <w:tcW w:w="34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1,003</w:t>
            </w:r>
          </w:p>
        </w:tc>
        <w:tc>
          <w:tcPr>
            <w:tcW w:w="9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4,261</w:t>
            </w:r>
          </w:p>
        </w:tc>
      </w:tr>
      <w:tr>
        <w:trPr>
          <w:trHeight w:val="33"/>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Credit</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1,645</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1,856</w:t>
            </w:r>
          </w:p>
        </w:tc>
      </w:tr>
      <w:tr>
        <w:trPr>
          <w:trHeight w:val="209"/>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Amounts Recognized in Accumulated Other</w:t>
            </w: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 Net of Tax</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(41,404)</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(42,127)</w:t>
            </w:r>
          </w:p>
        </w:tc>
        <w:tc>
          <w:tcPr>
            <w:tcW w:w="3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2,648</w:t>
            </w:r>
          </w:p>
        </w:tc>
        <w:tc>
          <w:tcPr>
            <w:tcW w:w="9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6,117</w:t>
            </w:r>
          </w:p>
        </w:tc>
      </w:tr>
      <w:tr>
        <w:trPr>
          <w:trHeight w:val="33"/>
        </w:trPr>
        <w:tc>
          <w:tcPr>
            <w:tcW w:w="5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years ended December 31, 2019, December 31, 2018, and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Pension Benefits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Postretirement Benefits</w:t>
            </w:r>
          </w:p>
        </w:tc>
        <w:tc>
          <w:tcPr>
            <w:tcW w:w="68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455</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457</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32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4,401</w:t>
            </w:r>
          </w:p>
        </w:tc>
        <w:tc>
          <w:tcPr>
            <w:tcW w:w="48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4,193</w:t>
            </w: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4,665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1,025</w:t>
            </w:r>
          </w:p>
        </w:tc>
        <w:tc>
          <w:tcPr>
            <w:tcW w:w="46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936</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1,093</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(4,993)</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(5,122)</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(288)</w:t>
            </w: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(567)</w:t>
            </w: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70"/>
        </w:trPr>
        <w:tc>
          <w:tcPr>
            <w:tcW w:w="41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Net Actuarial Losses (Gains)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1,937</w:t>
            </w: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2,099</w:t>
            </w: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1,817</w:t>
            </w:r>
          </w:p>
        </w:tc>
        <w:tc>
          <w:tcPr>
            <w:tcW w:w="2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(339)</w:t>
            </w:r>
          </w:p>
        </w:tc>
        <w:tc>
          <w:tcPr>
            <w:tcW w:w="4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(264)</w:t>
            </w:r>
          </w:p>
        </w:tc>
        <w:tc>
          <w:tcPr>
            <w:tcW w:w="4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1,345</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1,170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1,471</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853</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562</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9"/>
          <w:szCs w:val="9"/>
          <w:color w:val="auto"/>
        </w:rPr>
      </w:pPr>
      <w:r>
        <w:rPr>
          <w:rFonts w:ascii="Arial" w:cs="Arial" w:eastAsia="Arial" w:hAnsi="Arial"/>
          <w:sz w:val="14"/>
          <w:szCs w:val="14"/>
          <w:color w:val="auto"/>
        </w:rPr>
        <w:t>Represents reclassification adjustments from accumulated other comprehensive income during the period.</w:t>
      </w:r>
    </w:p>
    <w:p>
      <w:pPr>
        <w:sectPr>
          <w:pgSz w:w="11900" w:h="16838" w:orient="portrait"/>
          <w:cols w:equalWidth="0" w:num="1">
            <w:col w:w="11420"/>
          </w:cols>
          <w:pgMar w:left="240" w:top="125" w:right="239" w:bottom="1079"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5" w:right="239" w:bottom="1079"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Assumptions used to determine the benefit obligations as of December 31, 2019, and December 31, 2018, for the Company’s Pension Plans and postretirement benefit plan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Pension Benefits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120" w:type="dxa"/>
            <w:vAlign w:val="bottom"/>
          </w:tcPr>
          <w:p>
            <w:pPr>
              <w:jc w:val="right"/>
              <w:ind w:right="919"/>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2260" w:type="dxa"/>
            <w:vAlign w:val="bottom"/>
          </w:tcPr>
          <w:p>
            <w:pPr>
              <w:jc w:val="right"/>
              <w:ind w:right="1059"/>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Assumptions as of December 31:</w:t>
            </w:r>
          </w:p>
        </w:tc>
        <w:tc>
          <w:tcPr>
            <w:tcW w:w="2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Discount Rate</w:t>
            </w:r>
          </w:p>
        </w:tc>
        <w:tc>
          <w:tcPr>
            <w:tcW w:w="2120" w:type="dxa"/>
            <w:vAlign w:val="bottom"/>
          </w:tcPr>
          <w:p>
            <w:pPr>
              <w:jc w:val="right"/>
              <w:ind w:right="799"/>
              <w:spacing w:after="0"/>
              <w:rPr>
                <w:sz w:val="20"/>
                <w:szCs w:val="20"/>
                <w:color w:val="auto"/>
              </w:rPr>
            </w:pPr>
            <w:r>
              <w:rPr>
                <w:rFonts w:ascii="Arial" w:cs="Arial" w:eastAsia="Arial" w:hAnsi="Arial"/>
                <w:sz w:val="16"/>
                <w:szCs w:val="16"/>
                <w:color w:val="auto"/>
              </w:rPr>
              <w:t>3.36%</w:t>
            </w:r>
          </w:p>
        </w:tc>
        <w:tc>
          <w:tcPr>
            <w:tcW w:w="660" w:type="dxa"/>
            <w:vAlign w:val="bottom"/>
          </w:tcPr>
          <w:p>
            <w:pPr>
              <w:jc w:val="right"/>
              <w:spacing w:after="0"/>
              <w:rPr>
                <w:sz w:val="20"/>
                <w:szCs w:val="20"/>
                <w:color w:val="auto"/>
              </w:rPr>
            </w:pPr>
            <w:r>
              <w:rPr>
                <w:rFonts w:ascii="Arial" w:cs="Arial" w:eastAsia="Arial" w:hAnsi="Arial"/>
                <w:sz w:val="16"/>
                <w:szCs w:val="16"/>
                <w:color w:val="auto"/>
              </w:rPr>
              <w:t>4.41%</w:t>
            </w:r>
          </w:p>
        </w:tc>
        <w:tc>
          <w:tcPr>
            <w:tcW w:w="220" w:type="dxa"/>
            <w:vAlign w:val="bottom"/>
          </w:tcPr>
          <w:p>
            <w:pPr>
              <w:spacing w:after="0"/>
              <w:rPr>
                <w:sz w:val="20"/>
                <w:szCs w:val="20"/>
                <w:color w:val="auto"/>
              </w:rPr>
            </w:pPr>
          </w:p>
        </w:tc>
        <w:tc>
          <w:tcPr>
            <w:tcW w:w="2260" w:type="dxa"/>
            <w:vAlign w:val="bottom"/>
          </w:tcPr>
          <w:p>
            <w:pPr>
              <w:jc w:val="right"/>
              <w:ind w:right="919"/>
              <w:spacing w:after="0"/>
              <w:rPr>
                <w:sz w:val="20"/>
                <w:szCs w:val="20"/>
                <w:color w:val="auto"/>
              </w:rPr>
            </w:pPr>
            <w:r>
              <w:rPr>
                <w:rFonts w:ascii="Arial" w:cs="Arial" w:eastAsia="Arial" w:hAnsi="Arial"/>
                <w:sz w:val="16"/>
                <w:szCs w:val="16"/>
                <w:color w:val="auto"/>
              </w:rPr>
              <w:t>3.42%</w:t>
            </w:r>
          </w:p>
        </w:tc>
        <w:tc>
          <w:tcPr>
            <w:tcW w:w="54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33"/>
        </w:trPr>
        <w:tc>
          <w:tcPr>
            <w:tcW w:w="5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Care Cost Trend Rate Assumed For Next Year</w:t>
            </w:r>
          </w:p>
        </w:tc>
        <w:tc>
          <w:tcPr>
            <w:tcW w:w="2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5.70%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56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health care cost trend rate is assumed to decrease annually, until reaching the ultimate trend rate of 4.5% in 2036.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to determine the net periodic benefit cost for the Company’s Pension Plans and postretirement benefit plan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December 31, 2018, and December 31, 2017,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Pension Benefits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Postretirement Benefits</w:t>
            </w:r>
          </w:p>
        </w:tc>
        <w:tc>
          <w:tcPr>
            <w:tcW w:w="68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456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33"/>
        </w:trPr>
        <w:tc>
          <w:tcPr>
            <w:tcW w:w="4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Assumptions as of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4560" w:type="dxa"/>
            <w:vAlign w:val="bottom"/>
          </w:tcPr>
          <w:p>
            <w:pPr>
              <w:ind w:left="280"/>
              <w:spacing w:after="0"/>
              <w:rPr>
                <w:sz w:val="20"/>
                <w:szCs w:val="20"/>
                <w:color w:val="auto"/>
              </w:rPr>
            </w:pPr>
            <w:r>
              <w:rPr>
                <w:rFonts w:ascii="Arial" w:cs="Arial" w:eastAsia="Arial" w:hAnsi="Arial"/>
                <w:sz w:val="16"/>
                <w:szCs w:val="16"/>
                <w:color w:val="auto"/>
              </w:rPr>
              <w:t>Discount Rate</w:t>
            </w:r>
          </w:p>
        </w:tc>
        <w:tc>
          <w:tcPr>
            <w:tcW w:w="1080" w:type="dxa"/>
            <w:vAlign w:val="bottom"/>
          </w:tcPr>
          <w:p>
            <w:pPr>
              <w:jc w:val="right"/>
              <w:spacing w:after="0"/>
              <w:rPr>
                <w:sz w:val="20"/>
                <w:szCs w:val="20"/>
                <w:color w:val="auto"/>
              </w:rPr>
            </w:pPr>
            <w:r>
              <w:rPr>
                <w:rFonts w:ascii="Arial" w:cs="Arial" w:eastAsia="Arial" w:hAnsi="Arial"/>
                <w:sz w:val="16"/>
                <w:szCs w:val="16"/>
                <w:color w:val="auto"/>
              </w:rPr>
              <w:t>4.41%</w:t>
            </w: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3.90%</w:t>
            </w:r>
          </w:p>
        </w:tc>
        <w:tc>
          <w:tcPr>
            <w:tcW w:w="80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4.48%</w:t>
            </w: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3.96%</w:t>
            </w:r>
          </w:p>
        </w:tc>
        <w:tc>
          <w:tcPr>
            <w:tcW w:w="68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33"/>
        </w:trPr>
        <w:tc>
          <w:tcPr>
            <w:tcW w:w="4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Expected Long-Term Rate of Return on Plan Assets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5.75%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4560" w:type="dxa"/>
            <w:vAlign w:val="bottom"/>
          </w:tcPr>
          <w:p>
            <w:pPr>
              <w:ind w:left="280"/>
              <w:spacing w:after="0"/>
              <w:rPr>
                <w:sz w:val="20"/>
                <w:szCs w:val="20"/>
                <w:color w:val="auto"/>
              </w:rPr>
            </w:pPr>
            <w:r>
              <w:rPr>
                <w:rFonts w:ascii="Arial" w:cs="Arial" w:eastAsia="Arial" w:hAnsi="Arial"/>
                <w:sz w:val="16"/>
                <w:szCs w:val="16"/>
                <w:color w:val="auto"/>
              </w:rPr>
              <w:t>Health Care Cost Trend Rate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6.00%</w:t>
            </w: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6.30%</w:t>
            </w:r>
          </w:p>
        </w:tc>
        <w:tc>
          <w:tcPr>
            <w:tcW w:w="680" w:type="dxa"/>
            <w:vAlign w:val="bottom"/>
          </w:tcPr>
          <w:p>
            <w:pPr>
              <w:jc w:val="right"/>
              <w:spacing w:after="0"/>
              <w:rPr>
                <w:sz w:val="20"/>
                <w:szCs w:val="20"/>
                <w:color w:val="auto"/>
              </w:rPr>
            </w:pPr>
            <w:r>
              <w:rPr>
                <w:rFonts w:ascii="Arial" w:cs="Arial" w:eastAsia="Arial" w:hAnsi="Arial"/>
                <w:sz w:val="16"/>
                <w:szCs w:val="16"/>
                <w:color w:val="auto"/>
              </w:rPr>
              <w:t>6.50%</w:t>
            </w:r>
          </w:p>
        </w:tc>
      </w:tr>
    </w:tbl>
    <w:p>
      <w:pPr>
        <w:spacing w:after="0" w:line="200" w:lineRule="exact"/>
        <w:rPr>
          <w:sz w:val="20"/>
          <w:szCs w:val="20"/>
          <w:color w:val="auto"/>
        </w:rPr>
      </w:pPr>
    </w:p>
    <w:p>
      <w:pPr>
        <w:spacing w:after="0" w:line="2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combination of factors is used by management in determining the expected long-term rate of return on plan assets. Historical return experience for major asset categories are evaluated and current market factors, such as inflation and interest rates, are considered in determining the expected long-term rate of return assumption.</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expects to contribute $0.4 million to the Pension Plans and $1.0 million to the postretirement benefit plan for the year ending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expected benefits to be paid in each of the next five years and in the aggregate for the five years thereafter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Pension Benefits</w:t>
            </w:r>
          </w:p>
        </w:tc>
        <w:tc>
          <w:tcPr>
            <w:tcW w:w="2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7,073</w:t>
            </w:r>
          </w:p>
        </w:tc>
        <w:tc>
          <w:tcPr>
            <w:tcW w:w="1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2021</w:t>
            </w:r>
          </w:p>
        </w:tc>
        <w:tc>
          <w:tcPr>
            <w:tcW w:w="356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7,215</w:t>
            </w:r>
          </w:p>
        </w:tc>
        <w:tc>
          <w:tcPr>
            <w:tcW w:w="17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1,064</w:t>
            </w:r>
          </w:p>
        </w:tc>
      </w:tr>
      <w:tr>
        <w:trPr>
          <w:trHeight w:val="33"/>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7,229</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2023</w:t>
            </w:r>
          </w:p>
        </w:tc>
        <w:tc>
          <w:tcPr>
            <w:tcW w:w="356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7,238</w:t>
            </w:r>
          </w:p>
        </w:tc>
        <w:tc>
          <w:tcPr>
            <w:tcW w:w="17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1,224</w:t>
            </w:r>
          </w:p>
        </w:tc>
      </w:tr>
      <w:tr>
        <w:trPr>
          <w:trHeight w:val="33"/>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3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7,240</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1,332</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Years 2025-2029</w:t>
            </w:r>
          </w:p>
        </w:tc>
        <w:tc>
          <w:tcPr>
            <w:tcW w:w="356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35,104</w:t>
            </w:r>
          </w:p>
        </w:tc>
        <w:tc>
          <w:tcPr>
            <w:tcW w:w="17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8,612</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overall investment strategy is to maintain the purchasing power of the current assets and all future contributions by producing positive rates of return on plan assets; achieve capital growth towards the attainment of full funding of the Retirement Plan’s termination liability; maximize returns within reasonable and prudent levels of risk; and control costs of administering the plan and managing the investments. The long-term investment objective is to achieve an overall annualized total return, gross of fees, above the blended benchmark index comprised of 36% MSCI USA IMI Index, 24% MSCI ACWI ex-US Index, and 40% Barclays Aggregate Bond Index.</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Subject to liquidity requirements, the asset allocation targets are 60% for equity securities, 40% for fixed income securities with a 10% to 20% range permitted from the strategic targets, and zero to 20% for cash. Within the equity securities portfolio, the range for domestic securities is from 50% to 100% and the range for international securities is from 0% to 50%. All assets selected for the Retirement Plan must have a readily ascertainable market value and must be readily marketable.</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Due to market fluctuations or cash flows, the allocation for each asset class may be breached by as much as 5% on a temporary basis. However, asset allocations are expected to conform to target ranges within 90 days of such an occurrence.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Retirement Plan assets as of December 31, 2019, and December 31, 2018, by asset category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Fair Value Measurements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Quoted Prices in</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Significant Other</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Active Markets for</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Observable</w:t>
            </w:r>
          </w:p>
        </w:tc>
        <w:tc>
          <w:tcPr>
            <w:tcW w:w="18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Significant Other</w:t>
            </w:r>
          </w:p>
        </w:tc>
        <w:tc>
          <w:tcPr>
            <w:tcW w:w="24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Total as of</w:t>
            </w:r>
          </w:p>
        </w:tc>
        <w:tc>
          <w:tcPr>
            <w:tcW w:w="3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Total as of</w:t>
            </w:r>
          </w:p>
        </w:tc>
        <w:tc>
          <w:tcPr>
            <w:tcW w:w="0" w:type="dxa"/>
            <w:vAlign w:val="bottom"/>
          </w:tcPr>
          <w:p>
            <w:pPr>
              <w:spacing w:after="0"/>
              <w:rPr>
                <w:sz w:val="1"/>
                <w:szCs w:val="1"/>
                <w:color w:val="auto"/>
              </w:rPr>
            </w:pPr>
          </w:p>
        </w:tc>
      </w:tr>
      <w:tr>
        <w:trPr>
          <w:trHeight w:val="210"/>
        </w:trPr>
        <w:tc>
          <w:tcPr>
            <w:tcW w:w="3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 Category</w:t>
            </w:r>
          </w:p>
        </w:tc>
        <w:tc>
          <w:tcPr>
            <w:tcW w:w="2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Identical Assets</w:t>
            </w:r>
          </w:p>
        </w:tc>
        <w:tc>
          <w:tcPr>
            <w:tcW w:w="82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Inputs</w:t>
            </w:r>
          </w:p>
        </w:tc>
        <w:tc>
          <w:tcPr>
            <w:tcW w:w="18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Unobservable Inputs</w:t>
            </w:r>
          </w:p>
        </w:tc>
        <w:tc>
          <w:tcPr>
            <w:tcW w:w="2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Dec. 31,</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41"/>
        </w:trPr>
        <w:tc>
          <w:tcPr>
            <w:tcW w:w="354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8"/>
              </w:rPr>
              <w:t>(Level 1)</w:t>
            </w:r>
          </w:p>
        </w:tc>
        <w:tc>
          <w:tcPr>
            <w:tcW w:w="820" w:type="dxa"/>
            <w:vAlign w:val="bottom"/>
          </w:tcPr>
          <w:p>
            <w:pPr>
              <w:spacing w:after="0"/>
              <w:rPr>
                <w:sz w:val="3"/>
                <w:szCs w:val="3"/>
                <w:color w:val="auto"/>
              </w:rPr>
            </w:pPr>
          </w:p>
        </w:tc>
        <w:tc>
          <w:tcPr>
            <w:tcW w:w="9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8"/>
              </w:rPr>
              <w:t>(Level 2)</w:t>
            </w:r>
          </w:p>
        </w:tc>
        <w:tc>
          <w:tcPr>
            <w:tcW w:w="1060" w:type="dxa"/>
            <w:vAlign w:val="bottom"/>
          </w:tcPr>
          <w:p>
            <w:pPr>
              <w:spacing w:after="0"/>
              <w:rPr>
                <w:sz w:val="3"/>
                <w:szCs w:val="3"/>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5"/>
              </w:rPr>
              <w:t>(Level 3)</w:t>
            </w:r>
          </w:p>
        </w:tc>
        <w:tc>
          <w:tcPr>
            <w:tcW w:w="240" w:type="dxa"/>
            <w:vAlign w:val="bottom"/>
          </w:tcPr>
          <w:p>
            <w:pPr>
              <w:spacing w:after="0"/>
              <w:rPr>
                <w:sz w:val="3"/>
                <w:szCs w:val="3"/>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3"/>
                <w:szCs w:val="3"/>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1,269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1,269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Equity Securities – Mutual Funds:</w:t>
            </w: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Large-Cap</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1,731</w:t>
            </w:r>
          </w:p>
        </w:tc>
        <w:tc>
          <w:tcPr>
            <w:tcW w:w="8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1,731</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Mixed-Cap</w:t>
            </w:r>
          </w:p>
        </w:tc>
        <w:tc>
          <w:tcPr>
            <w:tcW w:w="108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29,336</w:t>
            </w:r>
          </w:p>
        </w:tc>
        <w:tc>
          <w:tcPr>
            <w:tcW w:w="82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29,336</w:t>
            </w:r>
          </w:p>
        </w:tc>
        <w:tc>
          <w:tcPr>
            <w:tcW w:w="3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25,298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23,961</w:t>
            </w:r>
          </w:p>
        </w:tc>
        <w:tc>
          <w:tcPr>
            <w:tcW w:w="8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23,961</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21,621</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Emerging Market</w:t>
            </w:r>
          </w:p>
        </w:tc>
        <w:tc>
          <w:tcPr>
            <w:tcW w:w="108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2,342</w:t>
            </w:r>
          </w:p>
        </w:tc>
        <w:tc>
          <w:tcPr>
            <w:tcW w:w="82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2,342</w:t>
            </w:r>
          </w:p>
        </w:tc>
        <w:tc>
          <w:tcPr>
            <w:tcW w:w="3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2,150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 Securities – Mutual Funds</w:t>
            </w:r>
          </w:p>
        </w:tc>
        <w:tc>
          <w:tcPr>
            <w:tcW w:w="10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34,999</w:t>
            </w:r>
          </w:p>
        </w:tc>
        <w:tc>
          <w:tcPr>
            <w:tcW w:w="8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34,999</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34,165</w:t>
            </w:r>
          </w:p>
        </w:tc>
        <w:tc>
          <w:tcPr>
            <w:tcW w:w="0" w:type="dxa"/>
            <w:vAlign w:val="bottom"/>
          </w:tcPr>
          <w:p>
            <w:pPr>
              <w:spacing w:after="0"/>
              <w:rPr>
                <w:sz w:val="1"/>
                <w:szCs w:val="1"/>
                <w:color w:val="auto"/>
              </w:rPr>
            </w:pPr>
          </w:p>
        </w:tc>
      </w:tr>
      <w:tr>
        <w:trPr>
          <w:trHeight w:val="231"/>
        </w:trPr>
        <w:tc>
          <w:tcPr>
            <w:tcW w:w="3540" w:type="dxa"/>
            <w:vAlign w:val="bottom"/>
            <w:tcBorders>
              <w:top w:val="single" w:sz="8" w:color="auto"/>
            </w:tcBorders>
          </w:tcPr>
          <w:p>
            <w:pPr>
              <w:ind w:left="500"/>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93,638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93,638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85,553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these investments were available in active markets, and therefore were classified as Level 1 measurements in the fair value hierarchy.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has share-based compensation plans which allow grants of stock options, restricted stock, stock appreciation rights, and restricted stock units to its employees and non-employee directors. The Company’s employee stock option plans are shareholder approved and administered by the Human Resources and Compensation Committee of the Board of Directors. Stock options provide grantees the option to purchase shares of the Parent’s common stock at a specified exercise price and, generally, expire 10 years from the date of grant. Stock option grants include incentive and non-qualified stock options whose vesting may be subject to one or more criteria, including employment or achievement of Company performance measures. Stock option exercise prices were equal to the quoted market price of the Parent’s common stock on the date of grant. Restricted stock provides grantees with rights to shares of common stock upon completion of one or more criteria, including service period, performance or other conditions as established by the Compensation Committee, such as vesting tied to the Company’s financial performance relative to the peer group or achievement of an absolute financial performance target. During the restriction period, all shares are considered outstanding and dividends are paid on the restricted stock. Generally, restricted stock vests over periods ranging from one year to four years from the date of grant. Restricted stock and dividends may be forfeited if an employee terminates prior to vesting.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total shares authorized under the plans were 2.1 million shares, of which 1.7 million shares were available for future grants.</w:t>
      </w:r>
    </w:p>
    <w:p>
      <w:pPr>
        <w:spacing w:after="0" w:line="23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recognizes compensation expense, measured as the fair value of the share-based award on the date of grant, on a straight-line basis over the requisite service period. Share-based compensation is recorded in the statements of income as a component of salaries and benefits for employees and as a component of other noninterest expense for non-employee directors, with a corresponding increase to capital surplus in shareholders’ equity. For the years ended December 31, 2019, December 31, 2018, and December 31, 2017, compensation expense and the related income tax benefit recognized for stock options and restricted stock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Expense</w:t>
            </w:r>
          </w:p>
        </w:tc>
        <w:tc>
          <w:tcPr>
            <w:tcW w:w="3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8,338</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8,146</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7,369</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326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2,210</w:t>
            </w:r>
          </w:p>
        </w:tc>
        <w:tc>
          <w:tcPr>
            <w:tcW w:w="600" w:type="dxa"/>
            <w:vAlign w:val="bottom"/>
          </w:tcPr>
          <w:p>
            <w:pPr>
              <w:spacing w:after="0"/>
              <w:rPr>
                <w:sz w:val="20"/>
                <w:szCs w:val="20"/>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2,160</w:t>
            </w:r>
          </w:p>
        </w:tc>
        <w:tc>
          <w:tcPr>
            <w:tcW w:w="6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2,910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December 31, 2019, unrecognized compensation expense related to unvested restricted stock was $11.0 million. The unrecognized compensation expense is expected to be recognized over a weighted average period of 1.81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for restricted stock:</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Grant Date Fair Value</w:t>
            </w:r>
          </w:p>
        </w:tc>
      </w:tr>
      <w:tr>
        <w:trPr>
          <w:trHeight w:val="203"/>
        </w:trPr>
        <w:tc>
          <w:tcPr>
            <w:tcW w:w="3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of Restricted Stock that</w:t>
            </w:r>
          </w:p>
        </w:tc>
      </w:tr>
      <w:tr>
        <w:trPr>
          <w:trHeight w:val="203"/>
        </w:trPr>
        <w:tc>
          <w:tcPr>
            <w:tcW w:w="3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3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Weighted Average</w:t>
            </w:r>
          </w:p>
        </w:tc>
        <w:tc>
          <w:tcPr>
            <w:tcW w:w="2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Vested During the Year</w:t>
            </w:r>
          </w:p>
        </w:tc>
      </w:tr>
      <w:tr>
        <w:trPr>
          <w:trHeight w:val="210"/>
        </w:trPr>
        <w:tc>
          <w:tcPr>
            <w:tcW w:w="3880" w:type="dxa"/>
            <w:vAlign w:val="bottom"/>
          </w:tcPr>
          <w:p>
            <w:pPr>
              <w:spacing w:after="0"/>
              <w:rPr>
                <w:sz w:val="18"/>
                <w:szCs w:val="18"/>
                <w:color w:val="auto"/>
              </w:rPr>
            </w:pPr>
          </w:p>
        </w:tc>
        <w:tc>
          <w:tcPr>
            <w:tcW w:w="304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 of Shares</w:t>
            </w:r>
          </w:p>
        </w:tc>
        <w:tc>
          <w:tcPr>
            <w:tcW w:w="232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Grant Date Fair Value</w:t>
            </w:r>
          </w:p>
        </w:tc>
        <w:tc>
          <w:tcPr>
            <w:tcW w:w="21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as of December 31, 2016</w:t>
            </w:r>
          </w:p>
        </w:tc>
        <w:tc>
          <w:tcPr>
            <w:tcW w:w="30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270,523</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60.58</w:t>
            </w:r>
          </w:p>
        </w:tc>
        <w:tc>
          <w:tcPr>
            <w:tcW w:w="1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Granted</w:t>
            </w:r>
          </w:p>
        </w:tc>
        <w:tc>
          <w:tcPr>
            <w:tcW w:w="3040" w:type="dxa"/>
            <w:vAlign w:val="bottom"/>
          </w:tcPr>
          <w:p>
            <w:pPr>
              <w:jc w:val="right"/>
              <w:ind w:right="299"/>
              <w:spacing w:after="0"/>
              <w:rPr>
                <w:sz w:val="20"/>
                <w:szCs w:val="20"/>
                <w:color w:val="auto"/>
              </w:rPr>
            </w:pPr>
            <w:r>
              <w:rPr>
                <w:rFonts w:ascii="Arial" w:cs="Arial" w:eastAsia="Arial" w:hAnsi="Arial"/>
                <w:sz w:val="16"/>
                <w:szCs w:val="16"/>
                <w:color w:val="auto"/>
              </w:rPr>
              <w:t>124,460</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84.53</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(52,822)</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60.06</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4,493</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040" w:type="dxa"/>
            <w:vAlign w:val="bottom"/>
          </w:tcPr>
          <w:p>
            <w:pPr>
              <w:jc w:val="right"/>
              <w:ind w:right="259"/>
              <w:spacing w:after="0"/>
              <w:rPr>
                <w:sz w:val="20"/>
                <w:szCs w:val="20"/>
                <w:color w:val="auto"/>
              </w:rPr>
            </w:pPr>
            <w:r>
              <w:rPr>
                <w:rFonts w:ascii="Arial" w:cs="Arial" w:eastAsia="Arial" w:hAnsi="Arial"/>
                <w:sz w:val="16"/>
                <w:szCs w:val="16"/>
                <w:color w:val="auto"/>
              </w:rPr>
              <w:t>(22,058)</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69.46</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as of December 31, 2017</w:t>
            </w:r>
          </w:p>
        </w:tc>
        <w:tc>
          <w:tcPr>
            <w:tcW w:w="30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320,103</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69.36</w:t>
            </w:r>
          </w:p>
        </w:tc>
        <w:tc>
          <w:tcPr>
            <w:tcW w:w="16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31"/>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Granted</w:t>
            </w:r>
          </w:p>
        </w:tc>
        <w:tc>
          <w:tcPr>
            <w:tcW w:w="30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120,173</w:t>
            </w:r>
          </w:p>
        </w:tc>
        <w:tc>
          <w:tcPr>
            <w:tcW w:w="1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83.87</w:t>
            </w:r>
          </w:p>
        </w:tc>
        <w:tc>
          <w:tcPr>
            <w:tcW w:w="16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(110,231)</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59.41</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9,081</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040" w:type="dxa"/>
            <w:vAlign w:val="bottom"/>
          </w:tcPr>
          <w:p>
            <w:pPr>
              <w:jc w:val="right"/>
              <w:ind w:right="259"/>
              <w:spacing w:after="0"/>
              <w:rPr>
                <w:sz w:val="20"/>
                <w:szCs w:val="20"/>
                <w:color w:val="auto"/>
              </w:rPr>
            </w:pPr>
            <w:r>
              <w:rPr>
                <w:rFonts w:ascii="Arial" w:cs="Arial" w:eastAsia="Arial" w:hAnsi="Arial"/>
                <w:sz w:val="16"/>
                <w:szCs w:val="16"/>
                <w:color w:val="auto"/>
              </w:rPr>
              <w:t>(15,558)</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73.82</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as of December 31, 2018</w:t>
            </w:r>
          </w:p>
        </w:tc>
        <w:tc>
          <w:tcPr>
            <w:tcW w:w="30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314,487</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78.17</w:t>
            </w:r>
          </w:p>
        </w:tc>
        <w:tc>
          <w:tcPr>
            <w:tcW w:w="16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31"/>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Granted</w:t>
            </w:r>
          </w:p>
        </w:tc>
        <w:tc>
          <w:tcPr>
            <w:tcW w:w="30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130,093</w:t>
            </w:r>
          </w:p>
        </w:tc>
        <w:tc>
          <w:tcPr>
            <w:tcW w:w="1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82.82</w:t>
            </w:r>
          </w:p>
        </w:tc>
        <w:tc>
          <w:tcPr>
            <w:tcW w:w="16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(107,759)</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66.46</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8,910</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040" w:type="dxa"/>
            <w:vAlign w:val="bottom"/>
          </w:tcPr>
          <w:p>
            <w:pPr>
              <w:jc w:val="right"/>
              <w:ind w:right="259"/>
              <w:spacing w:after="0"/>
              <w:rPr>
                <w:sz w:val="20"/>
                <w:szCs w:val="20"/>
                <w:color w:val="auto"/>
              </w:rPr>
            </w:pPr>
            <w:r>
              <w:rPr>
                <w:rFonts w:ascii="Arial" w:cs="Arial" w:eastAsia="Arial" w:hAnsi="Arial"/>
                <w:sz w:val="16"/>
                <w:szCs w:val="16"/>
                <w:color w:val="auto"/>
              </w:rPr>
              <w:t>(26,872)</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83.34</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Unvested as of December 31, 2019 </w:t>
            </w:r>
            <w:r>
              <w:rPr>
                <w:rFonts w:ascii="Arial" w:cs="Arial" w:eastAsia="Arial" w:hAnsi="Arial"/>
                <w:sz w:val="21"/>
                <w:szCs w:val="21"/>
                <w:b w:val="1"/>
                <w:bCs w:val="1"/>
                <w:color w:val="auto"/>
                <w:vertAlign w:val="superscript"/>
              </w:rPr>
              <w:t>1</w:t>
            </w:r>
          </w:p>
        </w:tc>
        <w:tc>
          <w:tcPr>
            <w:tcW w:w="30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309,949</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83.75</w:t>
            </w:r>
          </w:p>
        </w:tc>
        <w:tc>
          <w:tcPr>
            <w:tcW w:w="16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80" w:hanging="72"/>
        <w:spacing w:after="0"/>
        <w:tabs>
          <w:tab w:leader="none" w:pos="80" w:val="left"/>
        </w:tabs>
        <w:numPr>
          <w:ilvl w:val="0"/>
          <w:numId w:val="58"/>
        </w:numPr>
        <w:rPr>
          <w:rFonts w:ascii="Arial" w:cs="Arial" w:eastAsia="Arial" w:hAnsi="Arial"/>
          <w:sz w:val="9"/>
          <w:szCs w:val="9"/>
          <w:color w:val="auto"/>
        </w:rPr>
      </w:pPr>
      <w:r>
        <w:rPr>
          <w:rFonts w:ascii="Arial" w:cs="Arial" w:eastAsia="Arial" w:hAnsi="Arial"/>
          <w:sz w:val="14"/>
          <w:szCs w:val="14"/>
          <w:color w:val="auto"/>
        </w:rPr>
        <w:t>As of December 31, 2019, 43,310 shares were unvested from service-based grants.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were no RSUs granted during 2019, 2018, and 2017. During 2016, the Company granted RSUs payable solely in cash. All RSUs were fully vested as of December 31, 2019. The RSUs vest over periods ranging from three years to four years from the date of grant and are subject to forfeiture until performance and employment targets are achieved. Upon vesting, the RSUs are converted to cash based on the closing stock price on the vesting date. Total recognized compensation expense related to the RSUs was $1.0 million, $0.6 million, and $3.4 million for the years ended December 31, 2019, December 31, 2018, and December 31,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for RSU:</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Fair Value of Restricted</w:t>
            </w:r>
          </w:p>
        </w:tc>
      </w:tr>
      <w:tr>
        <w:trPr>
          <w:trHeight w:val="203"/>
        </w:trPr>
        <w:tc>
          <w:tcPr>
            <w:tcW w:w="38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4"/>
              </w:rPr>
              <w:t>Stock Unit that Vested During</w:t>
            </w:r>
          </w:p>
        </w:tc>
      </w:tr>
      <w:tr>
        <w:trPr>
          <w:trHeight w:val="203"/>
        </w:trPr>
        <w:tc>
          <w:tcPr>
            <w:tcW w:w="38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Weighted Average</w:t>
            </w:r>
          </w:p>
        </w:tc>
        <w:tc>
          <w:tcPr>
            <w:tcW w:w="2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the Year</w:t>
            </w:r>
          </w:p>
        </w:tc>
      </w:tr>
      <w:tr>
        <w:trPr>
          <w:trHeight w:val="210"/>
        </w:trPr>
        <w:tc>
          <w:tcPr>
            <w:tcW w:w="3880" w:type="dxa"/>
            <w:vAlign w:val="bottom"/>
          </w:tcPr>
          <w:p>
            <w:pPr>
              <w:spacing w:after="0"/>
              <w:rPr>
                <w:sz w:val="18"/>
                <w:szCs w:val="18"/>
                <w:color w:val="auto"/>
              </w:rPr>
            </w:pPr>
          </w:p>
        </w:tc>
        <w:tc>
          <w:tcPr>
            <w:tcW w:w="32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 Units</w:t>
            </w:r>
          </w:p>
        </w:tc>
        <w:tc>
          <w:tcPr>
            <w:tcW w:w="2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Grant Date Fair Value</w:t>
            </w:r>
          </w:p>
        </w:tc>
        <w:tc>
          <w:tcPr>
            <w:tcW w:w="2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38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32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154,832</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59.04</w:t>
            </w:r>
          </w:p>
        </w:tc>
        <w:tc>
          <w:tcPr>
            <w:tcW w:w="1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Vested</w:t>
            </w:r>
          </w:p>
        </w:tc>
        <w:tc>
          <w:tcPr>
            <w:tcW w:w="3220" w:type="dxa"/>
            <w:vAlign w:val="bottom"/>
          </w:tcPr>
          <w:p>
            <w:pPr>
              <w:jc w:val="right"/>
              <w:ind w:right="319"/>
              <w:spacing w:after="0"/>
              <w:rPr>
                <w:sz w:val="20"/>
                <w:szCs w:val="20"/>
                <w:color w:val="auto"/>
              </w:rPr>
            </w:pPr>
            <w:r>
              <w:rPr>
                <w:rFonts w:ascii="Arial" w:cs="Arial" w:eastAsia="Arial" w:hAnsi="Arial"/>
                <w:sz w:val="16"/>
                <w:szCs w:val="16"/>
                <w:color w:val="auto"/>
              </w:rPr>
              <w:t>(29,281)</w:t>
            </w:r>
          </w:p>
        </w:tc>
        <w:tc>
          <w:tcPr>
            <w:tcW w:w="13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58.74</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2,516</w:t>
            </w:r>
          </w:p>
        </w:tc>
      </w:tr>
      <w:tr>
        <w:trPr>
          <w:trHeight w:val="33"/>
        </w:trPr>
        <w:tc>
          <w:tcPr>
            <w:tcW w:w="3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Forfeited</w:t>
            </w:r>
          </w:p>
        </w:tc>
        <w:tc>
          <w:tcPr>
            <w:tcW w:w="32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(9,062)</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60.17</w:t>
            </w:r>
          </w:p>
        </w:tc>
        <w:tc>
          <w:tcPr>
            <w:tcW w:w="1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r>
      <w:tr>
        <w:trPr>
          <w:trHeight w:val="231"/>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32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116,489</w:t>
            </w:r>
          </w:p>
        </w:tc>
        <w:tc>
          <w:tcPr>
            <w:tcW w:w="1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60.22</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73"/>
        </w:trPr>
        <w:tc>
          <w:tcPr>
            <w:tcW w:w="388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8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r>
      <w:tr>
        <w:trPr>
          <w:trHeight w:val="231"/>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2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(62,252)</w:t>
            </w:r>
          </w:p>
        </w:tc>
        <w:tc>
          <w:tcPr>
            <w:tcW w:w="1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57.00</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5,127</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220" w:type="dxa"/>
            <w:vAlign w:val="bottom"/>
          </w:tcPr>
          <w:p>
            <w:pPr>
              <w:jc w:val="right"/>
              <w:ind w:right="319"/>
              <w:spacing w:after="0"/>
              <w:rPr>
                <w:sz w:val="20"/>
                <w:szCs w:val="20"/>
                <w:color w:val="auto"/>
              </w:rPr>
            </w:pPr>
            <w:r>
              <w:rPr>
                <w:rFonts w:ascii="Arial" w:cs="Arial" w:eastAsia="Arial" w:hAnsi="Arial"/>
                <w:sz w:val="16"/>
                <w:szCs w:val="16"/>
                <w:color w:val="auto"/>
              </w:rPr>
              <w:t>(2,173)</w:t>
            </w:r>
          </w:p>
        </w:tc>
        <w:tc>
          <w:tcPr>
            <w:tcW w:w="13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63.92</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32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52,064</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63.92</w:t>
            </w:r>
          </w:p>
        </w:tc>
        <w:tc>
          <w:tcPr>
            <w:tcW w:w="1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r>
        <w:trPr>
          <w:trHeight w:val="218"/>
        </w:trPr>
        <w:tc>
          <w:tcPr>
            <w:tcW w:w="3880" w:type="dxa"/>
            <w:vAlign w:val="bottom"/>
          </w:tcPr>
          <w:p>
            <w:pPr>
              <w:ind w:left="180"/>
              <w:spacing w:after="0"/>
              <w:rPr>
                <w:sz w:val="20"/>
                <w:szCs w:val="20"/>
                <w:color w:val="auto"/>
              </w:rPr>
            </w:pPr>
            <w:r>
              <w:rPr>
                <w:rFonts w:ascii="Arial" w:cs="Arial" w:eastAsia="Arial" w:hAnsi="Arial"/>
                <w:sz w:val="16"/>
                <w:szCs w:val="16"/>
                <w:color w:val="auto"/>
              </w:rPr>
              <w:t>Vested</w:t>
            </w:r>
          </w:p>
        </w:tc>
        <w:tc>
          <w:tcPr>
            <w:tcW w:w="3220" w:type="dxa"/>
            <w:vAlign w:val="bottom"/>
          </w:tcPr>
          <w:p>
            <w:pPr>
              <w:jc w:val="right"/>
              <w:ind w:right="319"/>
              <w:spacing w:after="0"/>
              <w:rPr>
                <w:sz w:val="20"/>
                <w:szCs w:val="20"/>
                <w:color w:val="auto"/>
              </w:rPr>
            </w:pPr>
            <w:r>
              <w:rPr>
                <w:rFonts w:ascii="Arial" w:cs="Arial" w:eastAsia="Arial" w:hAnsi="Arial"/>
                <w:sz w:val="16"/>
                <w:szCs w:val="16"/>
                <w:color w:val="auto"/>
              </w:rPr>
              <w:t>(52,064)</w:t>
            </w:r>
          </w:p>
        </w:tc>
        <w:tc>
          <w:tcPr>
            <w:tcW w:w="13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82.23</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4,311</w:t>
            </w:r>
          </w:p>
        </w:tc>
      </w:tr>
      <w:tr>
        <w:trPr>
          <w:trHeight w:val="33"/>
        </w:trPr>
        <w:tc>
          <w:tcPr>
            <w:tcW w:w="38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2019</w:t>
            </w:r>
          </w:p>
        </w:tc>
        <w:tc>
          <w:tcPr>
            <w:tcW w:w="32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There were no stock options granted for the years ended December 31, 2019, December 31, 2018, and December 31, 2017. All previously issued stock options granted were fully vested prior to December 31, 2017. The Company reissues treasury stock to satisfy stock option exercises.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related to stock options under all plans for the year ended December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Weighted</w:t>
            </w:r>
          </w:p>
        </w:tc>
        <w:tc>
          <w:tcPr>
            <w:tcW w:w="128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Weighted</w:t>
            </w: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Average</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Average</w:t>
            </w: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Remaining</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Intrinsic</w:t>
            </w:r>
          </w:p>
        </w:tc>
      </w:tr>
      <w:tr>
        <w:trPr>
          <w:trHeight w:val="203"/>
        </w:trPr>
        <w:tc>
          <w:tcPr>
            <w:tcW w:w="550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Stock</w:t>
            </w: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Exercise</w:t>
            </w: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Contractual</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Value</w:t>
            </w:r>
          </w:p>
        </w:tc>
      </w:tr>
      <w:tr>
        <w:trPr>
          <w:trHeight w:val="210"/>
        </w:trPr>
        <w:tc>
          <w:tcPr>
            <w:tcW w:w="55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Options</w:t>
            </w: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Price</w:t>
            </w:r>
          </w:p>
        </w:tc>
        <w:tc>
          <w:tcPr>
            <w:tcW w:w="1620" w:type="dxa"/>
            <w:vAlign w:val="bottom"/>
          </w:tcPr>
          <w:p>
            <w:pPr>
              <w:jc w:val="right"/>
              <w:ind w:right="119"/>
              <w:spacing w:after="0"/>
              <w:rPr>
                <w:sz w:val="20"/>
                <w:szCs w:val="20"/>
                <w:color w:val="auto"/>
              </w:rPr>
            </w:pPr>
            <w:r>
              <w:rPr>
                <w:rFonts w:ascii="Arial" w:cs="Arial" w:eastAsia="Arial" w:hAnsi="Arial"/>
                <w:sz w:val="16"/>
                <w:szCs w:val="16"/>
                <w:b w:val="1"/>
                <w:bCs w:val="1"/>
                <w:color w:val="auto"/>
              </w:rPr>
              <w:t>Term (in years)</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5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 Options Outstanding as of January 1, 2019</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263,888</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   45.27</w:t>
            </w:r>
          </w:p>
        </w:tc>
        <w:tc>
          <w:tcPr>
            <w:tcW w:w="1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16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(25,164)</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43.74</w:t>
            </w: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47.72</w:t>
            </w:r>
          </w:p>
        </w:tc>
        <w:tc>
          <w:tcPr>
            <w:tcW w:w="1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8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Stock Options Outstanding as of December 31, 2019</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237,058</w:t>
            </w:r>
          </w:p>
        </w:tc>
        <w:tc>
          <w:tcPr>
            <w:tcW w:w="152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rPr>
              <w:t>45.44</w:t>
            </w:r>
          </w:p>
        </w:tc>
        <w:tc>
          <w:tcPr>
            <w:tcW w:w="16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2.0</w:t>
            </w:r>
          </w:p>
        </w:tc>
        <w:tc>
          <w:tcPr>
            <w:tcW w:w="12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  11,787</w:t>
            </w: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 Options Vested and Exercisable as of December 31, 2019</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237,058</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45.44</w:t>
            </w:r>
          </w:p>
        </w:tc>
        <w:tc>
          <w:tcPr>
            <w:tcW w:w="1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11,787</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summarizes certain stock option activity of the Company for the years ended December 31, 2019, December 31, 2018, and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Intrinsic Value of Stock Options Exercised</w:t>
            </w:r>
          </w:p>
        </w:tc>
        <w:tc>
          <w:tcPr>
            <w:tcW w:w="1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1,106</w:t>
            </w: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1,634</w:t>
            </w:r>
          </w:p>
        </w:tc>
        <w:tc>
          <w:tcPr>
            <w:tcW w:w="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5,991</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Cash Received from Stock Options Exercised</w:t>
            </w:r>
          </w:p>
        </w:tc>
        <w:tc>
          <w:tcPr>
            <w:tcW w:w="196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color w:val="auto"/>
              </w:rPr>
              <w:t>1,473</w:t>
            </w:r>
          </w:p>
        </w:tc>
        <w:tc>
          <w:tcPr>
            <w:tcW w:w="78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1,791</w:t>
            </w:r>
          </w:p>
        </w:tc>
        <w:tc>
          <w:tcPr>
            <w:tcW w:w="7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7,502</w:t>
            </w:r>
          </w:p>
        </w:tc>
      </w:tr>
      <w:tr>
        <w:trPr>
          <w:trHeight w:val="33"/>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Benefits Realized from Stock Options Exercised</w:t>
            </w:r>
          </w:p>
        </w:tc>
        <w:tc>
          <w:tcPr>
            <w:tcW w:w="19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727</w:t>
            </w:r>
          </w:p>
        </w:tc>
        <w:tc>
          <w:tcPr>
            <w:tcW w:w="7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240</w:t>
            </w: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2,003</w:t>
            </w:r>
          </w:p>
        </w:tc>
      </w:tr>
      <w:tr>
        <w:trPr>
          <w:trHeight w:val="33"/>
        </w:trPr>
        <w:tc>
          <w:tcPr>
            <w:tcW w:w="5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5"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components of the Company’s provision for income taxes for the years ended December 31, 2019, December 31, 2018, and December 31, 2017,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Federal</w:t>
            </w:r>
          </w:p>
        </w:tc>
        <w:tc>
          <w:tcPr>
            <w:tcW w:w="3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60,902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45,464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73,176</w:t>
            </w:r>
          </w:p>
        </w:tc>
      </w:tr>
      <w:tr>
        <w:trPr>
          <w:trHeight w:val="33"/>
        </w:trPr>
        <w:tc>
          <w:tcPr>
            <w:tcW w:w="4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3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14,426</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11,434</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6,039</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w:t>
            </w:r>
          </w:p>
        </w:tc>
        <w:tc>
          <w:tcPr>
            <w:tcW w:w="3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75,328</w:t>
            </w: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56,898</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79,215</w:t>
            </w:r>
          </w:p>
        </w:tc>
      </w:tr>
      <w:tr>
        <w:trPr>
          <w:trHeight w:val="33"/>
        </w:trPr>
        <w:tc>
          <w:tcPr>
            <w:tcW w:w="47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3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Federal</w:t>
            </w:r>
          </w:p>
        </w:tc>
        <w:tc>
          <w:tcPr>
            <w:tcW w:w="31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(9,630)</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(2,172)</w:t>
            </w:r>
          </w:p>
        </w:tc>
        <w:tc>
          <w:tcPr>
            <w:tcW w:w="4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5,042</w:t>
            </w:r>
          </w:p>
        </w:tc>
      </w:tr>
      <w:tr>
        <w:trPr>
          <w:trHeight w:val="33"/>
        </w:trPr>
        <w:tc>
          <w:tcPr>
            <w:tcW w:w="4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3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(5,785)</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Deferred</w:t>
            </w:r>
          </w:p>
        </w:tc>
        <w:tc>
          <w:tcPr>
            <w:tcW w:w="3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(15,415)</w:t>
            </w: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(6,274)</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4,177</w:t>
            </w:r>
          </w:p>
        </w:tc>
      </w:tr>
      <w:tr>
        <w:trPr>
          <w:trHeight w:val="33"/>
        </w:trPr>
        <w:tc>
          <w:tcPr>
            <w:tcW w:w="47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59,913</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50,624</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83,392</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tax effects of fair value adjustments on AFS investment securities, the amortization of unrealized gains and losses related to investment securities transferred to HTM, and the minimum pension liability adjustment are recorded directly to consolidated shareholders’ equity. The Company elected to adopt ASU No. 2016-09 “Compensation-Stock Compensation (Topic 718): Improvements to Employee Share-Based Payment Accounting” in the first quarter of 2017, which requires the Company to record excess tax benefits related to stock options as a reduction of the provision for income taxes, whereas they were previously recognized in equity. The net tax charge recorded directly to consolidated shareholders’ equity was $7.1 million for the year ended December 31, 2019. The net tax benefit recorded directly to consolidated shareholders’ equity was $3.2 million and $0.5 million for the years ended December 31, 2018, and December 31, 2017,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 and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and December 31, 2018, significant components of the Company’s deferred tax liabilities and assets were as follows:</w:t>
      </w:r>
    </w:p>
    <w:p>
      <w:pPr>
        <w:spacing w:after="0" w:line="197"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Accelerated Depreciation</w:t>
            </w:r>
          </w:p>
        </w:tc>
        <w:tc>
          <w:tcPr>
            <w:tcW w:w="28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(4,064)</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(2,864)</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Pension Cost</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(11,270)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(11,270)</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Federal Home Loan Bank Stock</w:t>
            </w:r>
          </w:p>
        </w:tc>
        <w:tc>
          <w:tcPr>
            <w:tcW w:w="28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(3,416)</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(3,416)</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Transactions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(48,487)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(53,230)</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Operating Lease Liabilities</w:t>
            </w:r>
          </w:p>
        </w:tc>
        <w:tc>
          <w:tcPr>
            <w:tcW w:w="28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(26,731)</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 Tax Credits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(5,274)</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Net Unrealized Gains on Investments Securities</w:t>
            </w:r>
          </w:p>
        </w:tc>
        <w:tc>
          <w:tcPr>
            <w:tcW w:w="28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(2,751)</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Variable Interest Entities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(3,783)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(4,574)</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Deferred Loan Fees</w:t>
            </w:r>
          </w:p>
        </w:tc>
        <w:tc>
          <w:tcPr>
            <w:tcW w:w="28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(6,498)</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(6,688)</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Originated Mortgage Servicing Rights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(6,840)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(6,548)</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Other</w:t>
            </w:r>
          </w:p>
        </w:tc>
        <w:tc>
          <w:tcPr>
            <w:tcW w:w="28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(1,597)</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(1,420)</w:t>
            </w:r>
          </w:p>
        </w:tc>
      </w:tr>
      <w:tr>
        <w:trPr>
          <w:trHeight w:val="33"/>
        </w:trPr>
        <w:tc>
          <w:tcPr>
            <w:tcW w:w="61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Deferred Tax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(117,807)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(95,284)</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Loan Losses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30,951</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30,045</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Minimum Pension Liability</w:t>
            </w:r>
          </w:p>
        </w:tc>
        <w:tc>
          <w:tcPr>
            <w:tcW w:w="28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13,980</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12,989</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18,159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14,805</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Postretirement Benefit Obligations</w:t>
            </w:r>
          </w:p>
        </w:tc>
        <w:tc>
          <w:tcPr>
            <w:tcW w:w="28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8,130</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8,396</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Lease Expenses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2,171</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2,172</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Operating Lease Right-of-Use Assets</w:t>
            </w:r>
          </w:p>
        </w:tc>
        <w:tc>
          <w:tcPr>
            <w:tcW w:w="28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28,685</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Stock</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4,369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5,178</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Net Unrealized Losses on Investments Securities</w:t>
            </w:r>
          </w:p>
        </w:tc>
        <w:tc>
          <w:tcPr>
            <w:tcW w:w="28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5,421</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Deductible State and Local Taxes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3,558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3,242</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Low Income Housing Investments</w:t>
            </w:r>
          </w:p>
        </w:tc>
        <w:tc>
          <w:tcPr>
            <w:tcW w:w="28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2,157</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805</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6,236</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4,244</w:t>
            </w:r>
          </w:p>
        </w:tc>
      </w:tr>
      <w:tr>
        <w:trPr>
          <w:trHeight w:val="231"/>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Gross Deferred Tax Assets Before Valuation Allowance</w:t>
            </w:r>
          </w:p>
        </w:tc>
        <w:tc>
          <w:tcPr>
            <w:tcW w:w="28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118,396</w:t>
            </w: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87,297</w:t>
            </w:r>
          </w:p>
        </w:tc>
      </w:tr>
      <w:tr>
        <w:trPr>
          <w:trHeight w:val="33"/>
        </w:trPr>
        <w:tc>
          <w:tcPr>
            <w:tcW w:w="6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28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(2,460)</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r>
      <w:tr>
        <w:trPr>
          <w:trHeight w:val="231"/>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Gross Deferred Tax Assets After Valuation Allowance</w:t>
            </w:r>
          </w:p>
        </w:tc>
        <w:tc>
          <w:tcPr>
            <w:tcW w:w="28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115,936</w:t>
            </w: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86,195</w:t>
            </w:r>
          </w:p>
        </w:tc>
      </w:tr>
      <w:tr>
        <w:trPr>
          <w:trHeight w:val="33"/>
        </w:trPr>
        <w:tc>
          <w:tcPr>
            <w:tcW w:w="61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Deferred Tax Liabilities</w:t>
            </w:r>
          </w:p>
        </w:tc>
        <w:tc>
          <w:tcPr>
            <w:tcW w:w="2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(1,871)</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(9,089)</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Both positive and negative evidence was considered by management in determining the need for a valuation allowance. Negative evidence included the uncertainty regarding the generation of capital gains in future years and restrictions on the ability to sell low-income housing investments during periods when carrybacks of capital losses are allowed. Positive evidence included capital gains in the carryback years. After considering all available evidence, management determined that a valuation allowance to offset deferred tax assets related to low-income housing investments that can only be used to offset capital gains was appropriate. Management determined that a valuation allowance was not required for the remaining deferred tax assets because it is more likely than not these assets will be realized through future reversals of existing taxable temporary difference and future taxable income exclusive of reversing temporary differences. The Tax Act prohibits the carryback of net operating losses (NOLs) generated in tax year ending after December 31, 2017. This eliminated consideration of taxable income in prior carryback years as an income source for prospective NOLs.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events covered by Internal Revenue Code Section 593(e) will trigger a recapture of base year reserves of acquired thrift institutions. The base year reserves of acquired thrift institutions would be recaptured if an entity ceases to qualify as a bank for federal income tax purposes. The base year reserves of thrift institutions also remain subject to income tax penalty provisions that, in general, require recapture upon certain stock redemptions of, and excess distributions to, shareholders. As of December 31, 2019, retained earnings included $18.2 million of base year reserves for which the deferred federal income tax liability of $4.8 million has not been recognized.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5"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statutory federal income tax rate to the Company’s effective tax rate for the years ended December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3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r>
      <w:tr>
        <w:trPr>
          <w:trHeight w:val="33"/>
        </w:trPr>
        <w:tc>
          <w:tcPr>
            <w:tcW w:w="58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Statutory Federal Income Tax Rate</w:t>
            </w:r>
          </w:p>
        </w:tc>
        <w:tc>
          <w:tcPr>
            <w:tcW w:w="31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21.00 %</w:t>
            </w:r>
          </w:p>
        </w:tc>
        <w:tc>
          <w:tcPr>
            <w:tcW w:w="14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21.00 %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35.00 %</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Increase (Decrease) in Income Tax Rate Resulting From:</w:t>
            </w:r>
          </w:p>
        </w:tc>
        <w:tc>
          <w:tcPr>
            <w:tcW w:w="3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 Taxes, Net of Federal Income Tax</w:t>
            </w:r>
          </w:p>
        </w:tc>
        <w:tc>
          <w:tcPr>
            <w:tcW w:w="31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2.53</w:t>
            </w:r>
          </w:p>
        </w:tc>
        <w:tc>
          <w:tcPr>
            <w:tcW w:w="14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2.29</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1.50</w:t>
            </w:r>
          </w:p>
        </w:tc>
      </w:tr>
      <w:tr>
        <w:trPr>
          <w:trHeight w:val="270"/>
        </w:trPr>
        <w:tc>
          <w:tcPr>
            <w:tcW w:w="5860" w:type="dxa"/>
            <w:vAlign w:val="bottom"/>
          </w:tcPr>
          <w:p>
            <w:pPr>
              <w:ind w:left="280"/>
              <w:spacing w:after="0"/>
              <w:rPr>
                <w:sz w:val="20"/>
                <w:szCs w:val="20"/>
                <w:color w:val="auto"/>
              </w:rPr>
            </w:pPr>
            <w:r>
              <w:rPr>
                <w:rFonts w:ascii="Arial" w:cs="Arial" w:eastAsia="Arial" w:hAnsi="Arial"/>
                <w:sz w:val="16"/>
                <w:szCs w:val="16"/>
                <w:color w:val="auto"/>
              </w:rPr>
              <w:t>Tax Reserve Adjustments</w:t>
            </w:r>
            <w:r>
              <w:rPr>
                <w:rFonts w:ascii="Arial" w:cs="Arial" w:eastAsia="Arial" w:hAnsi="Arial"/>
                <w:sz w:val="21"/>
                <w:szCs w:val="21"/>
                <w:color w:val="auto"/>
                <w:vertAlign w:val="superscript"/>
              </w:rPr>
              <w:t>1</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(0.03)</w:t>
            </w:r>
          </w:p>
        </w:tc>
        <w:tc>
          <w:tcPr>
            <w:tcW w:w="14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0.04</w:t>
            </w: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Low-Income Housing Investments</w:t>
            </w:r>
          </w:p>
        </w:tc>
        <w:tc>
          <w:tcPr>
            <w:tcW w:w="31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0.60</w:t>
            </w:r>
          </w:p>
        </w:tc>
        <w:tc>
          <w:tcPr>
            <w:tcW w:w="14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0.22</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Investment Tax Credits</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(0.84)</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(1.04)</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(1.03)</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(0.51)</w:t>
            </w:r>
          </w:p>
        </w:tc>
        <w:tc>
          <w:tcPr>
            <w:tcW w:w="14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(0.55)</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(0.85)</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Tax-Exempt Income</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(0.53)</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(1.29)</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(2.57)</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Benefits - Stock Compensation</w:t>
            </w:r>
          </w:p>
        </w:tc>
        <w:tc>
          <w:tcPr>
            <w:tcW w:w="3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(0.22)</w:t>
            </w:r>
          </w:p>
        </w:tc>
        <w:tc>
          <w:tcPr>
            <w:tcW w:w="14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(0.34)</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(0.83)</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Leveraged Lease</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(1.54)</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(0.83)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(0.03)</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Reform Effects</w:t>
            </w:r>
          </w:p>
        </w:tc>
        <w:tc>
          <w:tcPr>
            <w:tcW w:w="31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(0.75)</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r>
      <w:tr>
        <w:trPr>
          <w:trHeight w:val="270"/>
        </w:trPr>
        <w:tc>
          <w:tcPr>
            <w:tcW w:w="58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0.50</w:t>
            </w: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0.02</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(0.19)</w:t>
            </w: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Effective Tax Rate</w:t>
            </w:r>
          </w:p>
        </w:tc>
        <w:tc>
          <w:tcPr>
            <w:tcW w:w="31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20.96 %</w:t>
            </w:r>
          </w:p>
        </w:tc>
        <w:tc>
          <w:tcPr>
            <w:tcW w:w="14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18.73 %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31.11 %</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80" w:hanging="72"/>
        <w:spacing w:after="0"/>
        <w:tabs>
          <w:tab w:leader="none" w:pos="80" w:val="left"/>
        </w:tabs>
        <w:numPr>
          <w:ilvl w:val="0"/>
          <w:numId w:val="59"/>
        </w:numPr>
        <w:rPr>
          <w:rFonts w:ascii="Arial" w:cs="Arial" w:eastAsia="Arial" w:hAnsi="Arial"/>
          <w:sz w:val="9"/>
          <w:szCs w:val="9"/>
          <w:color w:val="auto"/>
        </w:rPr>
      </w:pPr>
      <w:r>
        <w:rPr>
          <w:rFonts w:ascii="Arial" w:cs="Arial" w:eastAsia="Arial" w:hAnsi="Arial"/>
          <w:sz w:val="14"/>
          <w:szCs w:val="14"/>
          <w:color w:val="auto"/>
        </w:rPr>
        <w:t>Certain prior period information has been reclassified to conform to current presentation.</w:t>
      </w:r>
    </w:p>
    <w:p>
      <w:pPr>
        <w:spacing w:after="0" w:line="16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221E1F"/>
        </w:rPr>
        <w:t>The Tax Cuts and Jobs Act changed the corporate tax rate from 35% to 21%, effective January 1, 2018. The impact on deferred tax assets and liabilities was recognized as an additional income tax expense of $3.6 million in the fourth quarter of 2017, when the act was signed into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Company is required to record a liability, referred to as an unrecognized tax benefit (“UTB”), for the entire amount of benefit taken in a prior or future income tax return when the Company determines that a tax position has a less than 50% likelihood of being accepted by the taxing authority. The following presents a reconciliation of the Company’s liability for UTBs for the years ended December 31, 2019, December 31, 2018, and December 31,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0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33"/>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Unrecognized Tax Benefits at Beginning of Year</w:t>
            </w:r>
          </w:p>
        </w:tc>
        <w:tc>
          <w:tcPr>
            <w:tcW w:w="20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5,541</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5,292</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6,574</w:t>
            </w:r>
          </w:p>
        </w:tc>
      </w:tr>
      <w:tr>
        <w:trPr>
          <w:trHeight w:val="237"/>
        </w:trPr>
        <w:tc>
          <w:tcPr>
            <w:tcW w:w="6160" w:type="dxa"/>
            <w:vAlign w:val="bottom"/>
          </w:tcPr>
          <w:p>
            <w:pPr>
              <w:ind w:left="280"/>
              <w:spacing w:after="0"/>
              <w:rPr>
                <w:sz w:val="20"/>
                <w:szCs w:val="20"/>
                <w:color w:val="auto"/>
              </w:rPr>
            </w:pPr>
            <w:r>
              <w:rPr>
                <w:rFonts w:ascii="Arial" w:cs="Arial" w:eastAsia="Arial" w:hAnsi="Arial"/>
                <w:sz w:val="16"/>
                <w:szCs w:val="16"/>
                <w:color w:val="auto"/>
              </w:rPr>
              <w:t>Gross Increases, Related to Tax Positions Taken in a Prior Period</w:t>
            </w:r>
          </w:p>
        </w:tc>
        <w:tc>
          <w:tcPr>
            <w:tcW w:w="20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673</w:t>
            </w:r>
          </w:p>
        </w:tc>
        <w:tc>
          <w:tcPr>
            <w:tcW w:w="46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4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273</w:t>
            </w:r>
          </w:p>
        </w:tc>
      </w:tr>
      <w:tr>
        <w:trPr>
          <w:trHeight w:val="33"/>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Increases, Related to Current Period Tax Positions</w:t>
            </w:r>
          </w:p>
        </w:tc>
        <w:tc>
          <w:tcPr>
            <w:tcW w:w="2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715</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885</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1,124</w:t>
            </w:r>
          </w:p>
        </w:tc>
      </w:tr>
      <w:tr>
        <w:trPr>
          <w:trHeight w:val="237"/>
        </w:trPr>
        <w:tc>
          <w:tcPr>
            <w:tcW w:w="6160" w:type="dxa"/>
            <w:vAlign w:val="bottom"/>
          </w:tcPr>
          <w:p>
            <w:pPr>
              <w:ind w:left="280"/>
              <w:spacing w:after="0"/>
              <w:rPr>
                <w:sz w:val="20"/>
                <w:szCs w:val="20"/>
                <w:color w:val="auto"/>
              </w:rPr>
            </w:pPr>
            <w:r>
              <w:rPr>
                <w:rFonts w:ascii="Arial" w:cs="Arial" w:eastAsia="Arial" w:hAnsi="Arial"/>
                <w:sz w:val="16"/>
                <w:szCs w:val="16"/>
                <w:color w:val="auto"/>
              </w:rPr>
              <w:t>Lapse of Statute of Limitations</w:t>
            </w:r>
          </w:p>
        </w:tc>
        <w:tc>
          <w:tcPr>
            <w:tcW w:w="20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(809)</w:t>
            </w: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(793)</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(2,679)</w:t>
            </w:r>
          </w:p>
        </w:tc>
      </w:tr>
      <w:tr>
        <w:trPr>
          <w:trHeight w:val="33"/>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Unrecognized Tax Benefits at End of Year</w:t>
            </w:r>
          </w:p>
        </w:tc>
        <w:tc>
          <w:tcPr>
            <w:tcW w:w="20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6,120</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5,541</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5,292</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2019, and December 31, 2018, $6.1 million and $5.5 million, respectively, in liabilities for UTBs was related to UTBs that if reversed would have an impact on the Company’s effective tax rate.</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Management believes that it is reasonably possible that the Company’s liability for UTBs could further decrease as a result of the expiration of statutes of limitations within the next 12 months. However, management is currently not able to estimate a range of possible change in the amount of the liability for UTBs recorded as of December 31, 2019.</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classifies interest and penalties, if any, related to the liability for UTBs as a component of the provision for income taxes. For the years ended December 31, 2019, the Company recorded a net tax provision of $0.5 million for interest and penalties. For the year ended December 31, 2018, and December 31, 2017, the Company recorded a net tax benefit of less than $0.1 million, respectively, for interest and penalties. As of December 31, 2019, and December 31, 2018, the Company had accrued $1.4 million and $0.9 million, respectively, for the payment of possible interest and penalties.</w:t>
      </w:r>
    </w:p>
    <w:p>
      <w:pPr>
        <w:spacing w:after="0" w:line="15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federal tax returns for 2017 through 2018 remain subject to examination. The IRS audit for tax year 2016 concluded with no change needed to the tax return. The Company's State of Hawaii income tax returns for 2016 through 2018 remain subject to examination by the taxing authorities.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notional amount and fair value of the Company’s derivative financial instruments as of December 31, 2019, and December 31, 2018,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gridSpan w:val="4"/>
          </w:tcPr>
          <w:p>
            <w:pPr>
              <w:ind w:left="440"/>
              <w:spacing w:after="0"/>
              <w:rPr>
                <w:sz w:val="20"/>
                <w:szCs w:val="20"/>
                <w:color w:val="auto"/>
              </w:rPr>
            </w:pPr>
            <w:r>
              <w:rPr>
                <w:rFonts w:ascii="Arial" w:cs="Arial" w:eastAsia="Arial" w:hAnsi="Arial"/>
                <w:sz w:val="16"/>
                <w:szCs w:val="16"/>
                <w:b w:val="1"/>
                <w:bCs w:val="1"/>
                <w:color w:val="auto"/>
              </w:rPr>
              <w:t>December 31, 2019</w:t>
            </w:r>
          </w:p>
        </w:tc>
        <w:tc>
          <w:tcPr>
            <w:tcW w:w="620" w:type="dxa"/>
            <w:vAlign w:val="bottom"/>
          </w:tcPr>
          <w:p>
            <w:pPr>
              <w:spacing w:after="0"/>
              <w:rPr>
                <w:sz w:val="18"/>
                <w:szCs w:val="18"/>
                <w:color w:val="auto"/>
              </w:rPr>
            </w:pPr>
          </w:p>
        </w:tc>
        <w:tc>
          <w:tcPr>
            <w:tcW w:w="252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9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Notional Amount</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168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Notional Amount</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48,677</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33,133</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2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82,735</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34,102</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2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802,389</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26,070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505,034</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(2,537)</w:t>
            </w: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802,389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505,034</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6,082</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2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85,499</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55,663</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793</w:t>
            </w: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7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114,499</w:t>
            </w: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80,746</w:t>
            </w: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9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December 31, 2019, and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80" w:type="dxa"/>
            <w:vAlign w:val="bottom"/>
            <w:gridSpan w:val="4"/>
          </w:tcPr>
          <w:p>
            <w:pPr>
              <w:ind w:left="56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Pr>
          <w:p>
            <w:pPr>
              <w:spacing w:after="0"/>
              <w:rPr>
                <w:sz w:val="18"/>
                <w:szCs w:val="18"/>
                <w:color w:val="auto"/>
              </w:rPr>
            </w:pPr>
          </w:p>
        </w:tc>
        <w:tc>
          <w:tcPr>
            <w:tcW w:w="26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 Not Designated</w:t>
            </w:r>
          </w:p>
        </w:tc>
        <w:tc>
          <w:tcPr>
            <w:tcW w:w="580" w:type="dxa"/>
            <w:vAlign w:val="bottom"/>
          </w:tcPr>
          <w:p>
            <w:pPr>
              <w:spacing w:after="0"/>
              <w:rPr>
                <w:sz w:val="18"/>
                <w:szCs w:val="18"/>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Asset</w:t>
            </w:r>
          </w:p>
        </w:tc>
        <w:tc>
          <w:tcPr>
            <w:tcW w:w="440" w:type="dxa"/>
            <w:vAlign w:val="bottom"/>
          </w:tcPr>
          <w:p>
            <w:pPr>
              <w:spacing w:after="0"/>
              <w:rPr>
                <w:sz w:val="18"/>
                <w:szCs w:val="18"/>
                <w:color w:val="auto"/>
              </w:rPr>
            </w:pP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Asset</w:t>
            </w: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Liability</w:t>
            </w:r>
          </w:p>
        </w:tc>
      </w:tr>
      <w:tr>
        <w:trPr>
          <w:trHeight w:val="243"/>
        </w:trPr>
        <w:tc>
          <w:tcPr>
            <w:tcW w:w="5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xml:space="preserve">as Hedging Instruments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4"/>
                <w:szCs w:val="14"/>
                <w:color w:val="auto"/>
              </w:rPr>
              <w:t>(dollars in thousands)</w:t>
            </w:r>
          </w:p>
        </w:tc>
        <w:tc>
          <w:tcPr>
            <w:tcW w:w="5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Derivatives</w:t>
            </w: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Derivatives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1,280</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877</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58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356</w:t>
            </w:r>
          </w:p>
        </w:tc>
      </w:tr>
      <w:tr>
        <w:trPr>
          <w:trHeight w:val="33"/>
        </w:trPr>
        <w:tc>
          <w:tcPr>
            <w:tcW w:w="5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27,344</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6,051</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12,915</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9,370</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58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284</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808</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5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28,931</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6,377</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14,604</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60"/>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8"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following table presents the Company’s derivative financial instruments and the amount and location of the net gains or losses recognized in the consolidated statements of income for the years ended December 31, 2019, December 31, 2018, and December 31,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tcPr>
          <w:p>
            <w:pPr>
              <w:spacing w:after="0"/>
              <w:rPr>
                <w:sz w:val="21"/>
                <w:szCs w:val="21"/>
                <w:color w:val="auto"/>
              </w:rPr>
            </w:pPr>
          </w:p>
        </w:tc>
        <w:tc>
          <w:tcPr>
            <w:tcW w:w="3720" w:type="dxa"/>
            <w:vAlign w:val="bottom"/>
          </w:tcPr>
          <w:p>
            <w:pPr>
              <w:jc w:val="right"/>
              <w:ind w:right="179"/>
              <w:spacing w:after="0"/>
              <w:rPr>
                <w:sz w:val="20"/>
                <w:szCs w:val="20"/>
                <w:color w:val="auto"/>
              </w:rPr>
            </w:pPr>
            <w:r>
              <w:rPr>
                <w:rFonts w:ascii="Arial" w:cs="Arial" w:eastAsia="Arial" w:hAnsi="Arial"/>
                <w:sz w:val="16"/>
                <w:szCs w:val="16"/>
                <w:b w:val="1"/>
                <w:bCs w:val="1"/>
                <w:color w:val="auto"/>
              </w:rPr>
              <w:t>Location of Net Gains</w:t>
            </w:r>
          </w:p>
        </w:tc>
        <w:tc>
          <w:tcPr>
            <w:tcW w:w="3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r>
      <w:tr>
        <w:trPr>
          <w:trHeight w:val="196"/>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 Not Designated</w:t>
            </w:r>
          </w:p>
        </w:tc>
        <w:tc>
          <w:tcPr>
            <w:tcW w:w="3720" w:type="dxa"/>
            <w:vAlign w:val="bottom"/>
          </w:tcPr>
          <w:p>
            <w:pPr>
              <w:jc w:val="right"/>
              <w:ind w:right="219"/>
              <w:spacing w:after="0"/>
              <w:rPr>
                <w:sz w:val="20"/>
                <w:szCs w:val="20"/>
                <w:color w:val="auto"/>
              </w:rPr>
            </w:pPr>
            <w:r>
              <w:rPr>
                <w:rFonts w:ascii="Arial" w:cs="Arial" w:eastAsia="Arial" w:hAnsi="Arial"/>
                <w:sz w:val="16"/>
                <w:szCs w:val="16"/>
                <w:b w:val="1"/>
                <w:bCs w:val="1"/>
                <w:color w:val="auto"/>
              </w:rPr>
              <w:t>(Losses)Recognized in the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0"/>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 xml:space="preserve">as Hedging Instruments </w:t>
            </w:r>
            <w:r>
              <w:rPr>
                <w:rFonts w:ascii="Arial" w:cs="Arial" w:eastAsia="Arial" w:hAnsi="Arial"/>
                <w:sz w:val="14"/>
                <w:szCs w:val="14"/>
                <w:color w:val="auto"/>
              </w:rPr>
              <w:t>(dollars in thousands)</w:t>
            </w:r>
          </w:p>
        </w:tc>
        <w:tc>
          <w:tcPr>
            <w:tcW w:w="3720" w:type="dxa"/>
            <w:vAlign w:val="bottom"/>
          </w:tcPr>
          <w:p>
            <w:pPr>
              <w:jc w:val="right"/>
              <w:ind w:right="179"/>
              <w:spacing w:after="0"/>
              <w:rPr>
                <w:sz w:val="20"/>
                <w:szCs w:val="20"/>
                <w:color w:val="auto"/>
              </w:rPr>
            </w:pPr>
            <w:r>
              <w:rPr>
                <w:rFonts w:ascii="Arial" w:cs="Arial" w:eastAsia="Arial" w:hAnsi="Arial"/>
                <w:sz w:val="16"/>
                <w:szCs w:val="16"/>
                <w:b w:val="1"/>
                <w:bCs w:val="1"/>
                <w:color w:val="auto"/>
              </w:rPr>
              <w:t>Statements of Income</w:t>
            </w:r>
          </w:p>
        </w:tc>
        <w:tc>
          <w:tcPr>
            <w:tcW w:w="3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33"/>
        </w:trPr>
        <w:tc>
          <w:tcPr>
            <w:tcW w:w="41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3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Mortgage Banking</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12,185</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3,534</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5,643</w:t>
            </w: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3720" w:type="dxa"/>
            <w:vAlign w:val="bottom"/>
          </w:tcPr>
          <w:p>
            <w:pPr>
              <w:jc w:val="right"/>
              <w:ind w:right="179"/>
              <w:spacing w:after="0"/>
              <w:rPr>
                <w:sz w:val="20"/>
                <w:szCs w:val="20"/>
                <w:color w:val="auto"/>
              </w:rPr>
            </w:pPr>
            <w:r>
              <w:rPr>
                <w:rFonts w:ascii="Arial" w:cs="Arial" w:eastAsia="Arial" w:hAnsi="Arial"/>
                <w:sz w:val="16"/>
                <w:szCs w:val="16"/>
                <w:color w:val="auto"/>
              </w:rPr>
              <w:t>Mortgage Banking</w:t>
            </w:r>
          </w:p>
        </w:tc>
        <w:tc>
          <w:tcPr>
            <w:tcW w:w="3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(2,340)</w:t>
            </w:r>
          </w:p>
        </w:tc>
        <w:tc>
          <w:tcPr>
            <w:tcW w:w="44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821</w:t>
            </w: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(1,275)</w:t>
            </w:r>
          </w:p>
        </w:tc>
      </w:tr>
      <w:tr>
        <w:trPr>
          <w:trHeight w:val="33"/>
        </w:trPr>
        <w:tc>
          <w:tcPr>
            <w:tcW w:w="4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3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Other Noninterest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7,172</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1,835</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w:t>
            </w: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3720" w:type="dxa"/>
            <w:vAlign w:val="bottom"/>
          </w:tcPr>
          <w:p>
            <w:pPr>
              <w:jc w:val="right"/>
              <w:ind w:right="179"/>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2,891</w:t>
            </w:r>
          </w:p>
        </w:tc>
        <w:tc>
          <w:tcPr>
            <w:tcW w:w="44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3,163</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3,296</w:t>
            </w:r>
          </w:p>
        </w:tc>
      </w:tr>
      <w:tr>
        <w:trPr>
          <w:trHeight w:val="33"/>
        </w:trPr>
        <w:tc>
          <w:tcPr>
            <w:tcW w:w="4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3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Investment Securities Gains (Losses), Net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(453)</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4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3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19,455</w:t>
            </w:r>
          </w:p>
        </w:tc>
        <w:tc>
          <w:tcPr>
            <w:tcW w:w="4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8,353</w:t>
            </w:r>
          </w:p>
        </w:tc>
        <w:tc>
          <w:tcPr>
            <w:tcW w:w="4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8,362</w:t>
            </w:r>
          </w:p>
        </w:tc>
      </w:tr>
      <w:tr>
        <w:trPr>
          <w:trHeight w:val="33"/>
        </w:trPr>
        <w:tc>
          <w:tcPr>
            <w:tcW w:w="41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25" w:right="2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2019, and December 31, 2018,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swap agreements, foreign exchange contracts, and conversion rate swap agreements.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enters into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19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The majority of the Company’s swap agreements executed with third party financial institutions are now required to be cleared through one of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In September 2019, Visa announced a reduction of the conversion ratio from 1.6298 to 1.6228 effective September 27, 2019. As a result, the Company recorded a $0.5 million liability in September 2019 which represented the amount paid to the buyers of the Visa Class B shares in October 2019. In June 2018, Visa announced a reduction of the conversion ratio from 1.6483 to 1.6298 effective June 28, 2018. As a result, the Company recorded a $1.0 million liability in June 2018 which represented the amount paid to the buyers of the Visa Class B shares in July 2018. As of December 31, 2019,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w:t>
      </w:r>
      <w:r>
        <w:rPr>
          <w:rFonts w:ascii="Arial" w:cs="Arial" w:eastAsia="Arial" w:hAnsi="Arial"/>
          <w:sz w:val="18"/>
          <w:szCs w:val="18"/>
          <w:color w:val="auto"/>
        </w:rPr>
        <w:t>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Affordable Housing Projects Tax Credit Partnerships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makes equity investments in various limited partnerships or limited liability companies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and related unfunded commitments were $76.3 million and $73.7 million as of December 31, 2019, and December 31, 2018, respectively, and are included in other assets in the consolidated statements of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43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33"/>
        </w:trPr>
        <w:tc>
          <w:tcPr>
            <w:tcW w:w="61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14,286</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5,310</w:t>
            </w:r>
          </w:p>
        </w:tc>
      </w:tr>
      <w:tr>
        <w:trPr>
          <w:trHeight w:val="33"/>
        </w:trPr>
        <w:tc>
          <w:tcPr>
            <w:tcW w:w="61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2023</w:t>
            </w:r>
          </w:p>
        </w:tc>
        <w:tc>
          <w:tcPr>
            <w:tcW w:w="4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61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1,485</w:t>
            </w:r>
          </w:p>
        </w:tc>
      </w:tr>
      <w:tr>
        <w:trPr>
          <w:trHeight w:val="33"/>
        </w:trPr>
        <w:tc>
          <w:tcPr>
            <w:tcW w:w="61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Unfunded Commitments</w:t>
            </w:r>
          </w:p>
        </w:tc>
        <w:tc>
          <w:tcPr>
            <w:tcW w:w="4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21,270</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years ended December 31, 2019, December 31, 2018, and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4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33"/>
        </w:trPr>
        <w:tc>
          <w:tcPr>
            <w:tcW w:w="60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Yield Method</w:t>
            </w:r>
          </w:p>
        </w:tc>
        <w:tc>
          <w:tcPr>
            <w:tcW w:w="2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2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11,719</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13,572</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13,569</w:t>
            </w:r>
          </w:p>
        </w:tc>
      </w:tr>
      <w:tr>
        <w:trPr>
          <w:trHeight w:val="33"/>
        </w:trPr>
        <w:tc>
          <w:tcPr>
            <w:tcW w:w="6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2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7,566</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8,311</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8,373</w:t>
            </w:r>
          </w:p>
        </w:tc>
      </w:tr>
      <w:tr>
        <w:trPr>
          <w:trHeight w:val="297"/>
        </w:trPr>
        <w:tc>
          <w:tcPr>
            <w:tcW w:w="6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Proportional Amortization Method</w:t>
            </w:r>
          </w:p>
        </w:tc>
        <w:tc>
          <w:tcPr>
            <w:tcW w:w="2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2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3,014</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1,641</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1,040</w:t>
            </w:r>
          </w:p>
        </w:tc>
      </w:tr>
      <w:tr>
        <w:trPr>
          <w:trHeight w:val="33"/>
        </w:trPr>
        <w:tc>
          <w:tcPr>
            <w:tcW w:w="6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7"/>
        </w:trPr>
        <w:tc>
          <w:tcPr>
            <w:tcW w:w="6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24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2,578</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1,332</w:t>
            </w: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r>
      <w:tr>
        <w:trPr>
          <w:trHeight w:val="33"/>
        </w:trPr>
        <w:tc>
          <w:tcPr>
            <w:tcW w:w="60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were no impairment losses related to LIHTC investments for the years ended December 31, 2019, December 31, 2018, and December 31, 2017. During the first quarter of 2018, the Company recorded a $2.0 million adjustment to increase its LIHTC investments. This adjustment resulted in a decrease to provision for income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marketable securities, is posted by the party (i.e., the Company or the financial institution counterparty) with net liability positions in accordance with contract thresholds. The Company had a net liability positions with its financial institution counterparties totaling $5.1 million and $0.3 million as of December 31, 2019, and December 31, 2018, respectively. See Note 17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Parties to a centrally cleared over-the-counter derivative exchange daily payments that reflect the daily change in value of the derivative. Effective 2017, these payments, commonly referred to as variation margin, will be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17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December 31, 2019, and December 31, 2018,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gridSpan w:val="9"/>
          </w:tcPr>
          <w:p>
            <w:pPr>
              <w:jc w:val="right"/>
              <w:ind w:right="303"/>
              <w:spacing w:after="0"/>
              <w:rPr>
                <w:sz w:val="20"/>
                <w:szCs w:val="20"/>
                <w:color w:val="auto"/>
              </w:rPr>
            </w:pPr>
            <w:r>
              <w:rPr>
                <w:rFonts w:ascii="Arial" w:cs="Arial" w:eastAsia="Arial" w:hAnsi="Arial"/>
                <w:sz w:val="16"/>
                <w:szCs w:val="16"/>
                <w:b w:val="1"/>
                <w:bCs w:val="1"/>
                <w:color w:val="auto"/>
                <w:w w:val="97"/>
              </w:rPr>
              <w:t>Remaining Contractual Maturity of Repurchase Agreements</w:t>
            </w:r>
          </w:p>
        </w:tc>
      </w:tr>
      <w:tr>
        <w:trPr>
          <w:trHeight w:val="33"/>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62"/>
              <w:spacing w:after="0"/>
              <w:rPr>
                <w:sz w:val="20"/>
                <w:szCs w:val="20"/>
                <w:color w:val="auto"/>
              </w:rPr>
            </w:pPr>
            <w:r>
              <w:rPr>
                <w:rFonts w:ascii="Arial" w:cs="Arial" w:eastAsia="Arial" w:hAnsi="Arial"/>
                <w:sz w:val="16"/>
                <w:szCs w:val="16"/>
                <w:b w:val="1"/>
                <w:bCs w:val="1"/>
                <w:color w:val="auto"/>
              </w:rPr>
              <w:t>Up to</w:t>
            </w:r>
          </w:p>
        </w:tc>
        <w:tc>
          <w:tcPr>
            <w:tcW w:w="34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b w:val="1"/>
                <w:bCs w:val="1"/>
                <w:color w:val="auto"/>
              </w:rPr>
              <w:t>91-365</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7"/>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90 days</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days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w w:val="92"/>
              </w:rPr>
              <w:t>1-3 Years</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4"/>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199,173</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38,065</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237,238</w:t>
            </w: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00" w:type="dxa"/>
            <w:vAlign w:val="bottom"/>
          </w:tcPr>
          <w:p>
            <w:pPr>
              <w:spacing w:after="0"/>
              <w:rPr>
                <w:sz w:val="23"/>
                <w:szCs w:val="23"/>
                <w:color w:val="auto"/>
              </w:rPr>
            </w:pPr>
          </w:p>
        </w:tc>
        <w:tc>
          <w:tcPr>
            <w:tcW w:w="760" w:type="dxa"/>
            <w:vAlign w:val="bottom"/>
          </w:tcPr>
          <w:p>
            <w:pPr>
              <w:jc w:val="right"/>
              <w:ind w:right="62"/>
              <w:spacing w:after="0"/>
              <w:rPr>
                <w:sz w:val="20"/>
                <w:szCs w:val="20"/>
                <w:color w:val="auto"/>
              </w:rPr>
            </w:pPr>
            <w:r>
              <w:rPr>
                <w:rFonts w:ascii="Arial" w:cs="Arial" w:eastAsia="Arial" w:hAnsi="Arial"/>
                <w:sz w:val="15"/>
                <w:szCs w:val="15"/>
                <w:color w:val="auto"/>
              </w:rPr>
              <w:t>1,200</w:t>
            </w:r>
          </w:p>
        </w:tc>
        <w:tc>
          <w:tcPr>
            <w:tcW w:w="34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1,100</w:t>
            </w:r>
          </w:p>
        </w:tc>
        <w:tc>
          <w:tcPr>
            <w:tcW w:w="2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490</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2,790</w:t>
            </w:r>
          </w:p>
        </w:tc>
      </w:tr>
      <w:tr>
        <w:trPr>
          <w:trHeight w:val="274"/>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6"/>
        </w:trPr>
        <w:tc>
          <w:tcPr>
            <w:tcW w:w="640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00" w:type="dxa"/>
            <w:vAlign w:val="bottom"/>
          </w:tcPr>
          <w:p>
            <w:pPr>
              <w:spacing w:after="0"/>
              <w:rPr>
                <w:sz w:val="23"/>
                <w:szCs w:val="23"/>
                <w:color w:val="auto"/>
              </w:rPr>
            </w:pPr>
          </w:p>
        </w:tc>
        <w:tc>
          <w:tcPr>
            <w:tcW w:w="760" w:type="dxa"/>
            <w:vAlign w:val="bottom"/>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1,516</w:t>
            </w:r>
          </w:p>
        </w:tc>
        <w:tc>
          <w:tcPr>
            <w:tcW w:w="2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25,827</w:t>
            </w:r>
          </w:p>
        </w:tc>
        <w:tc>
          <w:tcPr>
            <w:tcW w:w="28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88,391</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115,734</w:t>
            </w:r>
          </w:p>
        </w:tc>
      </w:tr>
      <w:tr>
        <w:trPr>
          <w:trHeight w:val="270"/>
        </w:trPr>
        <w:tc>
          <w:tcPr>
            <w:tcW w:w="6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248,544</w:t>
            </w:r>
          </w:p>
        </w:tc>
        <w:tc>
          <w:tcPr>
            <w:tcW w:w="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248,544</w:t>
            </w:r>
          </w:p>
        </w:tc>
      </w:tr>
      <w:tr>
        <w:trPr>
          <w:trHeight w:val="304"/>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1,200</w:t>
            </w:r>
          </w:p>
        </w:tc>
        <w:tc>
          <w:tcPr>
            <w:tcW w:w="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375,490</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604,306</w:t>
            </w:r>
          </w:p>
        </w:tc>
      </w:tr>
      <w:tr>
        <w:trPr>
          <w:trHeight w:val="160"/>
        </w:trPr>
        <w:tc>
          <w:tcPr>
            <w:tcW w:w="6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198,442</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117,021</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315,463</w:t>
            </w:r>
          </w:p>
        </w:tc>
      </w:tr>
      <w:tr>
        <w:trPr>
          <w:trHeight w:val="274"/>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1,906</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1,590</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3,496</w:t>
            </w: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4"/>
        </w:trPr>
        <w:tc>
          <w:tcPr>
            <w:tcW w:w="6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800</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26,558</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70,341</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97,699</w:t>
            </w:r>
          </w:p>
        </w:tc>
      </w:tr>
      <w:tr>
        <w:trPr>
          <w:trHeight w:val="266"/>
        </w:trPr>
        <w:tc>
          <w:tcPr>
            <w:tcW w:w="64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87,638</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87,638</w:t>
            </w:r>
          </w:p>
        </w:tc>
      </w:tr>
      <w:tr>
        <w:trPr>
          <w:trHeight w:val="264"/>
        </w:trPr>
        <w:tc>
          <w:tcPr>
            <w:tcW w:w="6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2,706</w:t>
            </w:r>
          </w:p>
        </w:tc>
        <w:tc>
          <w:tcPr>
            <w:tcW w:w="3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225,000</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275,000</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504,296</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December 31, 2019, and December 31, 2018. The swap agreements we have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(i)</w:t>
            </w:r>
          </w:p>
        </w:tc>
        <w:tc>
          <w:tcPr>
            <w:tcW w:w="16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(ii)</w:t>
            </w:r>
          </w:p>
        </w:tc>
        <w:tc>
          <w:tcPr>
            <w:tcW w:w="240" w:type="dxa"/>
            <w:vAlign w:val="bottom"/>
          </w:tcPr>
          <w:p>
            <w:pPr>
              <w:spacing w:after="0"/>
              <w:rPr>
                <w:sz w:val="18"/>
                <w:szCs w:val="18"/>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(iii) = (i)-(ii)</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(iv)</w:t>
            </w:r>
          </w:p>
        </w:tc>
        <w:tc>
          <w:tcPr>
            <w:tcW w:w="1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Gross Amounts Not Offset in the</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90"/>
              </w:rPr>
              <w:t>Statements of Condition</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Netting</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Gross Amounts</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Gross Amounts</w:t>
            </w:r>
          </w:p>
        </w:tc>
        <w:tc>
          <w:tcPr>
            <w:tcW w:w="24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 Amounts</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Recognized in the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Offset in the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6"/>
              </w:rPr>
              <w:t>per Master</w:t>
            </w:r>
          </w:p>
        </w:tc>
        <w:tc>
          <w:tcPr>
            <w:tcW w:w="36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Fair Value of</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Statements</w:t>
            </w:r>
          </w:p>
        </w:tc>
        <w:tc>
          <w:tcPr>
            <w:tcW w:w="160" w:type="dxa"/>
            <w:vAlign w:val="bottom"/>
          </w:tcPr>
          <w:p>
            <w:pPr>
              <w:spacing w:after="0"/>
              <w:rPr>
                <w:sz w:val="17"/>
                <w:szCs w:val="17"/>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Statements</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Netting</w:t>
            </w:r>
          </w:p>
        </w:tc>
        <w:tc>
          <w:tcPr>
            <w:tcW w:w="36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Collateral</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4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of Condition</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of Condition</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Arrangements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 xml:space="preserve">Pledged </w:t>
            </w:r>
            <w:r>
              <w:rPr>
                <w:rFonts w:ascii="Arial" w:cs="Arial" w:eastAsia="Arial" w:hAnsi="Arial"/>
                <w:sz w:val="21"/>
                <w:szCs w:val="21"/>
                <w:b w:val="1"/>
                <w:bCs w:val="1"/>
                <w:color w:val="auto"/>
                <w:w w:val="85"/>
                <w:vertAlign w:val="superscript"/>
              </w:rPr>
              <w:t>1</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Net Amount</w:t>
            </w: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584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584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5,361</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5,361</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3,818</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959</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Repurchase Agreements: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600,000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600,000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600,000</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4,306</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4,306</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4,306</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Repurchase Agreements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604,306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604,306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604,306</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2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7,572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7,572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1,490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6,082</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1,490</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1,490</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Repurchase Agreements: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500,000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4,296</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4,296</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4,296</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Repurchase Agreements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504,296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504,296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jc w:val="both"/>
        <w:ind w:left="180" w:right="100" w:hanging="172"/>
        <w:spacing w:after="0" w:line="257" w:lineRule="auto"/>
        <w:tabs>
          <w:tab w:leader="none" w:pos="180" w:val="left"/>
        </w:tabs>
        <w:numPr>
          <w:ilvl w:val="0"/>
          <w:numId w:val="61"/>
        </w:numPr>
        <w:rPr>
          <w:rFonts w:ascii="Arial" w:cs="Arial" w:eastAsia="Arial" w:hAnsi="Arial"/>
          <w:sz w:val="9"/>
          <w:szCs w:val="9"/>
          <w:color w:val="auto"/>
        </w:rPr>
      </w:pPr>
      <w:r>
        <w:rPr>
          <w:rFonts w:ascii="Arial" w:cs="Arial" w:eastAsia="Arial" w:hAnsi="Arial"/>
          <w:sz w:val="14"/>
          <w:szCs w:val="14"/>
          <w:color w:val="auto"/>
        </w:rPr>
        <w:t>The application of collateral cannot reduce the net amount below zero. Therefore, excess collateral is not reflected in this table. For repurchase agreements with private institutions, the fair value of investment securities pledged was $645.3 million and $526.7 million as of December 31, 2019, and December 31, 2018, respectively. For repurchase agreements with government entities, the fair value of investment securities pledged was $5.5 million and $6.8 million as of December 31,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Contingencies, and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December 31, 2019,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December 31, 2019</w:t>
            </w:r>
          </w:p>
        </w:tc>
      </w:tr>
      <w:tr>
        <w:trPr>
          <w:trHeight w:val="23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3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2,713,937</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368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81,000</w:t>
            </w:r>
          </w:p>
        </w:tc>
      </w:tr>
      <w:tr>
        <w:trPr>
          <w:trHeight w:val="33"/>
        </w:trPr>
        <w:tc>
          <w:tcPr>
            <w:tcW w:w="61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2"/>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Letters of Credit</w:t>
            </w:r>
          </w:p>
        </w:tc>
        <w:tc>
          <w:tcPr>
            <w:tcW w:w="36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16,981</w:t>
            </w:r>
          </w:p>
        </w:tc>
      </w:tr>
      <w:tr>
        <w:trPr>
          <w:trHeight w:val="21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3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2,811,918</w:t>
            </w:r>
          </w:p>
        </w:tc>
      </w:tr>
      <w:tr>
        <w:trPr>
          <w:trHeight w:val="33"/>
        </w:trPr>
        <w:tc>
          <w:tcPr>
            <w:tcW w:w="61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 Assets valued at $49.1 million secured certain specifically identified standby letters of credit as of December 31, 2019. As of December 31, 2019, the standby and commercial letters of credit had remaining terms ranging from 1 to 14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The Company, along with other members of Visa, are parties to Loss and Judgment Sharing Agreements (the “Agreements”), which provide that the Company along with other member banks of Visa, will share, based on their proportionate interests in Visa, in any losses from certain litigation specified in the Agreements. In March 2008, Visa funded an escrow account from its initial public offering to settle claims covered under the Agreements. In connection with the initial public offering, the Company received restricted Class B common stock in Visa. Should the escrow account established by Visa not be sufficient to cover litigation claims specified in the Agreements, Visa is entitled to fund additional amounts to the escrow account by reducing each member bank’s Class B conversion ratio to unrestricted Class A shares. As of December 31, 2019, management believes that the Company’s indemnification of Visa, related to the costs of these lawsuits, will be sufficiently funded from the escrow account or through future reductions in the conversion ratio. See Note 3 </w:t>
      </w: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and Note 17</w:t>
      </w:r>
      <w:r>
        <w:rPr>
          <w:rFonts w:ascii="Arial" w:cs="Arial" w:eastAsia="Arial" w:hAnsi="Arial"/>
          <w:sz w:val="17"/>
          <w:szCs w:val="17"/>
          <w:i w:val="1"/>
          <w:iCs w:val="1"/>
          <w:color w:val="auto"/>
        </w:rPr>
        <w:t xml:space="preserve"> Derivative Financial Instruments </w:t>
      </w:r>
      <w:r>
        <w:rPr>
          <w:rFonts w:ascii="Arial" w:cs="Arial" w:eastAsia="Arial" w:hAnsi="Arial"/>
          <w:sz w:val="17"/>
          <w:szCs w:val="17"/>
          <w:color w:val="auto"/>
        </w:rPr>
        <w:t>for more information.</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September 9, 2016, a purported class action lawsuit was filed by a Bank customer primarily alleging Bank of Hawaii’s practice of determining whether consumer deposit accounts were overdrawn based on “available balance” (which deducts debit card transactions that have taken place but which have not yet been posted) was not properly applied or disclosed to customers. On December 6, 2019, the parties executed a settlement agreement subject to court approval. The settlement provides for forgiveness of certain related and previously charged off overdraft fees, and a payment by the Company of $8.0 million into a class settlement fund the proceeds of which will be used to refund class members, and to pay attorneys’ fees, administrative and other costs, in exchange for a complete release of all claims asserted against the Company. Although the Company previously established a $2.0 million reserve relating to this claim, the reserve has been increased to a total of $8.0 million as of December 31, 2019.</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sells residential mortgage loans in the secondary market primarily to the Fannie Mae. The Company also pools FHA insured and VA guaranteed residential mortgage loans for sale to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December 31, 2019, the unpaid principal balance of residential mortgage loans sold by the Company was $2.8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 by 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For the year ended December 31, 2019, the Company repurchased three residential mortgage loans with an aggregate unpaid principal balance totaling $0.9 million as a result of the representation and warranty provisions contained in these contracts. The loans were delinquent as to principal and interest at the time of repurchase, however, no material losses were incurred related to these repurchases. As of December 31, 2019, there were no pending repurchase requests related to representation and warranty provisions.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year ended December 31, 2019, the Company had no repurchase requests related to loan servicing activities. As of December 31, 2019, there were no pending repurchase requests related to loan servicing activities.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December 31, 2019, management believes that this exposure is not material due to the historical level of repurchase requests and loss trends and thus has not established a liability for losses related to mortgage loan repurchases. As of December 31, 2019,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right="2040"/>
        <w:spacing w:after="0" w:line="277" w:lineRule="auto"/>
        <w:rPr>
          <w:sz w:val="20"/>
          <w:szCs w:val="20"/>
          <w:color w:val="auto"/>
        </w:rPr>
      </w:pPr>
      <w:r>
        <w:rPr>
          <w:rFonts w:ascii="Arial" w:cs="Arial" w:eastAsia="Arial" w:hAnsi="Arial"/>
          <w:sz w:val="18"/>
          <w:szCs w:val="18"/>
          <w:color w:val="auto"/>
        </w:rPr>
        <w:t>The following is a description of the valuation methodologies and key inputs used to measure assets and liabilities recorded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 quarterly basis, management reviews the pricing information received from the Company’s third-party pricing service. This review process includes a comparison to a second source. The Company’s third-party pricing service has also established processes for us to submit inquiries regarding quoted prices. Periodically, based on these reviews, the Company will challenge 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quotes; benchmark yields and spreads; as well as other reference data as appropriate. Based on this review, management determines whether the current placement of the security in the fair value hierarchy is appropriate or whether transfers may be warranted.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we believe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Derivative financial instruments recorded at fair value on a recurring basis are comprised of interest rate lock commitments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December 31, 2019, and December 31, 2018, the conversion rate swap agreements were valued at zero as reductions to the conversion ratio were neither probable nor reasonably estimable by management. See Note 17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xml:space="preserve"> for more information.</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balances of assets and liabilities measured at fair value on a recurring basis as of December 31, 2019, and 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0"/>
              </w:rPr>
              <w:t>Quoted Prices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In Active</w:t>
            </w:r>
          </w:p>
        </w:tc>
        <w:tc>
          <w:tcPr>
            <w:tcW w:w="3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Significant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Markets for</w:t>
            </w:r>
          </w:p>
        </w:tc>
        <w:tc>
          <w:tcPr>
            <w:tcW w:w="3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Significant</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2000" w:type="dxa"/>
            <w:vAlign w:val="bottom"/>
            <w:gridSpan w:val="2"/>
          </w:tcPr>
          <w:p>
            <w:pPr>
              <w:ind w:left="680"/>
              <w:spacing w:after="0"/>
              <w:rPr>
                <w:sz w:val="20"/>
                <w:szCs w:val="20"/>
                <w:color w:val="auto"/>
              </w:rPr>
            </w:pPr>
            <w:r>
              <w:rPr>
                <w:rFonts w:ascii="Arial" w:cs="Arial" w:eastAsia="Arial" w:hAnsi="Arial"/>
                <w:sz w:val="16"/>
                <w:szCs w:val="16"/>
                <w:b w:val="1"/>
                <w:bCs w:val="1"/>
                <w:color w:val="auto"/>
              </w:rPr>
              <w:t>Identical Assets</w:t>
            </w:r>
          </w:p>
        </w:tc>
        <w:tc>
          <w:tcPr>
            <w:tcW w:w="3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Observable</w:t>
            </w: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Unobservable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or Liabilities</w:t>
            </w:r>
          </w:p>
        </w:tc>
        <w:tc>
          <w:tcPr>
            <w:tcW w:w="3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Inputs</w:t>
            </w:r>
          </w:p>
        </w:tc>
        <w:tc>
          <w:tcPr>
            <w:tcW w:w="32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Inputs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2)</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530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5300" w:type="dxa"/>
            <w:vAlign w:val="bottom"/>
          </w:tcPr>
          <w:p>
            <w:pPr>
              <w:ind w:left="560"/>
              <w:spacing w:after="0"/>
              <w:rPr>
                <w:sz w:val="20"/>
                <w:szCs w:val="20"/>
                <w:color w:val="auto"/>
              </w:rPr>
            </w:pPr>
            <w:r>
              <w:rPr>
                <w:rFonts w:ascii="Arial" w:cs="Arial" w:eastAsia="Arial" w:hAnsi="Arial"/>
                <w:sz w:val="16"/>
                <w:szCs w:val="16"/>
                <w:color w:val="auto"/>
              </w:rPr>
              <w:t>and Government Agencies</w:t>
            </w:r>
          </w:p>
        </w:tc>
        <w:tc>
          <w:tcPr>
            <w:tcW w:w="780" w:type="dxa"/>
            <w:vAlign w:val="bottom"/>
          </w:tcPr>
          <w:p>
            <w:pPr>
              <w:ind w:left="6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1,155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219,976</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221,131</w:t>
            </w: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 Issued by States and Political Subdivisions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55,097</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55,097</w:t>
            </w:r>
          </w:p>
        </w:tc>
      </w:tr>
      <w:tr>
        <w:trPr>
          <w:trHeight w:val="220"/>
        </w:trPr>
        <w:tc>
          <w:tcPr>
            <w:tcW w:w="5300" w:type="dxa"/>
            <w:vAlign w:val="bottom"/>
          </w:tcPr>
          <w:p>
            <w:pPr>
              <w:ind w:left="280"/>
              <w:spacing w:after="0"/>
              <w:rPr>
                <w:sz w:val="20"/>
                <w:szCs w:val="20"/>
                <w:color w:val="auto"/>
              </w:rPr>
            </w:pPr>
            <w:r>
              <w:rPr>
                <w:rFonts w:ascii="Arial" w:cs="Arial" w:eastAsia="Arial" w:hAnsi="Arial"/>
                <w:sz w:val="16"/>
                <w:szCs w:val="16"/>
                <w:color w:val="auto"/>
              </w:rPr>
              <w:t>Debt Securities Issued by</w:t>
            </w: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5300" w:type="dxa"/>
            <w:vAlign w:val="bottom"/>
          </w:tcPr>
          <w:p>
            <w:pPr>
              <w:ind w:left="440"/>
              <w:spacing w:after="0"/>
              <w:rPr>
                <w:sz w:val="20"/>
                <w:szCs w:val="20"/>
                <w:color w:val="auto"/>
              </w:rPr>
            </w:pPr>
            <w:r>
              <w:rPr>
                <w:rFonts w:ascii="Arial" w:cs="Arial" w:eastAsia="Arial" w:hAnsi="Arial"/>
                <w:sz w:val="16"/>
                <w:szCs w:val="16"/>
                <w:color w:val="auto"/>
              </w:rPr>
              <w:t>U.S. Government-Sponsored Enterprises</w:t>
            </w:r>
          </w:p>
        </w:tc>
        <w:tc>
          <w:tcPr>
            <w:tcW w:w="78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22,147</w:t>
            </w:r>
          </w:p>
        </w:tc>
        <w:tc>
          <w:tcPr>
            <w:tcW w:w="3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22,147</w:t>
            </w: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 Issued by Corporations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336,321</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336,321</w:t>
            </w:r>
          </w:p>
        </w:tc>
      </w:tr>
      <w:tr>
        <w:trPr>
          <w:trHeight w:val="237"/>
        </w:trPr>
        <w:tc>
          <w:tcPr>
            <w:tcW w:w="5300" w:type="dxa"/>
            <w:vAlign w:val="bottom"/>
          </w:tcPr>
          <w:p>
            <w:pPr>
              <w:ind w:left="280"/>
              <w:spacing w:after="0"/>
              <w:rPr>
                <w:sz w:val="20"/>
                <w:szCs w:val="20"/>
                <w:color w:val="auto"/>
              </w:rPr>
            </w:pPr>
            <w:r>
              <w:rPr>
                <w:rFonts w:ascii="Arial" w:cs="Arial" w:eastAsia="Arial" w:hAnsi="Arial"/>
                <w:sz w:val="16"/>
                <w:szCs w:val="16"/>
                <w:color w:val="auto"/>
              </w:rPr>
              <w:t>Mortgage-Backed Securities:</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Residential - Government Agencies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1,172,826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1,172,826</w:t>
            </w:r>
          </w:p>
        </w:tc>
      </w:tr>
      <w:tr>
        <w:trPr>
          <w:trHeight w:val="237"/>
        </w:trPr>
        <w:tc>
          <w:tcPr>
            <w:tcW w:w="5300" w:type="dxa"/>
            <w:vAlign w:val="bottom"/>
          </w:tcPr>
          <w:p>
            <w:pPr>
              <w:ind w:left="520"/>
              <w:spacing w:after="0"/>
              <w:rPr>
                <w:sz w:val="20"/>
                <w:szCs w:val="20"/>
                <w:color w:val="auto"/>
              </w:rPr>
            </w:pPr>
            <w:r>
              <w:rPr>
                <w:rFonts w:ascii="Arial" w:cs="Arial" w:eastAsia="Arial" w:hAnsi="Arial"/>
                <w:sz w:val="16"/>
                <w:szCs w:val="16"/>
                <w:color w:val="auto"/>
              </w:rPr>
              <w:t>Residential - U.S. Government-Sponsored Enterprises</w:t>
            </w:r>
          </w:p>
        </w:tc>
        <w:tc>
          <w:tcPr>
            <w:tcW w:w="78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586,761</w:t>
            </w:r>
          </w:p>
        </w:tc>
        <w:tc>
          <w:tcPr>
            <w:tcW w:w="3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586,761</w:t>
            </w: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Commercial - Government Agencies</w:t>
            </w:r>
          </w:p>
        </w:tc>
        <w:tc>
          <w:tcPr>
            <w:tcW w:w="7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0066CC"/>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224,720</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0066CC"/>
              </w:rPr>
              <w:t>—</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224,720</w:t>
            </w:r>
          </w:p>
        </w:tc>
      </w:tr>
      <w:tr>
        <w:trPr>
          <w:trHeight w:val="231"/>
        </w:trPr>
        <w:tc>
          <w:tcPr>
            <w:tcW w:w="53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Mortgage-Backed Securities</w:t>
            </w:r>
          </w:p>
        </w:tc>
        <w:tc>
          <w:tcPr>
            <w:tcW w:w="7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1,984,307</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1,984,307</w:t>
            </w:r>
          </w:p>
        </w:tc>
      </w:tr>
      <w:tr>
        <w:trPr>
          <w:trHeight w:val="33"/>
        </w:trPr>
        <w:tc>
          <w:tcPr>
            <w:tcW w:w="5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7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1,155</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2,617,848</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2,619,003</w:t>
            </w:r>
          </w:p>
        </w:tc>
      </w:tr>
      <w:tr>
        <w:trPr>
          <w:trHeight w:val="231"/>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Loans Held for Sale</w:t>
            </w:r>
          </w:p>
        </w:tc>
        <w:tc>
          <w:tcPr>
            <w:tcW w:w="7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39,062</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39,062</w:t>
            </w: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1,126</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78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41,464</w:t>
            </w:r>
          </w:p>
        </w:tc>
        <w:tc>
          <w:tcPr>
            <w:tcW w:w="3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41,464</w:t>
            </w: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7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308</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28,623</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28,931</w:t>
            </w:r>
          </w:p>
        </w:tc>
      </w:tr>
      <w:tr>
        <w:trPr>
          <w:trHeight w:val="209"/>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Recurring Basis as of December 31, 2019</w:t>
            </w:r>
          </w:p>
        </w:tc>
        <w:tc>
          <w:tcPr>
            <w:tcW w:w="780" w:type="dxa"/>
            <w:vAlign w:val="bottom"/>
          </w:tcPr>
          <w:p>
            <w:pPr>
              <w:ind w:left="6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42,619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2,657,218</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29,749</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2,729,586</w:t>
            </w:r>
          </w:p>
        </w:tc>
      </w:tr>
      <w:tr>
        <w:trPr>
          <w:trHeight w:val="73"/>
        </w:trPr>
        <w:tc>
          <w:tcPr>
            <w:tcW w:w="5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02"/>
        </w:trPr>
        <w:tc>
          <w:tcPr>
            <w:tcW w:w="53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7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327</w:t>
            </w: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6,050</w:t>
            </w: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6,377</w:t>
            </w:r>
          </w:p>
        </w:tc>
      </w:tr>
      <w:tr>
        <w:trPr>
          <w:trHeight w:val="209"/>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Recurring Basis as of December 31, 2019</w:t>
            </w:r>
          </w:p>
        </w:tc>
        <w:tc>
          <w:tcPr>
            <w:tcW w:w="780" w:type="dxa"/>
            <w:vAlign w:val="bottom"/>
          </w:tcPr>
          <w:p>
            <w:pPr>
              <w:ind w:left="6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327</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6,050</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6,377</w:t>
            </w:r>
          </w:p>
        </w:tc>
      </w:tr>
      <w:tr>
        <w:trPr>
          <w:trHeight w:val="73"/>
        </w:trPr>
        <w:tc>
          <w:tcPr>
            <w:tcW w:w="5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02"/>
        </w:trPr>
        <w:tc>
          <w:tcPr>
            <w:tcW w:w="53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Investment Securities Available-for-Sale</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5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5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and Government Agencies</w:t>
            </w:r>
          </w:p>
        </w:tc>
        <w:tc>
          <w:tcPr>
            <w:tcW w:w="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972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391,429</w:t>
            </w:r>
          </w:p>
        </w:tc>
        <w:tc>
          <w:tcPr>
            <w:tcW w:w="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392,401</w:t>
            </w:r>
          </w:p>
        </w:tc>
      </w:tr>
      <w:tr>
        <w:trPr>
          <w:trHeight w:val="237"/>
        </w:trPr>
        <w:tc>
          <w:tcPr>
            <w:tcW w:w="5300" w:type="dxa"/>
            <w:vAlign w:val="bottom"/>
          </w:tcPr>
          <w:p>
            <w:pPr>
              <w:ind w:left="280"/>
              <w:spacing w:after="0"/>
              <w:rPr>
                <w:sz w:val="20"/>
                <w:szCs w:val="20"/>
                <w:color w:val="auto"/>
              </w:rPr>
            </w:pPr>
            <w:r>
              <w:rPr>
                <w:rFonts w:ascii="Arial" w:cs="Arial" w:eastAsia="Arial" w:hAnsi="Arial"/>
                <w:sz w:val="16"/>
                <w:szCs w:val="16"/>
                <w:color w:val="auto"/>
              </w:rPr>
              <w:t>Debt Securities Issued by States and Political Subdivisions</w:t>
            </w:r>
          </w:p>
        </w:tc>
        <w:tc>
          <w:tcPr>
            <w:tcW w:w="78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563,996</w:t>
            </w:r>
          </w:p>
        </w:tc>
        <w:tc>
          <w:tcPr>
            <w:tcW w:w="3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563,996</w:t>
            </w: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 Issued by U.S. Government-Sponsored Enterprises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37"/>
        </w:trPr>
        <w:tc>
          <w:tcPr>
            <w:tcW w:w="5300" w:type="dxa"/>
            <w:vAlign w:val="bottom"/>
          </w:tcPr>
          <w:p>
            <w:pPr>
              <w:ind w:left="280"/>
              <w:spacing w:after="0"/>
              <w:rPr>
                <w:sz w:val="20"/>
                <w:szCs w:val="20"/>
                <w:color w:val="auto"/>
              </w:rPr>
            </w:pPr>
            <w:r>
              <w:rPr>
                <w:rFonts w:ascii="Arial" w:cs="Arial" w:eastAsia="Arial" w:hAnsi="Arial"/>
                <w:sz w:val="16"/>
                <w:szCs w:val="16"/>
                <w:color w:val="auto"/>
              </w:rPr>
              <w:t>Debt Securities Issued by Corporations</w:t>
            </w:r>
          </w:p>
        </w:tc>
        <w:tc>
          <w:tcPr>
            <w:tcW w:w="78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223,140</w:t>
            </w:r>
          </w:p>
        </w:tc>
        <w:tc>
          <w:tcPr>
            <w:tcW w:w="3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223,140</w:t>
            </w: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Mortgage-Backed Securities: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520"/>
              <w:spacing w:after="0"/>
              <w:rPr>
                <w:sz w:val="20"/>
                <w:szCs w:val="20"/>
                <w:color w:val="auto"/>
              </w:rPr>
            </w:pPr>
            <w:r>
              <w:rPr>
                <w:rFonts w:ascii="Arial" w:cs="Arial" w:eastAsia="Arial" w:hAnsi="Arial"/>
                <w:sz w:val="16"/>
                <w:szCs w:val="16"/>
                <w:color w:val="auto"/>
              </w:rPr>
              <w:t>Residential - Government Agencies</w:t>
            </w:r>
          </w:p>
        </w:tc>
        <w:tc>
          <w:tcPr>
            <w:tcW w:w="78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190,442</w:t>
            </w:r>
          </w:p>
        </w:tc>
        <w:tc>
          <w:tcPr>
            <w:tcW w:w="3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190,442</w:t>
            </w: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Residential - U.S. Government-Sponsored Enterprises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578,527</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578,527</w:t>
            </w:r>
          </w:p>
        </w:tc>
      </w:tr>
      <w:tr>
        <w:trPr>
          <w:trHeight w:val="237"/>
        </w:trPr>
        <w:tc>
          <w:tcPr>
            <w:tcW w:w="5300" w:type="dxa"/>
            <w:vAlign w:val="bottom"/>
          </w:tcPr>
          <w:p>
            <w:pPr>
              <w:ind w:left="520"/>
              <w:spacing w:after="0"/>
              <w:rPr>
                <w:sz w:val="20"/>
                <w:szCs w:val="20"/>
                <w:color w:val="auto"/>
              </w:rPr>
            </w:pPr>
            <w:r>
              <w:rPr>
                <w:rFonts w:ascii="Arial" w:cs="Arial" w:eastAsia="Arial" w:hAnsi="Arial"/>
                <w:sz w:val="16"/>
                <w:szCs w:val="16"/>
                <w:color w:val="auto"/>
              </w:rPr>
              <w:t>Commercial - Government Agencies</w:t>
            </w:r>
          </w:p>
        </w:tc>
        <w:tc>
          <w:tcPr>
            <w:tcW w:w="78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0066CC"/>
              </w:rPr>
              <w:t>—</w:t>
            </w:r>
          </w:p>
        </w:tc>
        <w:tc>
          <w:tcPr>
            <w:tcW w:w="3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59,380</w:t>
            </w:r>
          </w:p>
        </w:tc>
        <w:tc>
          <w:tcPr>
            <w:tcW w:w="3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0066CC"/>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59,380</w:t>
            </w:r>
          </w:p>
        </w:tc>
      </w:tr>
      <w:tr>
        <w:trPr>
          <w:trHeight w:val="33"/>
        </w:trPr>
        <w:tc>
          <w:tcPr>
            <w:tcW w:w="5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Mortgage-Backed Securities</w:t>
            </w:r>
          </w:p>
        </w:tc>
        <w:tc>
          <w:tcPr>
            <w:tcW w:w="7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828,349</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828,349</w:t>
            </w:r>
          </w:p>
        </w:tc>
      </w:tr>
      <w:tr>
        <w:trPr>
          <w:trHeight w:val="231"/>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7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972</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2,006,970</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2,007,942</w:t>
            </w:r>
          </w:p>
        </w:tc>
      </w:tr>
      <w:tr>
        <w:trPr>
          <w:trHeight w:val="33"/>
        </w:trPr>
        <w:tc>
          <w:tcPr>
            <w:tcW w:w="5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10,987</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10,987</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78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1,290</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1,290</w:t>
            </w:r>
          </w:p>
        </w:tc>
      </w:tr>
      <w:tr>
        <w:trPr>
          <w:trHeight w:val="3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31,871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31,871</w:t>
            </w:r>
          </w:p>
        </w:tc>
      </w:tr>
      <w:tr>
        <w:trPr>
          <w:trHeight w:val="270"/>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7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812</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13,792</w:t>
            </w: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14,604</w:t>
            </w:r>
          </w:p>
        </w:tc>
      </w:tr>
      <w:tr>
        <w:trPr>
          <w:trHeight w:val="209"/>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Recurring Basis as of December 31, 2018</w:t>
            </w:r>
          </w:p>
        </w:tc>
        <w:tc>
          <w:tcPr>
            <w:tcW w:w="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32,843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2,018,769</w:t>
            </w:r>
          </w:p>
        </w:tc>
        <w:tc>
          <w:tcPr>
            <w:tcW w:w="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15,082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2,066,694</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5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78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371</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9,376</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9,747</w:t>
            </w:r>
          </w:p>
        </w:tc>
      </w:tr>
      <w:tr>
        <w:trPr>
          <w:trHeight w:val="209"/>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Recurring Basis as of December 31, 2018</w:t>
            </w:r>
          </w:p>
        </w:tc>
        <w:tc>
          <w:tcPr>
            <w:tcW w:w="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371</w:t>
            </w:r>
          </w:p>
        </w:tc>
        <w:tc>
          <w:tcPr>
            <w:tcW w:w="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9,376</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4" w:gutter="0" w:footer="0" w:header="0"/>
        </w:sectPr>
      </w:pPr>
    </w:p>
    <w:p>
      <w:pPr>
        <w:spacing w:after="0" w:line="78"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8"/>
          <w:szCs w:val="8"/>
          <w:color w:val="auto"/>
        </w:rPr>
      </w:pPr>
      <w:r>
        <w:rPr>
          <w:rFonts w:ascii="Arial" w:cs="Arial" w:eastAsia="Arial" w:hAnsi="Arial"/>
          <w:sz w:val="13"/>
          <w:szCs w:val="13"/>
          <w:color w:val="auto"/>
        </w:rPr>
        <w:t xml:space="preserve">The fair value of each class of derivatives is shown in Note 17 </w:t>
      </w:r>
      <w:r>
        <w:rPr>
          <w:rFonts w:ascii="Arial" w:cs="Arial" w:eastAsia="Arial" w:hAnsi="Arial"/>
          <w:sz w:val="13"/>
          <w:szCs w:val="13"/>
          <w:i w:val="1"/>
          <w:iCs w:val="1"/>
          <w:color w:val="auto"/>
        </w:rPr>
        <w:t>Derivative Financial Instruments</w:t>
      </w:r>
      <w:r>
        <w:rPr>
          <w:rFonts w:ascii="Arial" w:cs="Arial" w:eastAsia="Arial" w:hAnsi="Arial"/>
          <w:sz w:val="13"/>
          <w:szCs w:val="13"/>
          <w:color w:val="auto"/>
        </w:rPr>
        <w:t>.</w:t>
      </w:r>
    </w:p>
    <w:p>
      <w:pPr>
        <w:sectPr>
          <w:pgSz w:w="11900" w:h="16838" w:orient="portrait"/>
          <w:cols w:equalWidth="0" w:num="1">
            <w:col w:w="11420"/>
          </w:cols>
          <w:pgMar w:left="240" w:top="125" w:right="239" w:bottom="94"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9019"/>
          </w:cols>
          <w:pgMar w:left="1440" w:top="125" w:right="1440"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2019, and December 31, 2018, the changes in Level 3 assets and liabilities measured at fair value on a recurring basis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r>
      <w:tr>
        <w:trPr>
          <w:trHeight w:val="203"/>
        </w:trPr>
        <w:tc>
          <w:tcPr>
            <w:tcW w:w="6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Mortgage</w:t>
            </w:r>
          </w:p>
        </w:tc>
        <w:tc>
          <w:tcPr>
            <w:tcW w:w="3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r>
      <w:tr>
        <w:trPr>
          <w:trHeight w:val="24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60" w:type="dxa"/>
            <w:vAlign w:val="bottom"/>
            <w:tcBorders>
              <w:bottom w:val="single" w:sz="8" w:color="auto"/>
            </w:tcBorders>
            <w:gridSpan w:val="2"/>
          </w:tcPr>
          <w:p>
            <w:pPr>
              <w:ind w:left="2120"/>
              <w:spacing w:after="0"/>
              <w:rPr>
                <w:sz w:val="20"/>
                <w:szCs w:val="20"/>
                <w:color w:val="auto"/>
              </w:rPr>
            </w:pPr>
            <w:r>
              <w:rPr>
                <w:rFonts w:ascii="Arial" w:cs="Arial" w:eastAsia="Arial" w:hAnsi="Arial"/>
                <w:sz w:val="16"/>
                <w:szCs w:val="16"/>
                <w:b w:val="1"/>
                <w:bCs w:val="1"/>
                <w:color w:val="auto"/>
              </w:rPr>
              <w:t xml:space="preserve">Servicing Rights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21"/>
                <w:szCs w:val="21"/>
                <w:b w:val="1"/>
                <w:bCs w:val="1"/>
                <w:color w:val="auto"/>
                <w:vertAlign w:val="superscript"/>
              </w:rPr>
              <w:t>2</w:t>
            </w: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2019</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2019</w:t>
            </w:r>
          </w:p>
        </w:tc>
        <w:tc>
          <w:tcPr>
            <w:tcW w:w="2400" w:type="dxa"/>
            <w:vAlign w:val="bottom"/>
          </w:tcPr>
          <w:p>
            <w:pPr>
              <w:ind w:left="2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1,290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4,416</w:t>
            </w: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Included in Net Income</w:t>
            </w:r>
          </w:p>
        </w:tc>
        <w:tc>
          <w:tcPr>
            <w:tcW w:w="24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3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12,138</w:t>
            </w: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(11,776)</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40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17,795</w:t>
            </w:r>
          </w:p>
        </w:tc>
      </w:tr>
      <w:tr>
        <w:trPr>
          <w:trHeight w:val="33"/>
        </w:trPr>
        <w:tc>
          <w:tcPr>
            <w:tcW w:w="6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2019</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1,126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22,573</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Related to Assets Still Held as of December 31, 2019</w:t>
            </w:r>
          </w:p>
        </w:tc>
        <w:tc>
          <w:tcPr>
            <w:tcW w:w="2400" w:type="dxa"/>
            <w:vAlign w:val="bottom"/>
          </w:tcPr>
          <w:p>
            <w:pPr>
              <w:ind w:left="2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22,573</w:t>
            </w:r>
          </w:p>
        </w:tc>
      </w:tr>
      <w:tr>
        <w:trPr>
          <w:trHeight w:val="73"/>
        </w:trPr>
        <w:tc>
          <w:tcPr>
            <w:tcW w:w="628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10"/>
        </w:trPr>
        <w:tc>
          <w:tcPr>
            <w:tcW w:w="6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2018</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1,454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Included in Net Income</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3,534</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40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(3,451)</w:t>
            </w: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3,439</w:t>
            </w:r>
          </w:p>
        </w:tc>
      </w:tr>
      <w:tr>
        <w:trPr>
          <w:trHeight w:val="231"/>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2400" w:type="dxa"/>
            <w:vAlign w:val="bottom"/>
            <w:tcBorders>
              <w:top w:val="single" w:sz="8" w:color="auto"/>
            </w:tcBorders>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1,290</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4,416</w:t>
            </w:r>
          </w:p>
        </w:tc>
      </w:tr>
      <w:tr>
        <w:trPr>
          <w:trHeight w:val="73"/>
        </w:trPr>
        <w:tc>
          <w:tcPr>
            <w:tcW w:w="628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96"/>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8"/>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Related to Assets Still Held as of December 31, 2018</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4,416</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180" w:right="60" w:hanging="172"/>
        <w:spacing w:after="0" w:line="338" w:lineRule="auto"/>
        <w:tabs>
          <w:tab w:leader="none" w:pos="180" w:val="left"/>
        </w:tabs>
        <w:numPr>
          <w:ilvl w:val="0"/>
          <w:numId w:val="64"/>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December 31, 2019, and December 31, 2018,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80" w:type="dxa"/>
            <w:vAlign w:val="bottom"/>
            <w:gridSpan w:val="2"/>
          </w:tcPr>
          <w:p>
            <w:pPr>
              <w:jc w:val="right"/>
              <w:ind w:right="485"/>
              <w:spacing w:after="0"/>
              <w:rPr>
                <w:sz w:val="20"/>
                <w:szCs w:val="20"/>
                <w:color w:val="auto"/>
              </w:rPr>
            </w:pPr>
            <w:r>
              <w:rPr>
                <w:rFonts w:ascii="Arial" w:cs="Arial" w:eastAsia="Arial" w:hAnsi="Arial"/>
                <w:sz w:val="16"/>
                <w:szCs w:val="16"/>
                <w:b w:val="1"/>
                <w:bCs w:val="1"/>
                <w:color w:val="auto"/>
              </w:rPr>
              <w:t>Significant Unobservable Inputs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0"/>
        </w:trPr>
        <w:tc>
          <w:tcPr>
            <w:tcW w:w="2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80" w:type="dxa"/>
            <w:vAlign w:val="bottom"/>
            <w:gridSpan w:val="2"/>
          </w:tcPr>
          <w:p>
            <w:pPr>
              <w:jc w:val="right"/>
              <w:ind w:right="945"/>
              <w:spacing w:after="0"/>
              <w:rPr>
                <w:sz w:val="20"/>
                <w:szCs w:val="20"/>
                <w:color w:val="auto"/>
              </w:rPr>
            </w:pPr>
            <w:r>
              <w:rPr>
                <w:rFonts w:ascii="Arial" w:cs="Arial" w:eastAsia="Arial" w:hAnsi="Arial"/>
                <w:sz w:val="16"/>
                <w:szCs w:val="16"/>
                <w:b w:val="1"/>
                <w:bCs w:val="1"/>
                <w:color w:val="auto"/>
              </w:rPr>
              <w:t>(weighted-average)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5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386"/>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Valuation Technique</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Description</w:t>
            </w:r>
          </w:p>
        </w:tc>
        <w:tc>
          <w:tcPr>
            <w:tcW w:w="1500" w:type="dxa"/>
            <w:vAlign w:val="bottom"/>
            <w:tcBorders>
              <w:bottom w:val="single" w:sz="8" w:color="auto"/>
            </w:tcBorders>
          </w:tcPr>
          <w:p>
            <w:pPr>
              <w:jc w:val="right"/>
              <w:ind w:right="625"/>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2018</w:t>
            </w:r>
          </w:p>
        </w:tc>
      </w:tr>
      <w:tr>
        <w:trPr>
          <w:trHeight w:val="285"/>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Servicing Rights</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Discounted Cash Flow</w:t>
            </w:r>
          </w:p>
        </w:tc>
        <w:tc>
          <w:tcPr>
            <w:tcW w:w="2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500" w:type="dxa"/>
            <w:vAlign w:val="bottom"/>
            <w:shd w:val="clear" w:color="auto" w:fill="CCEEFF"/>
          </w:tcPr>
          <w:p>
            <w:pPr>
              <w:jc w:val="right"/>
              <w:ind w:right="505"/>
              <w:spacing w:after="0"/>
              <w:rPr>
                <w:sz w:val="20"/>
                <w:szCs w:val="20"/>
                <w:color w:val="auto"/>
              </w:rPr>
            </w:pPr>
            <w:r>
              <w:rPr>
                <w:rFonts w:ascii="Arial" w:cs="Arial" w:eastAsia="Arial" w:hAnsi="Arial"/>
                <w:sz w:val="14"/>
                <w:szCs w:val="14"/>
                <w:color w:val="auto"/>
              </w:rPr>
              <w:t>10.76%</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26,840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w w:val="97"/>
              </w:rPr>
              <w:t>30,508</w:t>
            </w:r>
          </w:p>
        </w:tc>
      </w:tr>
      <w:tr>
        <w:trPr>
          <w:trHeight w:val="107"/>
        </w:trPr>
        <w:tc>
          <w:tcPr>
            <w:tcW w:w="288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218"/>
        </w:trPr>
        <w:tc>
          <w:tcPr>
            <w:tcW w:w="2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500" w:type="dxa"/>
            <w:vAlign w:val="bottom"/>
          </w:tcPr>
          <w:p>
            <w:pPr>
              <w:jc w:val="right"/>
              <w:ind w:right="505"/>
              <w:spacing w:after="0"/>
              <w:rPr>
                <w:sz w:val="20"/>
                <w:szCs w:val="20"/>
                <w:color w:val="auto"/>
              </w:rPr>
            </w:pPr>
            <w:r>
              <w:rPr>
                <w:rFonts w:ascii="Arial" w:cs="Arial" w:eastAsia="Arial" w:hAnsi="Arial"/>
                <w:sz w:val="14"/>
                <w:szCs w:val="14"/>
                <w:color w:val="auto"/>
              </w:rPr>
              <w:t>7.33%</w:t>
            </w:r>
          </w:p>
        </w:tc>
        <w:tc>
          <w:tcPr>
            <w:tcW w:w="500" w:type="dxa"/>
            <w:vAlign w:val="bottom"/>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53"/>
        </w:trPr>
        <w:tc>
          <w:tcPr>
            <w:tcW w:w="28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70"/>
        </w:trPr>
        <w:tc>
          <w:tcPr>
            <w:tcW w:w="288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45"/>
        </w:trPr>
        <w:tc>
          <w:tcPr>
            <w:tcW w:w="2880" w:type="dxa"/>
            <w:vAlign w:val="bottom"/>
          </w:tcPr>
          <w:p>
            <w:pPr>
              <w:ind w:left="20"/>
              <w:spacing w:after="0"/>
              <w:rPr>
                <w:sz w:val="20"/>
                <w:szCs w:val="20"/>
                <w:color w:val="auto"/>
              </w:rPr>
            </w:pPr>
            <w:r>
              <w:rPr>
                <w:rFonts w:ascii="Arial" w:cs="Arial" w:eastAsia="Arial" w:hAnsi="Arial"/>
                <w:sz w:val="14"/>
                <w:szCs w:val="14"/>
                <w:color w:val="auto"/>
              </w:rPr>
              <w:t>Net Derivative Assets and Liabilities:</w:t>
            </w:r>
          </w:p>
        </w:tc>
        <w:tc>
          <w:tcPr>
            <w:tcW w:w="2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147"/>
        </w:trPr>
        <w:tc>
          <w:tcPr>
            <w:tcW w:w="2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85"/>
        </w:trPr>
        <w:tc>
          <w:tcPr>
            <w:tcW w:w="2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Lock Commitments</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Pricing Model</w:t>
            </w:r>
          </w:p>
        </w:tc>
        <w:tc>
          <w:tcPr>
            <w:tcW w:w="2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Closing Ratio</w:t>
            </w:r>
          </w:p>
        </w:tc>
        <w:tc>
          <w:tcPr>
            <w:tcW w:w="1500" w:type="dxa"/>
            <w:vAlign w:val="bottom"/>
            <w:shd w:val="clear" w:color="auto" w:fill="CCEEFF"/>
          </w:tcPr>
          <w:p>
            <w:pPr>
              <w:jc w:val="right"/>
              <w:ind w:right="505"/>
              <w:spacing w:after="0"/>
              <w:rPr>
                <w:sz w:val="20"/>
                <w:szCs w:val="20"/>
                <w:color w:val="auto"/>
              </w:rPr>
            </w:pPr>
            <w:r>
              <w:rPr>
                <w:rFonts w:ascii="Arial" w:cs="Arial" w:eastAsia="Arial" w:hAnsi="Arial"/>
                <w:sz w:val="14"/>
                <w:szCs w:val="14"/>
                <w:color w:val="auto"/>
              </w:rPr>
              <w:t>92.24%</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89.00%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1,280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871</w:t>
            </w:r>
          </w:p>
        </w:tc>
      </w:tr>
      <w:tr>
        <w:trPr>
          <w:trHeight w:val="107"/>
        </w:trPr>
        <w:tc>
          <w:tcPr>
            <w:tcW w:w="288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285"/>
        </w:trPr>
        <w:tc>
          <w:tcPr>
            <w:tcW w:w="2880" w:type="dxa"/>
            <w:vAlign w:val="bottom"/>
          </w:tcPr>
          <w:p>
            <w:pPr>
              <w:ind w:left="200"/>
              <w:spacing w:after="0"/>
              <w:rPr>
                <w:sz w:val="20"/>
                <w:szCs w:val="20"/>
                <w:color w:val="auto"/>
              </w:rPr>
            </w:pPr>
            <w:r>
              <w:rPr>
                <w:rFonts w:ascii="Arial" w:cs="Arial" w:eastAsia="Arial" w:hAnsi="Arial"/>
                <w:sz w:val="14"/>
                <w:szCs w:val="14"/>
                <w:color w:val="auto"/>
              </w:rPr>
              <w:t>Interest Rate Swap Agreements</w:t>
            </w:r>
          </w:p>
        </w:tc>
        <w:tc>
          <w:tcPr>
            <w:tcW w:w="2160" w:type="dxa"/>
            <w:vAlign w:val="bottom"/>
          </w:tcPr>
          <w:p>
            <w:pPr>
              <w:jc w:val="right"/>
              <w:spacing w:after="0"/>
              <w:rPr>
                <w:sz w:val="20"/>
                <w:szCs w:val="20"/>
                <w:color w:val="auto"/>
              </w:rPr>
            </w:pPr>
            <w:r>
              <w:rPr>
                <w:rFonts w:ascii="Arial" w:cs="Arial" w:eastAsia="Arial" w:hAnsi="Arial"/>
                <w:sz w:val="14"/>
                <w:szCs w:val="14"/>
                <w:color w:val="auto"/>
              </w:rPr>
              <w:t>Discounted Cash Flow</w:t>
            </w:r>
          </w:p>
        </w:tc>
        <w:tc>
          <w:tcPr>
            <w:tcW w:w="2380" w:type="dxa"/>
            <w:vAlign w:val="bottom"/>
          </w:tcPr>
          <w:p>
            <w:pPr>
              <w:jc w:val="right"/>
              <w:spacing w:after="0"/>
              <w:rPr>
                <w:sz w:val="20"/>
                <w:szCs w:val="20"/>
                <w:color w:val="auto"/>
              </w:rPr>
            </w:pPr>
            <w:r>
              <w:rPr>
                <w:rFonts w:ascii="Arial" w:cs="Arial" w:eastAsia="Arial" w:hAnsi="Arial"/>
                <w:sz w:val="14"/>
                <w:szCs w:val="14"/>
                <w:color w:val="auto"/>
              </w:rPr>
              <w:t>Credit Factor</w:t>
            </w:r>
          </w:p>
        </w:tc>
        <w:tc>
          <w:tcPr>
            <w:tcW w:w="1500" w:type="dxa"/>
            <w:vAlign w:val="bottom"/>
          </w:tcPr>
          <w:p>
            <w:pPr>
              <w:jc w:val="right"/>
              <w:ind w:right="505"/>
              <w:spacing w:after="0"/>
              <w:rPr>
                <w:sz w:val="20"/>
                <w:szCs w:val="20"/>
                <w:color w:val="auto"/>
              </w:rPr>
            </w:pPr>
            <w:r>
              <w:rPr>
                <w:rFonts w:ascii="Arial" w:cs="Arial" w:eastAsia="Arial" w:hAnsi="Arial"/>
                <w:sz w:val="14"/>
                <w:szCs w:val="14"/>
                <w:color w:val="auto"/>
              </w:rPr>
              <w:t>0.20%</w:t>
            </w:r>
          </w:p>
        </w:tc>
        <w:tc>
          <w:tcPr>
            <w:tcW w:w="50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3"/>
              <w:spacing w:after="0"/>
              <w:rPr>
                <w:sz w:val="20"/>
                <w:szCs w:val="20"/>
                <w:color w:val="auto"/>
              </w:rPr>
            </w:pPr>
            <w:r>
              <w:rPr>
                <w:rFonts w:ascii="Arial" w:cs="Arial" w:eastAsia="Arial" w:hAnsi="Arial"/>
                <w:sz w:val="14"/>
                <w:szCs w:val="14"/>
                <w:color w:val="auto"/>
              </w:rPr>
              <w:t>21,293</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6"/>
              <w:spacing w:after="0"/>
              <w:rPr>
                <w:sz w:val="20"/>
                <w:szCs w:val="20"/>
                <w:color w:val="auto"/>
              </w:rPr>
            </w:pPr>
            <w:r>
              <w:rPr>
                <w:rFonts w:ascii="Arial" w:cs="Arial" w:eastAsia="Arial" w:hAnsi="Arial"/>
                <w:sz w:val="14"/>
                <w:szCs w:val="14"/>
                <w:color w:val="auto"/>
              </w:rPr>
              <w:t>3,545</w:t>
            </w:r>
          </w:p>
        </w:tc>
      </w:tr>
    </w:tbl>
    <w:p>
      <w:pPr>
        <w:spacing w:after="0" w:line="196" w:lineRule="exact"/>
        <w:rPr>
          <w:sz w:val="20"/>
          <w:szCs w:val="20"/>
          <w:color w:val="auto"/>
        </w:rPr>
      </w:pPr>
    </w:p>
    <w:p>
      <w:pPr>
        <w:ind w:left="160" w:hanging="152"/>
        <w:spacing w:after="0"/>
        <w:tabs>
          <w:tab w:leader="none" w:pos="160" w:val="left"/>
        </w:tabs>
        <w:numPr>
          <w:ilvl w:val="0"/>
          <w:numId w:val="65"/>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160" w:hanging="152"/>
        <w:spacing w:after="0"/>
        <w:tabs>
          <w:tab w:leader="none" w:pos="160" w:val="left"/>
        </w:tabs>
        <w:numPr>
          <w:ilvl w:val="0"/>
          <w:numId w:val="66"/>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125" w:right="23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 to historical prepayment data. The Treasury Division also compares the fair value of the Company’s mortgage servicing rights to a value calculated by an independent third party.</w:t>
      </w: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our secondary marketing system using historical data and the ratio is periodically reviewed by the Company for reasonableness.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For the year ended December 31, 2019, the Company recorded a $0.2 million impairment charge to fully write-down the net book value of aircraft parts that were previously on lease agreements. An impairment charge (included in other noninterest expense in the Company's consolidated statements of income) was recorded in the third quarter of 2019 to reduce the carrying value to estimated fair value less cost to sell based on recent appraisals, market conditions, and management judgment. Due to the use of significant unobservable inputs combined with significant management judgment regarding the fair value of the equipment held for sale, the carrying value was deemed a Level 3 measurement. For the year ended December 31, 2018, there were no material adjustments to fair value for the Company’s assets and liabilities measured at fair value on a nonrecurring basis in accordance with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December 31, 2019, and December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Aggregate Fair Value</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Aggregate</w:t>
            </w:r>
          </w:p>
        </w:tc>
        <w:tc>
          <w:tcPr>
            <w:tcW w:w="540" w:type="dxa"/>
            <w:vAlign w:val="bottom"/>
          </w:tcPr>
          <w:p>
            <w:pPr>
              <w:spacing w:after="0"/>
              <w:rPr>
                <w:sz w:val="17"/>
                <w:szCs w:val="17"/>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Less Aggregate</w:t>
            </w:r>
          </w:p>
        </w:tc>
        <w:tc>
          <w:tcPr>
            <w:tcW w:w="0" w:type="dxa"/>
            <w:vAlign w:val="bottom"/>
          </w:tcPr>
          <w:p>
            <w:pPr>
              <w:spacing w:after="0"/>
              <w:rPr>
                <w:sz w:val="1"/>
                <w:szCs w:val="1"/>
                <w:color w:val="auto"/>
              </w:rPr>
            </w:pPr>
          </w:p>
        </w:tc>
      </w:t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9"/>
              </w:rPr>
              <w:t>Unpaid Principal</w:t>
            </w:r>
          </w:p>
        </w:tc>
        <w:tc>
          <w:tcPr>
            <w:tcW w:w="6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Unpaid Principal</w:t>
            </w:r>
          </w:p>
        </w:tc>
        <w:tc>
          <w:tcPr>
            <w:tcW w:w="0" w:type="dxa"/>
            <w:vAlign w:val="bottom"/>
          </w:tcPr>
          <w:p>
            <w:pPr>
              <w:spacing w:after="0"/>
              <w:rPr>
                <w:sz w:val="1"/>
                <w:szCs w:val="1"/>
                <w:color w:val="auto"/>
              </w:rPr>
            </w:pPr>
          </w:p>
        </w:tc>
      </w:tr>
      <w:tr>
        <w:trPr>
          <w:trHeight w:val="27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3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7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0"/>
              <w:spacing w:after="0"/>
              <w:rPr>
                <w:sz w:val="20"/>
                <w:szCs w:val="20"/>
                <w:color w:val="auto"/>
              </w:rPr>
            </w:pPr>
            <w:r>
              <w:rPr>
                <w:rFonts w:ascii="Arial" w:cs="Arial" w:eastAsia="Arial" w:hAnsi="Arial"/>
                <w:sz w:val="16"/>
                <w:szCs w:val="16"/>
                <w:color w:val="auto"/>
              </w:rPr>
              <w:t>Loans Held for Sale</w:t>
            </w:r>
          </w:p>
        </w:tc>
        <w:tc>
          <w:tcPr>
            <w:tcW w:w="1360" w:type="dxa"/>
            <w:vAlign w:val="bottom"/>
            <w:vMerge w:val="restart"/>
          </w:tcPr>
          <w:p>
            <w:pPr>
              <w:jc w:val="right"/>
              <w:ind w:right="279"/>
              <w:spacing w:after="0"/>
              <w:rPr>
                <w:sz w:val="20"/>
                <w:szCs w:val="20"/>
                <w:color w:val="auto"/>
              </w:rPr>
            </w:pPr>
            <w:r>
              <w:rPr>
                <w:rFonts w:ascii="Arial" w:cs="Arial" w:eastAsia="Arial" w:hAnsi="Arial"/>
                <w:sz w:val="16"/>
                <w:szCs w:val="16"/>
                <w:color w:val="auto"/>
              </w:rPr>
              <w:t>39,062</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700" w:type="dxa"/>
            <w:vAlign w:val="bottom"/>
            <w:vMerge w:val="restart"/>
          </w:tcPr>
          <w:p>
            <w:pPr>
              <w:jc w:val="right"/>
              <w:ind w:right="339"/>
              <w:spacing w:after="0"/>
              <w:rPr>
                <w:sz w:val="20"/>
                <w:szCs w:val="20"/>
                <w:color w:val="auto"/>
              </w:rPr>
            </w:pPr>
            <w:r>
              <w:rPr>
                <w:rFonts w:ascii="Arial" w:cs="Arial" w:eastAsia="Arial" w:hAnsi="Arial"/>
                <w:sz w:val="16"/>
                <w:szCs w:val="16"/>
                <w:color w:val="auto"/>
              </w:rPr>
              <w:t>38,293</w:t>
            </w:r>
          </w:p>
        </w:tc>
        <w:tc>
          <w:tcPr>
            <w:tcW w:w="6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1"/>
        </w:trPr>
        <w:tc>
          <w:tcPr>
            <w:tcW w:w="5760" w:type="dxa"/>
            <w:vAlign w:val="bottom"/>
          </w:tcPr>
          <w:p>
            <w:pPr>
              <w:ind w:left="5420"/>
              <w:spacing w:after="0"/>
              <w:rPr>
                <w:sz w:val="20"/>
                <w:szCs w:val="20"/>
                <w:color w:val="auto"/>
              </w:rPr>
            </w:pPr>
            <w:r>
              <w:rPr>
                <w:rFonts w:ascii="Arial" w:cs="Arial" w:eastAsia="Arial" w:hAnsi="Arial"/>
                <w:sz w:val="16"/>
                <w:szCs w:val="16"/>
                <w:color w:val="auto"/>
              </w:rPr>
              <w:t>$</w:t>
            </w:r>
          </w:p>
        </w:tc>
        <w:tc>
          <w:tcPr>
            <w:tcW w:w="13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7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December 31, 2018</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Loans Held for Sale</w:t>
            </w:r>
          </w:p>
        </w:tc>
        <w:tc>
          <w:tcPr>
            <w:tcW w:w="13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10,987</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10,656</w:t>
            </w:r>
          </w:p>
        </w:tc>
        <w:tc>
          <w:tcPr>
            <w:tcW w:w="6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5420"/>
              <w:spacing w:after="0"/>
              <w:rPr>
                <w:sz w:val="20"/>
                <w:szCs w:val="20"/>
                <w:color w:val="auto"/>
              </w:rPr>
            </w:pPr>
            <w:r>
              <w:rPr>
                <w:rFonts w:ascii="Arial" w:cs="Arial" w:eastAsia="Arial" w:hAnsi="Arial"/>
                <w:sz w:val="16"/>
                <w:szCs w:val="16"/>
                <w:color w:val="auto"/>
              </w:rPr>
              <w:t>$</w:t>
            </w:r>
          </w:p>
        </w:tc>
        <w:tc>
          <w:tcPr>
            <w:tcW w:w="136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5" w:right="2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years ended December 31, 2019, and December 31, 2018, the net gains or losses from the change in fair value of the Company’s residential mortgage loans held for sale were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presents the carrying amount, fair value, and placement in the fair value hierarchy of the Company’s financial instruments not recorded at fair value on a recurring basis as of December 31, 2019, and December 31, 2018.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Fair Value Measurements</w:t>
            </w:r>
          </w:p>
        </w:tc>
        <w:tc>
          <w:tcPr>
            <w:tcW w:w="120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Quoted Prices in</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5"/>
              </w:rPr>
              <w:t>Active Markets</w:t>
            </w: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for</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Significant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88"/>
              </w:rPr>
              <w:t>Identical Assets</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Significant</w:t>
            </w: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or</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Observable</w:t>
            </w:r>
          </w:p>
        </w:tc>
        <w:tc>
          <w:tcPr>
            <w:tcW w:w="3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Unobservable</w:t>
            </w: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Carrying</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Inputs</w:t>
            </w:r>
          </w:p>
        </w:tc>
        <w:tc>
          <w:tcPr>
            <w:tcW w:w="3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Inputs</w:t>
            </w:r>
          </w:p>
        </w:tc>
      </w:tr>
      <w:tr>
        <w:trPr>
          <w:trHeight w:val="237"/>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2)</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3,042,294</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3,062,882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275,663</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2,787,219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280"/>
              <w:spacing w:after="0"/>
              <w:rPr>
                <w:sz w:val="20"/>
                <w:szCs w:val="20"/>
                <w:color w:val="auto"/>
              </w:rPr>
            </w:pPr>
            <w:r>
              <w:rPr>
                <w:rFonts w:ascii="Arial" w:cs="Arial" w:eastAsia="Arial" w:hAnsi="Arial"/>
                <w:sz w:val="16"/>
                <w:szCs w:val="16"/>
                <w:color w:val="auto"/>
              </w:rPr>
              <w:t>Loans</w:t>
            </w:r>
          </w:p>
        </w:tc>
        <w:tc>
          <w:tcPr>
            <w:tcW w:w="6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10,664,885</w:t>
            </w:r>
          </w:p>
        </w:tc>
        <w:tc>
          <w:tcPr>
            <w:tcW w:w="3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w w:val="99"/>
              </w:rPr>
              <w:t>10,873,208</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10,873,208</w:t>
            </w: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1,802,431</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1,800,773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1,800,773</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6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604,306</w:t>
            </w:r>
          </w:p>
        </w:tc>
        <w:tc>
          <w:tcPr>
            <w:tcW w:w="3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627,780</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627,780</w:t>
            </w: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1</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75,000</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75,581</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75,581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3,482,092</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3,413,994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352,216</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3,061,778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280"/>
              <w:spacing w:after="0"/>
              <w:rPr>
                <w:sz w:val="20"/>
                <w:szCs w:val="20"/>
                <w:color w:val="auto"/>
              </w:rPr>
            </w:pPr>
            <w:r>
              <w:rPr>
                <w:rFonts w:ascii="Arial" w:cs="Arial" w:eastAsia="Arial" w:hAnsi="Arial"/>
                <w:sz w:val="16"/>
                <w:szCs w:val="16"/>
                <w:color w:val="auto"/>
              </w:rPr>
              <w:t>Loans</w:t>
            </w:r>
          </w:p>
        </w:tc>
        <w:tc>
          <w:tcPr>
            <w:tcW w:w="6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10,084,527</w:t>
            </w:r>
          </w:p>
        </w:tc>
        <w:tc>
          <w:tcPr>
            <w:tcW w:w="3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w w:val="99"/>
              </w:rPr>
              <w:t>10,008,417</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10,008,417</w:t>
            </w: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1,745,522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1,734,447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1,734,447</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6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504,296</w:t>
            </w:r>
          </w:p>
        </w:tc>
        <w:tc>
          <w:tcPr>
            <w:tcW w:w="3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504,288</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504,288</w:t>
            </w: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1</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125,000</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124,559</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124,559</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spacing w:after="0"/>
        <w:tabs>
          <w:tab w:leader="none" w:pos="1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Excludes finance lease obligations.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Revenue Recognition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January 1,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all subsequent ASUs that modified Topic 606. As stated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implementation of the new standard did not have a material impact on the measurement or recognition of revenue; as such, a cumulative effect adjustment to opening retained earnings was not deemed necessary. Results for reporting periods beginning after January 1, 2018, are presented under Topic 606, while prior period amounts were not adjusted and continue to be reported in accordance with the Company’s historic accounting under Topic 605.</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Topic 606 does not apply to revenue associated with financial instruments, including revenue from loans and securities, which comprise the majority of the Company’s revenue. In addition, certain noninterest income streams such as fees associated with mortgage servicing rights, financial guarantees, derivatives, and certain credit card fees are also not in the scope of the new guidance. Topic 606 is applicable to noninterest revenue streams such as trust and asset management income, deposit related fees, interchange fees, merchant income, and annuity and insurance commissions. However, the recognition of these revenue streams did not change significantly upon adoption of Topic 606. Substantially all of the Company’s revenue is generated from contracts with customers. Noninterest revenue streams in-scope of Topic 606 are discussed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Fees, exchange, and other service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years ended December 31, 2019, December 31, 2018, and December 31, 2017.</w:t>
      </w:r>
    </w:p>
    <w:p>
      <w:pPr>
        <w:spacing w:after="0" w:line="329"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Noninterest Income</w:t>
            </w:r>
          </w:p>
        </w:tc>
        <w:tc>
          <w:tcPr>
            <w:tcW w:w="2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60"/>
              <w:spacing w:after="0"/>
              <w:rPr>
                <w:sz w:val="20"/>
                <w:szCs w:val="20"/>
                <w:color w:val="auto"/>
              </w:rPr>
            </w:pPr>
            <w:r>
              <w:rPr>
                <w:rFonts w:ascii="Arial" w:cs="Arial" w:eastAsia="Arial" w:hAnsi="Arial"/>
                <w:sz w:val="18"/>
                <w:szCs w:val="18"/>
                <w:i w:val="1"/>
                <w:iCs w:val="1"/>
                <w:color w:val="auto"/>
              </w:rPr>
              <w:t>In-scope of Topic 606:</w:t>
            </w:r>
          </w:p>
        </w:tc>
        <w:tc>
          <w:tcPr>
            <w:tcW w:w="2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Trust and Asset Management</w:t>
            </w: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44,233</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43,877</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45,430</w:t>
            </w:r>
          </w:p>
        </w:tc>
      </w:tr>
      <w:tr>
        <w:trPr>
          <w:trHeight w:val="243"/>
        </w:trPr>
        <w:tc>
          <w:tcPr>
            <w:tcW w:w="5480" w:type="dxa"/>
            <w:vAlign w:val="bottom"/>
          </w:tcPr>
          <w:p>
            <w:pPr>
              <w:ind w:left="400"/>
              <w:spacing w:after="0"/>
              <w:rPr>
                <w:sz w:val="20"/>
                <w:szCs w:val="20"/>
                <w:color w:val="auto"/>
              </w:rPr>
            </w:pPr>
            <w:r>
              <w:rPr>
                <w:rFonts w:ascii="Arial" w:cs="Arial" w:eastAsia="Arial" w:hAnsi="Arial"/>
                <w:sz w:val="18"/>
                <w:szCs w:val="18"/>
                <w:color w:val="auto"/>
              </w:rPr>
              <w:t>Service Charges on Deposit Accounts</w:t>
            </w:r>
          </w:p>
        </w:tc>
        <w:tc>
          <w:tcPr>
            <w:tcW w:w="20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13,042</w:t>
            </w:r>
          </w:p>
        </w:tc>
        <w:tc>
          <w:tcPr>
            <w:tcW w:w="5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13,165</w:t>
            </w:r>
          </w:p>
        </w:tc>
        <w:tc>
          <w:tcPr>
            <w:tcW w:w="4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15,191</w:t>
            </w:r>
          </w:p>
        </w:tc>
      </w:tr>
      <w:tr>
        <w:trPr>
          <w:trHeight w:val="27"/>
        </w:trPr>
        <w:tc>
          <w:tcPr>
            <w:tcW w:w="5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Fees, Exchange, and Other Service Charges</w:t>
            </w:r>
          </w:p>
        </w:tc>
        <w:tc>
          <w:tcPr>
            <w:tcW w:w="2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46,381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46,350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44,560</w:t>
            </w: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Annuity and Insurance</w:t>
            </w:r>
          </w:p>
        </w:tc>
        <w:tc>
          <w:tcPr>
            <w:tcW w:w="20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6,813</w:t>
            </w:r>
          </w:p>
        </w:tc>
        <w:tc>
          <w:tcPr>
            <w:tcW w:w="5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5,615</w:t>
            </w:r>
          </w:p>
        </w:tc>
        <w:tc>
          <w:tcPr>
            <w:tcW w:w="4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6,444</w:t>
            </w:r>
          </w:p>
        </w:tc>
      </w:tr>
      <w:tr>
        <w:trPr>
          <w:trHeight w:val="27"/>
        </w:trPr>
        <w:tc>
          <w:tcPr>
            <w:tcW w:w="5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9,633</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9,652</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8,966</w:t>
            </w:r>
          </w:p>
        </w:tc>
      </w:tr>
      <w:tr>
        <w:trPr>
          <w:trHeight w:val="237"/>
        </w:trPr>
        <w:tc>
          <w:tcPr>
            <w:tcW w:w="54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Noninterest Income (in-scope of Topic 606)</w:t>
            </w:r>
          </w:p>
        </w:tc>
        <w:tc>
          <w:tcPr>
            <w:tcW w:w="20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120,102</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118,659</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120,591</w:t>
            </w:r>
          </w:p>
        </w:tc>
      </w:tr>
      <w:tr>
        <w:trPr>
          <w:trHeight w:val="27"/>
        </w:trPr>
        <w:tc>
          <w:tcPr>
            <w:tcW w:w="5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Noninterest Income (out-of-scope of Topic 606)</w:t>
            </w:r>
          </w:p>
        </w:tc>
        <w:tc>
          <w:tcPr>
            <w:tcW w:w="20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63,236</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50,264</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64,826</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Noninterest Income</w:t>
            </w:r>
          </w:p>
        </w:tc>
        <w:tc>
          <w:tcPr>
            <w:tcW w:w="2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183,338</w:t>
            </w: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168,923</w:t>
            </w:r>
          </w:p>
        </w:tc>
        <w:tc>
          <w:tcPr>
            <w:tcW w:w="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185,417</w:t>
            </w:r>
          </w:p>
        </w:tc>
      </w:tr>
      <w:tr>
        <w:trPr>
          <w:trHeight w:val="27"/>
        </w:trPr>
        <w:tc>
          <w:tcPr>
            <w:tcW w:w="54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December 31, 2019 and December 31, 2018, the Company did not have any significant contract balances.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Leases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 lease is defined as a contract, or part of a contract, that conveys the right to control the use of identified property, plant or equipment for a period of time in exchange for consideration. On January 1, 2019,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all subsequent ASUs that modified Topic</w:t>
      </w:r>
    </w:p>
    <w:p>
      <w:pPr>
        <w:ind w:left="5580" w:right="960" w:hanging="5572"/>
        <w:spacing w:after="0" w:line="511" w:lineRule="auto"/>
        <w:tabs>
          <w:tab w:leader="none" w:pos="3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Company, Topic 842 primarily affected the accounting treatment for operating lease agreements in which the Company is the lessee. 126</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Substantially all of the leases in which the Company is the lessee are comprised of real estate property for branches, ATM locations, and office space with terms extending through 2052. Portions of certain properties are subleased for terms extending through 2033. Substantially all of the Company’s leases are classified as operating leases, and therefore, were previously not recognized on the Company’s consolidated statements of condition. With the adoption of Topic 842, operating lease agreements are required to be recognized on the consolidated statements of condition as right-of-use (“ROU”) assets and corresponding lease liabilities. The Company has one existing finance lease (previously referred to as a capital lease) for a portion of the Company’s principal offices with a lease term through 2052. As this lease was previously required to be recorded on the Company’s consolidated statements of condition, Topic 842 did not materially impact the accounting for this lease.</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represents the consolidated statements of condition classification of the Company’s ROU assets and lease liabilities. The Company elected not to include short-term leases (i.e., leases with initial terms of twelve months or less), or equipment leases (deemed immaterial) on the consolidated statements of condition.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0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December 31, 2019</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Lease Right-of-Use Assets</w:t>
            </w:r>
          </w:p>
        </w:tc>
        <w:tc>
          <w:tcPr>
            <w:tcW w:w="5060" w:type="dxa"/>
            <w:vAlign w:val="bottom"/>
          </w:tcPr>
          <w:p>
            <w:pPr>
              <w:ind w:left="700"/>
              <w:spacing w:after="0"/>
              <w:rPr>
                <w:sz w:val="20"/>
                <w:szCs w:val="20"/>
                <w:color w:val="auto"/>
              </w:rPr>
            </w:pPr>
            <w:r>
              <w:rPr>
                <w:rFonts w:ascii="Arial" w:cs="Arial" w:eastAsia="Arial" w:hAnsi="Arial"/>
                <w:sz w:val="16"/>
                <w:szCs w:val="16"/>
                <w:b w:val="1"/>
                <w:bCs w:val="1"/>
                <w:color w:val="auto"/>
              </w:rPr>
              <w:t>Classification</w:t>
            </w:r>
          </w:p>
        </w:tc>
        <w:tc>
          <w:tcPr>
            <w:tcW w:w="2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right-of-use assets</w:t>
            </w:r>
          </w:p>
        </w:tc>
        <w:tc>
          <w:tcPr>
            <w:tcW w:w="50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Operating Lease Right-of-Use Assets</w:t>
            </w:r>
          </w:p>
        </w:tc>
        <w:tc>
          <w:tcPr>
            <w:tcW w:w="2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100,838</w:t>
            </w:r>
          </w:p>
        </w:tc>
      </w:tr>
      <w:tr>
        <w:trPr>
          <w:trHeight w:val="224"/>
        </w:trPr>
        <w:tc>
          <w:tcPr>
            <w:tcW w:w="3100" w:type="dxa"/>
            <w:vAlign w:val="bottom"/>
          </w:tcPr>
          <w:p>
            <w:pPr>
              <w:ind w:left="180"/>
              <w:spacing w:after="0"/>
              <w:rPr>
                <w:sz w:val="20"/>
                <w:szCs w:val="20"/>
                <w:color w:val="auto"/>
              </w:rPr>
            </w:pPr>
            <w:r>
              <w:rPr>
                <w:rFonts w:ascii="Arial" w:cs="Arial" w:eastAsia="Arial" w:hAnsi="Arial"/>
                <w:sz w:val="16"/>
                <w:szCs w:val="16"/>
                <w:color w:val="auto"/>
              </w:rPr>
              <w:t>Finance lease right-of-use assets</w:t>
            </w:r>
          </w:p>
        </w:tc>
        <w:tc>
          <w:tcPr>
            <w:tcW w:w="5060" w:type="dxa"/>
            <w:vAlign w:val="bottom"/>
          </w:tcPr>
          <w:p>
            <w:pPr>
              <w:ind w:left="840"/>
              <w:spacing w:after="0"/>
              <w:rPr>
                <w:sz w:val="20"/>
                <w:szCs w:val="20"/>
                <w:color w:val="auto"/>
              </w:rPr>
            </w:pPr>
            <w:r>
              <w:rPr>
                <w:rFonts w:ascii="Arial" w:cs="Arial" w:eastAsia="Arial" w:hAnsi="Arial"/>
                <w:sz w:val="16"/>
                <w:szCs w:val="16"/>
                <w:color w:val="auto"/>
              </w:rPr>
              <w:t>Premises and Equipment, Net</w:t>
            </w:r>
          </w:p>
        </w:tc>
        <w:tc>
          <w:tcPr>
            <w:tcW w:w="22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2,376</w:t>
            </w:r>
          </w:p>
        </w:tc>
      </w:tr>
      <w:tr>
        <w:trPr>
          <w:trHeight w:val="33"/>
        </w:trPr>
        <w:tc>
          <w:tcPr>
            <w:tcW w:w="31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Lease Right-of-Use Assets</w:t>
            </w:r>
          </w:p>
        </w:tc>
        <w:tc>
          <w:tcPr>
            <w:tcW w:w="506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103,214</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0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10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Lease Liabilities</w:t>
            </w:r>
          </w:p>
        </w:tc>
        <w:tc>
          <w:tcPr>
            <w:tcW w:w="50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4"/>
        </w:trPr>
        <w:tc>
          <w:tcPr>
            <w:tcW w:w="310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5060" w:type="dxa"/>
            <w:vAlign w:val="bottom"/>
          </w:tcPr>
          <w:p>
            <w:pPr>
              <w:ind w:left="840"/>
              <w:spacing w:after="0"/>
              <w:rPr>
                <w:sz w:val="20"/>
                <w:szCs w:val="20"/>
                <w:color w:val="auto"/>
              </w:rPr>
            </w:pPr>
            <w:r>
              <w:rPr>
                <w:rFonts w:ascii="Arial" w:cs="Arial" w:eastAsia="Arial" w:hAnsi="Arial"/>
                <w:sz w:val="16"/>
                <w:szCs w:val="16"/>
                <w:color w:val="auto"/>
              </w:rPr>
              <w:t>Operating Lease Liabilities</w:t>
            </w:r>
          </w:p>
        </w:tc>
        <w:tc>
          <w:tcPr>
            <w:tcW w:w="2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108,210</w:t>
            </w:r>
          </w:p>
        </w:tc>
      </w:tr>
      <w:tr>
        <w:trPr>
          <w:trHeight w:val="33"/>
        </w:trPr>
        <w:tc>
          <w:tcPr>
            <w:tcW w:w="31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Finance lease liabilities</w:t>
            </w:r>
          </w:p>
        </w:tc>
        <w:tc>
          <w:tcPr>
            <w:tcW w:w="50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Other Debt</w:t>
            </w:r>
          </w:p>
        </w:tc>
        <w:tc>
          <w:tcPr>
            <w:tcW w:w="2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10,565</w:t>
            </w:r>
          </w:p>
        </w:tc>
      </w:tr>
      <w:tr>
        <w:trPr>
          <w:trHeight w:val="231"/>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Lease Liabilities</w:t>
            </w:r>
          </w:p>
        </w:tc>
        <w:tc>
          <w:tcPr>
            <w:tcW w:w="50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118,775</w:t>
            </w:r>
          </w:p>
        </w:tc>
      </w:tr>
      <w:tr>
        <w:trPr>
          <w:trHeight w:val="33"/>
        </w:trPr>
        <w:tc>
          <w:tcPr>
            <w:tcW w:w="31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calculated amount of the ROU assets and lease liabilities in the table above are impacted by the length of the lease term and the discount rate used to present value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Regarding the discount rate, Topic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2019, the rate for the remaining lease term as of January 1, 2019, was used. For the Company’s only finance lease, the Company utilized its incremental borrowing rate at lease inception.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50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36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remaining lease term</w:t>
            </w:r>
          </w:p>
        </w:tc>
        <w:tc>
          <w:tcPr>
            <w:tcW w:w="506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5060" w:type="dxa"/>
            <w:vAlign w:val="bottom"/>
          </w:tcPr>
          <w:p>
            <w:pPr>
              <w:jc w:val="right"/>
              <w:ind w:right="79"/>
              <w:spacing w:after="0"/>
              <w:rPr>
                <w:sz w:val="20"/>
                <w:szCs w:val="20"/>
                <w:color w:val="auto"/>
              </w:rPr>
            </w:pPr>
            <w:r>
              <w:rPr>
                <w:rFonts w:ascii="Arial" w:cs="Arial" w:eastAsia="Arial" w:hAnsi="Arial"/>
                <w:sz w:val="16"/>
                <w:szCs w:val="16"/>
                <w:color w:val="auto"/>
              </w:rPr>
              <w:t>16.8 years</w:t>
            </w:r>
          </w:p>
        </w:tc>
      </w:tr>
      <w:tr>
        <w:trPr>
          <w:trHeight w:val="33"/>
        </w:trPr>
        <w:tc>
          <w:tcPr>
            <w:tcW w:w="636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37"/>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5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33.0 years</w:t>
            </w:r>
          </w:p>
        </w:tc>
      </w:tr>
      <w:tr>
        <w:trPr>
          <w:trHeight w:val="33"/>
        </w:trPr>
        <w:tc>
          <w:tcPr>
            <w:tcW w:w="636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ind w:left="40"/>
              <w:spacing w:after="0"/>
              <w:rPr>
                <w:sz w:val="20"/>
                <w:szCs w:val="20"/>
                <w:color w:val="auto"/>
              </w:rPr>
            </w:pPr>
            <w:r>
              <w:rPr>
                <w:rFonts w:ascii="Arial" w:cs="Arial" w:eastAsia="Arial" w:hAnsi="Arial"/>
                <w:sz w:val="16"/>
                <w:szCs w:val="16"/>
                <w:b w:val="1"/>
                <w:bCs w:val="1"/>
                <w:color w:val="auto"/>
              </w:rPr>
              <w:t>Weighted-average discount rate</w:t>
            </w:r>
          </w:p>
        </w:tc>
        <w:tc>
          <w:tcPr>
            <w:tcW w:w="482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4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37"/>
        </w:trPr>
        <w:tc>
          <w:tcPr>
            <w:tcW w:w="660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4820" w:type="dxa"/>
            <w:vAlign w:val="bottom"/>
          </w:tcPr>
          <w:p>
            <w:pPr>
              <w:jc w:val="right"/>
              <w:spacing w:after="0"/>
              <w:rPr>
                <w:sz w:val="20"/>
                <w:szCs w:val="20"/>
                <w:color w:val="auto"/>
              </w:rPr>
            </w:pPr>
            <w:r>
              <w:rPr>
                <w:rFonts w:ascii="Arial" w:cs="Arial" w:eastAsia="Arial" w:hAnsi="Arial"/>
                <w:sz w:val="16"/>
                <w:szCs w:val="16"/>
                <w:color w:val="auto"/>
              </w:rPr>
              <w:t>7.04%</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represents lease costs and other lease information. As the Company elected, for all classes of underlying assets, not to separate lease and non-lease components and instead to account for them as a single lease component, the variable lease cost primarily represents variable payments such as common area maintenance and utilities. Variable lease cost also includes payments for ATM location leases in which payments are based on a percentage of ATM transactions (i.e., ATM surcharge fees), rather than a fixed amount.</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Lease Costs</w:t>
            </w:r>
          </w:p>
        </w:tc>
        <w:tc>
          <w:tcPr>
            <w:tcW w:w="2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6"/>
                <w:szCs w:val="16"/>
                <w:color w:val="auto"/>
              </w:rPr>
              <w:t>Operating lease cost</w:t>
            </w:r>
          </w:p>
        </w:tc>
        <w:tc>
          <w:tcPr>
            <w:tcW w:w="28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12,616</w:t>
            </w:r>
          </w:p>
        </w:tc>
      </w:tr>
      <w:tr>
        <w:trPr>
          <w:trHeight w:val="33"/>
        </w:trPr>
        <w:tc>
          <w:tcPr>
            <w:tcW w:w="7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Variable lease cost</w:t>
            </w:r>
          </w:p>
        </w:tc>
        <w:tc>
          <w:tcPr>
            <w:tcW w:w="2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w:t>
            </w:r>
          </w:p>
        </w:tc>
      </w:tr>
      <w:tr>
        <w:trPr>
          <w:trHeight w:val="237"/>
        </w:trPr>
        <w:tc>
          <w:tcPr>
            <w:tcW w:w="7720" w:type="dxa"/>
            <w:vAlign w:val="bottom"/>
          </w:tcPr>
          <w:p>
            <w:pPr>
              <w:ind w:left="380"/>
              <w:spacing w:after="0"/>
              <w:rPr>
                <w:sz w:val="20"/>
                <w:szCs w:val="20"/>
                <w:color w:val="auto"/>
              </w:rPr>
            </w:pPr>
            <w:r>
              <w:rPr>
                <w:rFonts w:ascii="Arial" w:cs="Arial" w:eastAsia="Arial" w:hAnsi="Arial"/>
                <w:sz w:val="16"/>
                <w:szCs w:val="16"/>
                <w:color w:val="auto"/>
              </w:rPr>
              <w:t>Short-term lease cost</w:t>
            </w:r>
          </w:p>
        </w:tc>
        <w:tc>
          <w:tcPr>
            <w:tcW w:w="28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591</w:t>
            </w:r>
          </w:p>
        </w:tc>
      </w:tr>
      <w:tr>
        <w:trPr>
          <w:trHeight w:val="33"/>
        </w:trPr>
        <w:tc>
          <w:tcPr>
            <w:tcW w:w="7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Finance lease cost</w:t>
            </w:r>
          </w:p>
        </w:tc>
        <w:tc>
          <w:tcPr>
            <w:tcW w:w="2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7720" w:type="dxa"/>
            <w:vAlign w:val="bottom"/>
          </w:tcPr>
          <w:p>
            <w:pPr>
              <w:ind w:left="520"/>
              <w:spacing w:after="0"/>
              <w:rPr>
                <w:sz w:val="20"/>
                <w:szCs w:val="20"/>
                <w:color w:val="auto"/>
              </w:rPr>
            </w:pPr>
            <w:r>
              <w:rPr>
                <w:rFonts w:ascii="Arial" w:cs="Arial" w:eastAsia="Arial" w:hAnsi="Arial"/>
                <w:sz w:val="16"/>
                <w:szCs w:val="16"/>
                <w:color w:val="auto"/>
              </w:rPr>
              <w:t xml:space="preserve">Interest on lease liabilities </w:t>
            </w:r>
            <w:r>
              <w:rPr>
                <w:rFonts w:ascii="Arial" w:cs="Arial" w:eastAsia="Arial" w:hAnsi="Arial"/>
                <w:sz w:val="21"/>
                <w:szCs w:val="21"/>
                <w:color w:val="auto"/>
                <w:vertAlign w:val="superscript"/>
              </w:rPr>
              <w:t>1</w:t>
            </w:r>
          </w:p>
        </w:tc>
        <w:tc>
          <w:tcPr>
            <w:tcW w:w="28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747</w:t>
            </w:r>
          </w:p>
        </w:tc>
      </w:tr>
      <w:tr>
        <w:trPr>
          <w:trHeight w:val="250"/>
        </w:trPr>
        <w:tc>
          <w:tcPr>
            <w:tcW w:w="7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Amortization of right-of-use assets</w:t>
            </w:r>
          </w:p>
        </w:tc>
        <w:tc>
          <w:tcPr>
            <w:tcW w:w="2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7720" w:type="dxa"/>
            <w:vAlign w:val="bottom"/>
          </w:tcPr>
          <w:p>
            <w:pPr>
              <w:ind w:left="380"/>
              <w:spacing w:after="0"/>
              <w:rPr>
                <w:sz w:val="20"/>
                <w:szCs w:val="20"/>
                <w:color w:val="auto"/>
              </w:rPr>
            </w:pPr>
            <w:r>
              <w:rPr>
                <w:rFonts w:ascii="Arial" w:cs="Arial" w:eastAsia="Arial" w:hAnsi="Arial"/>
                <w:sz w:val="16"/>
                <w:szCs w:val="16"/>
                <w:color w:val="auto"/>
              </w:rPr>
              <w:t>Sublease income</w:t>
            </w:r>
          </w:p>
        </w:tc>
        <w:tc>
          <w:tcPr>
            <w:tcW w:w="28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(8,281)</w:t>
            </w:r>
          </w:p>
        </w:tc>
      </w:tr>
      <w:tr>
        <w:trPr>
          <w:trHeight w:val="33"/>
        </w:trPr>
        <w:tc>
          <w:tcPr>
            <w:tcW w:w="77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lease cost</w:t>
            </w:r>
          </w:p>
        </w:tc>
        <w:tc>
          <w:tcPr>
            <w:tcW w:w="2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9,249</w:t>
            </w:r>
          </w:p>
        </w:tc>
      </w:tr>
      <w:tr>
        <w:trPr>
          <w:trHeight w:val="20"/>
        </w:trPr>
        <w:tc>
          <w:tcPr>
            <w:tcW w:w="77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Information</w:t>
            </w:r>
          </w:p>
        </w:tc>
        <w:tc>
          <w:tcPr>
            <w:tcW w:w="2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7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Operating cash flows from operating leases</w:t>
            </w:r>
          </w:p>
        </w:tc>
        <w:tc>
          <w:tcPr>
            <w:tcW w:w="2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12,779</w:t>
            </w:r>
          </w:p>
        </w:tc>
      </w:tr>
      <w:tr>
        <w:trPr>
          <w:trHeight w:val="237"/>
        </w:trPr>
        <w:tc>
          <w:tcPr>
            <w:tcW w:w="7720" w:type="dxa"/>
            <w:vAlign w:val="bottom"/>
          </w:tcPr>
          <w:p>
            <w:pPr>
              <w:ind w:left="520"/>
              <w:spacing w:after="0"/>
              <w:rPr>
                <w:sz w:val="20"/>
                <w:szCs w:val="20"/>
                <w:color w:val="auto"/>
              </w:rPr>
            </w:pPr>
            <w:r>
              <w:rPr>
                <w:rFonts w:ascii="Arial" w:cs="Arial" w:eastAsia="Arial" w:hAnsi="Arial"/>
                <w:sz w:val="16"/>
                <w:szCs w:val="16"/>
                <w:color w:val="auto"/>
              </w:rPr>
              <w:t>Operating cash flows from finance leases</w:t>
            </w:r>
          </w:p>
        </w:tc>
        <w:tc>
          <w:tcPr>
            <w:tcW w:w="28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747</w:t>
            </w:r>
          </w:p>
        </w:tc>
      </w:tr>
      <w:tr>
        <w:trPr>
          <w:trHeight w:val="33"/>
        </w:trPr>
        <w:tc>
          <w:tcPr>
            <w:tcW w:w="7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Financing cash flows from finance leases</w:t>
            </w:r>
          </w:p>
        </w:tc>
        <w:tc>
          <w:tcPr>
            <w:tcW w:w="2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70"/>
        </w:trPr>
        <w:tc>
          <w:tcPr>
            <w:tcW w:w="77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4,101</w:t>
            </w:r>
          </w:p>
        </w:tc>
      </w:tr>
      <w:tr>
        <w:trPr>
          <w:trHeight w:val="237"/>
        </w:trPr>
        <w:tc>
          <w:tcPr>
            <w:tcW w:w="7720" w:type="dxa"/>
            <w:vAlign w:val="bottom"/>
          </w:tcPr>
          <w:p>
            <w:pPr>
              <w:ind w:left="380"/>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28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95"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9"/>
          <w:szCs w:val="9"/>
          <w:color w:val="auto"/>
        </w:rPr>
      </w:pPr>
      <w:r>
        <w:rPr>
          <w:rFonts w:ascii="Arial" w:cs="Arial" w:eastAsia="Arial" w:hAnsi="Arial"/>
          <w:sz w:val="14"/>
          <w:szCs w:val="14"/>
          <w:color w:val="auto"/>
        </w:rPr>
        <w:t>Included in other debt interest expense in the Company’s consolidated statements of income. All other lease costs in this table are included in net occupancy expense.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for operating leases for the years ended December 31, 2018, and December 31, 2017, were $19.3 million and $18.3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income for the years ended December 31, 2018, and December 31, 2017, were $7.6 million and $7.1 million, respectively.</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Future minimum payments for finance leases and operating leases with initial or remaining terms of one year or more as of December 31, 2019,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Finance Leases</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Operating Leases</w:t>
            </w: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825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12,003</w:t>
            </w: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2021</w:t>
            </w:r>
          </w:p>
        </w:tc>
        <w:tc>
          <w:tcPr>
            <w:tcW w:w="2280" w:type="dxa"/>
            <w:vAlign w:val="bottom"/>
          </w:tcPr>
          <w:p>
            <w:pPr>
              <w:spacing w:after="0"/>
              <w:rPr>
                <w:sz w:val="20"/>
                <w:szCs w:val="20"/>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825</w:t>
            </w:r>
          </w:p>
        </w:tc>
        <w:tc>
          <w:tcPr>
            <w:tcW w:w="3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11,329</w:t>
            </w:r>
          </w:p>
        </w:tc>
      </w:tr>
      <w:tr>
        <w:trPr>
          <w:trHeight w:val="33"/>
        </w:trPr>
        <w:tc>
          <w:tcPr>
            <w:tcW w:w="5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825</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10,515</w:t>
            </w: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2023</w:t>
            </w:r>
          </w:p>
        </w:tc>
        <w:tc>
          <w:tcPr>
            <w:tcW w:w="2280" w:type="dxa"/>
            <w:vAlign w:val="bottom"/>
          </w:tcPr>
          <w:p>
            <w:pPr>
              <w:spacing w:after="0"/>
              <w:rPr>
                <w:sz w:val="20"/>
                <w:szCs w:val="20"/>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825</w:t>
            </w:r>
          </w:p>
        </w:tc>
        <w:tc>
          <w:tcPr>
            <w:tcW w:w="3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9,687</w:t>
            </w:r>
          </w:p>
        </w:tc>
      </w:tr>
      <w:tr>
        <w:trPr>
          <w:trHeight w:val="33"/>
        </w:trPr>
        <w:tc>
          <w:tcPr>
            <w:tcW w:w="5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825</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8,235</w:t>
            </w: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280" w:type="dxa"/>
            <w:vAlign w:val="bottom"/>
          </w:tcPr>
          <w:p>
            <w:pPr>
              <w:spacing w:after="0"/>
              <w:rPr>
                <w:sz w:val="20"/>
                <w:szCs w:val="20"/>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23,105</w:t>
            </w:r>
          </w:p>
        </w:tc>
        <w:tc>
          <w:tcPr>
            <w:tcW w:w="3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100,180</w:t>
            </w:r>
          </w:p>
        </w:tc>
      </w:tr>
      <w:tr>
        <w:trPr>
          <w:trHeight w:val="33"/>
        </w:trPr>
        <w:tc>
          <w:tcPr>
            <w:tcW w:w="5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Future Minimum Lease Payments</w:t>
            </w:r>
          </w:p>
        </w:tc>
        <w:tc>
          <w:tcPr>
            <w:tcW w:w="2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27,230</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151,949</w:t>
            </w: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Amounts Representing Interest</w:t>
            </w:r>
          </w:p>
        </w:tc>
        <w:tc>
          <w:tcPr>
            <w:tcW w:w="228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(16,665)</w:t>
            </w: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(43,739)</w:t>
            </w:r>
          </w:p>
        </w:tc>
      </w:tr>
      <w:tr>
        <w:trPr>
          <w:trHeight w:val="33"/>
        </w:trPr>
        <w:tc>
          <w:tcPr>
            <w:tcW w:w="5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Present Value of Net Future Minimum Lease Payments</w:t>
            </w:r>
          </w:p>
        </w:tc>
        <w:tc>
          <w:tcPr>
            <w:tcW w:w="2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10,565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108,210</w:t>
            </w:r>
          </w:p>
        </w:tc>
      </w:tr>
      <w:tr>
        <w:trPr>
          <w:trHeight w:val="20"/>
        </w:trPr>
        <w:tc>
          <w:tcPr>
            <w:tcW w:w="59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as lessor, leases and subleases certain properties to third party lessees. Rental income for these operating leases were $10.7 million, $8.7 million, and $8.2 million for the years ended December 31, 2019, December 31, 2018, and December 31, 2017,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income under operating leases, including subleases, as of December 31, 2019,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b w:val="1"/>
                <w:bCs w:val="1"/>
                <w:color w:val="auto"/>
              </w:rPr>
              <w:t>Minimum Rental</w:t>
            </w:r>
          </w:p>
        </w:tc>
      </w:tr>
      <w:tr>
        <w:trPr>
          <w:trHeight w:val="237"/>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w:t>
            </w:r>
          </w:p>
        </w:tc>
      </w:tr>
      <w:tr>
        <w:trPr>
          <w:trHeight w:val="23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6,614</w:t>
            </w:r>
          </w:p>
        </w:tc>
      </w:tr>
      <w:tr>
        <w:trPr>
          <w:trHeight w:val="224"/>
        </w:trPr>
        <w:tc>
          <w:tcPr>
            <w:tcW w:w="5520" w:type="dxa"/>
            <w:vAlign w:val="bottom"/>
          </w:tcPr>
          <w:p>
            <w:pPr>
              <w:ind w:left="40"/>
              <w:spacing w:after="0"/>
              <w:rPr>
                <w:sz w:val="20"/>
                <w:szCs w:val="20"/>
                <w:color w:val="auto"/>
              </w:rPr>
            </w:pPr>
            <w:r>
              <w:rPr>
                <w:rFonts w:ascii="Arial" w:cs="Arial" w:eastAsia="Arial" w:hAnsi="Arial"/>
                <w:sz w:val="16"/>
                <w:szCs w:val="16"/>
                <w:color w:val="auto"/>
              </w:rPr>
              <w:t>2021</w:t>
            </w:r>
          </w:p>
        </w:tc>
        <w:tc>
          <w:tcPr>
            <w:tcW w:w="44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5,129</w:t>
            </w:r>
          </w:p>
        </w:tc>
      </w:tr>
      <w:tr>
        <w:trPr>
          <w:trHeight w:val="33"/>
        </w:trPr>
        <w:tc>
          <w:tcPr>
            <w:tcW w:w="55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4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3,817</w:t>
            </w:r>
          </w:p>
        </w:tc>
      </w:tr>
      <w:tr>
        <w:trPr>
          <w:trHeight w:val="224"/>
        </w:trPr>
        <w:tc>
          <w:tcPr>
            <w:tcW w:w="5520" w:type="dxa"/>
            <w:vAlign w:val="bottom"/>
          </w:tcPr>
          <w:p>
            <w:pPr>
              <w:ind w:left="40"/>
              <w:spacing w:after="0"/>
              <w:rPr>
                <w:sz w:val="20"/>
                <w:szCs w:val="20"/>
                <w:color w:val="auto"/>
              </w:rPr>
            </w:pPr>
            <w:r>
              <w:rPr>
                <w:rFonts w:ascii="Arial" w:cs="Arial" w:eastAsia="Arial" w:hAnsi="Arial"/>
                <w:sz w:val="16"/>
                <w:szCs w:val="16"/>
                <w:color w:val="auto"/>
              </w:rPr>
              <w:t>2023</w:t>
            </w:r>
          </w:p>
        </w:tc>
        <w:tc>
          <w:tcPr>
            <w:tcW w:w="44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2,554</w:t>
            </w:r>
          </w:p>
        </w:tc>
      </w:tr>
      <w:tr>
        <w:trPr>
          <w:trHeight w:val="33"/>
        </w:trPr>
        <w:tc>
          <w:tcPr>
            <w:tcW w:w="55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4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w:t>
            </w:r>
          </w:p>
        </w:tc>
      </w:tr>
      <w:tr>
        <w:trPr>
          <w:trHeight w:val="224"/>
        </w:trPr>
        <w:tc>
          <w:tcPr>
            <w:tcW w:w="55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4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4,530</w:t>
            </w:r>
          </w:p>
        </w:tc>
      </w:tr>
      <w:tr>
        <w:trPr>
          <w:trHeight w:val="33"/>
        </w:trPr>
        <w:tc>
          <w:tcPr>
            <w:tcW w:w="55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23,796</w:t>
            </w: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4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Bank of Hawaii Corporation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statements of the Parent were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Dividends from Bank of Hawaii</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220,000</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185,000</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130,000</w:t>
            </w:r>
          </w:p>
        </w:tc>
      </w:tr>
      <w:tr>
        <w:trPr>
          <w:trHeight w:val="33"/>
        </w:trPr>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(850)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(819)</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12,027</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Income</w:t>
            </w:r>
          </w:p>
        </w:tc>
        <w:tc>
          <w:tcPr>
            <w:tcW w:w="110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261</w:t>
            </w:r>
          </w:p>
        </w:tc>
        <w:tc>
          <w:tcPr>
            <w:tcW w:w="50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198</w:t>
            </w:r>
          </w:p>
        </w:tc>
        <w:tc>
          <w:tcPr>
            <w:tcW w:w="4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204</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Income</w:t>
            </w:r>
          </w:p>
        </w:tc>
        <w:tc>
          <w:tcPr>
            <w:tcW w:w="1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219,411</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184,379</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142,231</w:t>
            </w:r>
          </w:p>
        </w:tc>
      </w:tr>
      <w:tr>
        <w:trPr>
          <w:trHeight w:val="231"/>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1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Intercompany Salaries and Services</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768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734</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Expenses</w:t>
            </w:r>
          </w:p>
        </w:tc>
        <w:tc>
          <w:tcPr>
            <w:tcW w:w="110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1,682</w:t>
            </w:r>
          </w:p>
        </w:tc>
        <w:tc>
          <w:tcPr>
            <w:tcW w:w="50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1,701</w:t>
            </w:r>
          </w:p>
        </w:tc>
        <w:tc>
          <w:tcPr>
            <w:tcW w:w="4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1,401</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1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2,450</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2,435</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2,121</w:t>
            </w:r>
          </w:p>
        </w:tc>
      </w:tr>
      <w:tr>
        <w:trPr>
          <w:trHeight w:val="231"/>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Income Tax Benefit and Equity in Undistributed Income of Subsidiaries</w:t>
            </w:r>
          </w:p>
        </w:tc>
        <w:tc>
          <w:tcPr>
            <w:tcW w:w="1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216,961</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181,944</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140,110</w:t>
            </w:r>
          </w:p>
        </w:tc>
      </w:tr>
      <w:tr>
        <w:trPr>
          <w:trHeight w:val="33"/>
        </w:trPr>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2,229</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Equity in Undistributed Income of Subsidiaries</w:t>
            </w:r>
          </w:p>
        </w:tc>
        <w:tc>
          <w:tcPr>
            <w:tcW w:w="110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7,134</w:t>
            </w:r>
          </w:p>
        </w:tc>
        <w:tc>
          <w:tcPr>
            <w:tcW w:w="50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35,429</w:t>
            </w:r>
          </w:p>
        </w:tc>
        <w:tc>
          <w:tcPr>
            <w:tcW w:w="4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48,119</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225,913</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219,602</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184,672</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245,844</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210,751</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183,863</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December 31,</w:t>
            </w:r>
          </w:p>
        </w:tc>
        <w:tc>
          <w:tcPr>
            <w:tcW w:w="42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December 31,</w:t>
            </w: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Cash with Bank of Hawaii</w:t>
            </w:r>
          </w:p>
        </w:tc>
        <w:tc>
          <w:tcPr>
            <w:tcW w:w="2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37,056</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52,731</w:t>
            </w: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Held-to-Maturity</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4,974</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4,999</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14,129</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14,129</w:t>
            </w: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Receivable and Deferred Tax Assets</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1,979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10,422</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8,468</w:t>
            </w: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Assets of Subsidiaries</w:t>
            </w:r>
          </w:p>
        </w:tc>
        <w:tc>
          <w:tcPr>
            <w:tcW w:w="27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1,229,775</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1,195,132</w:t>
            </w:r>
          </w:p>
        </w:tc>
      </w:tr>
      <w:tr>
        <w:trPr>
          <w:trHeight w:val="231"/>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1,298,335</w:t>
            </w: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1,276,979</w:t>
            </w:r>
          </w:p>
        </w:tc>
      </w:tr>
      <w:tr>
        <w:trPr>
          <w:trHeight w:val="73"/>
        </w:trPr>
        <w:tc>
          <w:tcPr>
            <w:tcW w:w="586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5860" w:type="dxa"/>
            <w:vAlign w:val="bottom"/>
            <w:shd w:val="clear" w:color="auto" w:fill="CCEEFF"/>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58</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11,445</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8,719</w:t>
            </w:r>
          </w:p>
        </w:tc>
      </w:tr>
      <w:tr>
        <w:trPr>
          <w:trHeight w:val="33"/>
        </w:trPr>
        <w:tc>
          <w:tcPr>
            <w:tcW w:w="58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11,503</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8,779</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1,286,832</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1,268,200</w:t>
            </w:r>
          </w:p>
        </w:tc>
      </w:tr>
      <w:tr>
        <w:trPr>
          <w:trHeight w:val="33"/>
        </w:trPr>
        <w:tc>
          <w:tcPr>
            <w:tcW w:w="58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1,298,335</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1,276,979</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420"/>
          </w:cols>
          <w:pgMar w:left="240" w:top="125" w:right="239" w:bottom="0"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225,913</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219,602</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184,672</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440"/>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760</w:t>
            </w:r>
          </w:p>
        </w:tc>
        <w:tc>
          <w:tcPr>
            <w:tcW w:w="46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630</w:t>
            </w:r>
          </w:p>
        </w:tc>
        <w:tc>
          <w:tcPr>
            <w:tcW w:w="4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573</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(Gains) Losses on Sales of Investment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850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819</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(12,027)</w:t>
            </w:r>
          </w:p>
        </w:tc>
      </w:tr>
      <w:tr>
        <w:trPr>
          <w:trHeight w:val="237"/>
        </w:trPr>
        <w:tc>
          <w:tcPr>
            <w:tcW w:w="6520" w:type="dxa"/>
            <w:vAlign w:val="bottom"/>
          </w:tcPr>
          <w:p>
            <w:pPr>
              <w:ind w:left="440"/>
              <w:spacing w:after="0"/>
              <w:rPr>
                <w:sz w:val="20"/>
                <w:szCs w:val="20"/>
                <w:color w:val="auto"/>
              </w:rPr>
            </w:pPr>
            <w:r>
              <w:rPr>
                <w:rFonts w:ascii="Arial" w:cs="Arial" w:eastAsia="Arial" w:hAnsi="Arial"/>
                <w:sz w:val="16"/>
                <w:szCs w:val="16"/>
                <w:color w:val="auto"/>
              </w:rPr>
              <w:t>Equity in Undistributed Income of Subsidiaries</w:t>
            </w:r>
          </w:p>
        </w:tc>
        <w:tc>
          <w:tcPr>
            <w:tcW w:w="108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(7,134)</w:t>
            </w:r>
          </w:p>
        </w:tc>
        <w:tc>
          <w:tcPr>
            <w:tcW w:w="46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(35,429)</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(48,119)</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Change in Other Assets and Other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(135)</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870</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(6,477)</w:t>
            </w:r>
          </w:p>
        </w:tc>
      </w:tr>
      <w:tr>
        <w:trPr>
          <w:trHeight w:val="231"/>
        </w:trPr>
        <w:tc>
          <w:tcPr>
            <w:tcW w:w="652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Net Cash Provided by Operating Activities</w:t>
            </w:r>
          </w:p>
        </w:tc>
        <w:tc>
          <w:tcPr>
            <w:tcW w:w="1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220,254</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186,492</w:t>
            </w: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118,622</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 Distribution from BOHC Investment Fund LLC</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Capital Contributions to the Bank</w:t>
            </w:r>
          </w:p>
        </w:tc>
        <w:tc>
          <w:tcPr>
            <w:tcW w:w="10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(12,467)</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(Expenses related to) Sales of Investment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4,259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(819)</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12,027</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Purchase of Investment Securities Held-to-Maturity</w:t>
            </w:r>
          </w:p>
        </w:tc>
        <w:tc>
          <w:tcPr>
            <w:tcW w:w="108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(4,933)</w:t>
            </w:r>
          </w:p>
        </w:tc>
        <w:tc>
          <w:tcPr>
            <w:tcW w:w="46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(674)</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(819)</w:t>
            </w: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64"/>
        </w:trPr>
        <w:tc>
          <w:tcPr>
            <w:tcW w:w="65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10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7,872</w:t>
            </w:r>
          </w:p>
        </w:tc>
        <w:tc>
          <w:tcPr>
            <w:tcW w:w="46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7,873</w:t>
            </w:r>
          </w:p>
        </w:tc>
        <w:tc>
          <w:tcPr>
            <w:tcW w:w="4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13,101</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Repurchase of Common Stock</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(137,649)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(91,988)</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(47,076)</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Cash Dividends Paid</w:t>
            </w:r>
          </w:p>
        </w:tc>
        <w:tc>
          <w:tcPr>
            <w:tcW w:w="108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(105,478)</w:t>
            </w:r>
          </w:p>
        </w:tc>
        <w:tc>
          <w:tcPr>
            <w:tcW w:w="46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(98,496)</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(87,066)</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Net Cash Used in Financing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(235,255)</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(182,611)</w:t>
            </w: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(121,041)</w:t>
            </w:r>
          </w:p>
        </w:tc>
      </w:tr>
      <w:tr>
        <w:trPr>
          <w:trHeight w:val="264"/>
        </w:trPr>
        <w:tc>
          <w:tcPr>
            <w:tcW w:w="65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(15,675)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3,062</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52,731</w:t>
            </w:r>
          </w:p>
        </w:tc>
        <w:tc>
          <w:tcPr>
            <w:tcW w:w="46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49,669</w:t>
            </w:r>
          </w:p>
        </w:tc>
        <w:tc>
          <w:tcPr>
            <w:tcW w:w="4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51,915</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37,056</w:t>
            </w:r>
          </w:p>
        </w:tc>
        <w:tc>
          <w:tcPr>
            <w:tcW w:w="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52,731</w:t>
            </w:r>
          </w:p>
        </w:tc>
        <w:tc>
          <w:tcPr>
            <w:tcW w:w="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49,669</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December 31, 2019.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December 31,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Internal control is designed to provide reasonable assurance to the Company’s management and board of directors regarding the preparation of reliable published financial statements. Internal control over financial reporting includes self-monitoring mechanisms, and actions are taken to correct deficiencies as they are identified.</w:t>
      </w:r>
    </w:p>
    <w:p>
      <w:pPr>
        <w:spacing w:after="0" w:line="14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Because of inherent limitations in any system of internal control, no matter how well designed, misstatements due to error or fraud may occur and not be detected, including the possibility of the circumvention or overriding of controls. Accordingly, even effective internal control over financial reporting can provide only reasonable assurance with respect to financial statement preparation. Further, because of changes in conditions, internal control effectiveness may vary over time.</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assessed the Company’s internal control over financial reporting as of December 31, 2019. This assessment was based on criteria for effective internal control over financial reporting described in “Internal Control – Integrated Framework” issued by the Committee of Sponsoring Organizations of the Treadway Commission (2013 framework). Based on this assessment, the Chief Executive Officer and Chief Financial Officer assert that the Company maintained effective internal control over financial reporting as of December 31, 2019, based on the specified criteria.</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Ernst &amp; Young LLP, the independent registered public accounting firm who also has audited the Company’s consolidated financial statements included in this Annual Report on Form 10-K. Ernst &amp; Young LLP’s attestation report on the Company’s internal control over financial reporting appears on the following page and is incorporated by reference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December 31, 2019, that have materially affected or are reasonably likely to materially affect the Company’s internal control over financial reporting.</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125" w:right="2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333333"/>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To the Shareholders and the Board of Directors of Bank of Hawaii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333333"/>
        </w:rPr>
        <w:t>We have audited Bank of Hawaii Corporation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Bank of Hawaii Corporation and subsidiaries (the Company) maintained, in all material respects, effective internal control over financial reporting as of December 31, 2019, based on the COSO criteria.</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consolidated statements of condition of the Company as of December 31, 2019 and 2018, the related consolidated statements of income, comprehensive income, shareholders’ equity and cash flows for each of the three years in the period ended December 31, 2019, and the related notes and our report dated March 2,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Honolulu, 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125" w:right="27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Certain information regarding the executive officers of the Parent is included under the caption “Executive Officers of the Registrant” in Part I, Item 1 of this report. Other information required by this Item is incorporated herein by reference to the Bank of Hawaii Corporation Proxy Statement for the 2020 annual meeting of shareholders to be filed with the SEC within 120 days after the end of the Company’s fiscal year to which this report relates.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Parent’s Board of Directors has determined that Mark A. Burak, John C. Erickson, Robert Huret, Victor K. Nichols, and Raymond P. Vara, Jr., members of the Parent’s Audit and Risk Committee, are audit committee financial experts within the meaning of Item 407(d)(5) of Regulation S-K. All members on the Audit and Risk Committee are independent and are financially literate within the meaning of Section 10A(m)(3) of the Exchange Act and the rules of the New York Stock Exchange, as applicable.</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Parent has adopted a written code of ethics within the meaning of Item 406 of Regulation S-K that applies to the Parent’s Chief Executive Officer, Chief Financial Officer, and Chief Accounting Officer. A copy of the Code of Ethics for Senior Financial Officers is available on the Company’s website, www.boh.com. The Parent intends to provide disclosure of any change to, or waiver from, the Parent’s Code of Ethics for Senior Financial Officers via its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2020 annual meeting of shareholders to be filed with the SEC within 120 days after the end of the Company’s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2020 annual meeting of shareholders to be filed with the SEC within 120 days after the end of the Company’s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2020 annual meeting of shareholders to be filed with the SEC within 120 days after the end of the Company’s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2020 annual meeting of shareholders to be filed with the SEC within 120 days after the end of the Company’s fiscal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125"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and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Bank of Hawaii Corporation and Subsidiaries are included in Item 8 of this report: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Income – Years ended December 31, 2019, December 31, 2018, and December 31,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Comprehensive Income – Years ended December 31, 2019, December 31, 2018, and December 31,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Condition – December 31, 2019, and December 31,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 Years ended December 31, 2019, December 31, 2018, and December 31,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 Years ended December 31, 2019, December 31, 2018, and December 31,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All other schedules to the Consolidated Financial Statements stipulated by Article 9 of Regulation S-X and all other schedules to the financial statements of the registrant required by Article 5 of Regulation S-X are not required under the related instructions or are inapplicable and, therefore, have been omitted.</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125" w:right="43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Table</w:t>
      </w:r>
    </w:p>
    <w:p>
      <w:pPr>
        <w:sectPr>
          <w:pgSz w:w="11900" w:h="16838" w:orient="portrait"/>
          <w:cols w:equalWidth="0" w:num="1">
            <w:col w:w="11400"/>
          </w:cols>
          <w:pgMar w:left="240" w:top="125" w:right="259" w:bottom="1440" w:gutter="0" w:footer="0" w:header="0"/>
        </w:sect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829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43" w:lineRule="exact"/>
        <w:rPr>
          <w:sz w:val="20"/>
          <w:szCs w:val="20"/>
          <w:color w:val="auto"/>
        </w:rPr>
      </w:pPr>
    </w:p>
    <w:p>
      <w:pPr>
        <w:ind w:left="4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3.1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Certificate of Incorporation of Bank of Hawaii Corporation (f/k/a Pacific Century Financial Corporation and Bancorp Hawaii, Inc.), as amended (incorporated by reference from Exhibit 3.1 to Bank of Hawaii Corporation’s Annual Report on Form 10-K for its fiscal year ended December 31, 2005, as filed on February 28, 2006 (the “2005 10-K”)).</w:t>
      </w:r>
    </w:p>
    <w:p>
      <w:pPr>
        <w:spacing w:after="0" w:line="2" w:lineRule="exact"/>
        <w:rPr>
          <w:sz w:val="20"/>
          <w:szCs w:val="20"/>
          <w:color w:val="auto"/>
        </w:rPr>
      </w:pPr>
    </w:p>
    <w:p>
      <w:pPr>
        <w:sectPr>
          <w:pgSz w:w="11900" w:h="16838" w:orient="portrait"/>
          <w:cols w:equalWidth="0" w:num="2">
            <w:col w:w="520" w:space="560"/>
            <w:col w:w="10320"/>
          </w:cols>
          <w:pgMar w:left="240" w:top="125" w:right="25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5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Certificate of Amendment of Certificate of Incorporation of Bank of Hawaii Corporation (incorporated by reference from Exhibit 3.1 to Bank</w:t>
            </w:r>
          </w:p>
        </w:tc>
      </w:tr>
      <w:tr>
        <w:trPr>
          <w:trHeight w:val="237"/>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of Hawaii Corporation’s Current Report on Form 8-K filed on April 30, 2008 (the “April 30, 2008 8-K”)).</w:t>
            </w:r>
          </w:p>
        </w:tc>
      </w:tr>
      <w:tr>
        <w:trPr>
          <w:trHeight w:val="23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51">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6"/>
              </w:rPr>
              <w:t>Amended and Restated By-Laws of Bank of Hawaii Corporation (incorporated by reference from Exhibit 3.2 to the April 30, 2008 8-K).</w:t>
            </w:r>
          </w:p>
        </w:tc>
      </w:tr>
      <w:tr>
        <w:trPr>
          <w:trHeight w:val="25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5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4</w:t>
              </w:r>
            </w:hyperlink>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Amended and Restated By-Laws of Bank of Hawaii Corporation (incorporated by reference from Exhibit 3.2 to Bank of Hawaii Corporation’s</w:t>
            </w:r>
          </w:p>
        </w:tc>
      </w:tr>
      <w:tr>
        <w:trPr>
          <w:trHeight w:val="237"/>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Current Report on Form 8-K filed on November 19, 2013).</w:t>
            </w:r>
          </w:p>
        </w:tc>
      </w:tr>
      <w:tr>
        <w:trPr>
          <w:trHeight w:val="23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5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5</w:t>
              </w:r>
            </w:hyperlink>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Amended and Restated By-Laws of Bank of Hawaii Corporation (incorporated by reference from Exhibit 3.2 to Bank of Hawaii Corporation’s</w:t>
            </w:r>
          </w:p>
        </w:tc>
      </w:tr>
      <w:tr>
        <w:trPr>
          <w:trHeight w:val="237"/>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Current Report on Form 8-K filed on October 24, 2018).</w:t>
            </w:r>
          </w:p>
        </w:tc>
      </w:tr>
      <w:tr>
        <w:trPr>
          <w:trHeight w:val="256"/>
        </w:trPr>
        <w:tc>
          <w:tcPr>
            <w:tcW w:w="220" w:type="dxa"/>
            <w:vAlign w:val="bottom"/>
          </w:tcPr>
          <w:p>
            <w:pPr>
              <w:spacing w:after="0"/>
              <w:rPr>
                <w:sz w:val="20"/>
                <w:szCs w:val="20"/>
                <w:color w:val="auto"/>
              </w:rPr>
            </w:pPr>
            <w:r>
              <w:rPr>
                <w:rFonts w:ascii="Arial" w:cs="Arial" w:eastAsia="Arial" w:hAnsi="Arial"/>
                <w:sz w:val="18"/>
                <w:szCs w:val="18"/>
                <w:color w:val="auto"/>
                <w:w w:val="79"/>
              </w:rPr>
              <w:t>4.1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Instruments defining the rights of holders of long-term debt of Bank of Hawaii Corporation and its consolidated subsidiaries are not filed as</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5"/>
              </w:rPr>
              <w:t>exhibits because the amount of debt authorized under any such instruments does not exceed 10% of the total assets of Bank of Hawaii</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Corporation and its consolidated subsidiaries. Bank of Hawaii Corporation agrees to furnish a copy of any such instrument to the Commission</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upon request.</w:t>
            </w:r>
          </w:p>
        </w:tc>
      </w:tr>
      <w:tr>
        <w:trPr>
          <w:trHeight w:val="23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w:anchor="page146">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Description of Common Stock</w:t>
            </w:r>
          </w:p>
        </w:tc>
      </w:tr>
      <w:tr>
        <w:trPr>
          <w:trHeight w:val="250"/>
        </w:trPr>
        <w:tc>
          <w:tcPr>
            <w:tcW w:w="360" w:type="dxa"/>
            <w:vAlign w:val="bottom"/>
            <w:tcBorders>
              <w:bottom w:val="single" w:sz="8" w:color="0000FF"/>
            </w:tcBorders>
            <w:gridSpan w:val="3"/>
          </w:tcPr>
          <w:p>
            <w:pPr>
              <w:spacing w:after="0"/>
              <w:rPr>
                <w:rFonts w:ascii="Arial" w:cs="Arial" w:eastAsia="Arial" w:hAnsi="Arial"/>
                <w:sz w:val="18"/>
                <w:szCs w:val="18"/>
                <w:color w:val="0000FF"/>
                <w:w w:val="96"/>
              </w:rPr>
            </w:pPr>
            <w:hyperlink r:id="rId5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7"/>
              </w:rPr>
              <w:t>Bank of Hawaii Corporation’s Executive Incentive Plan, as amended (incorporated by reference from Exhibit 10.2 to the 2005 10-K).*</w:t>
            </w:r>
          </w:p>
        </w:tc>
      </w:tr>
      <w:tr>
        <w:trPr>
          <w:trHeight w:val="250"/>
        </w:trPr>
        <w:tc>
          <w:tcPr>
            <w:tcW w:w="360" w:type="dxa"/>
            <w:vAlign w:val="bottom"/>
            <w:gridSpan w:val="3"/>
          </w:tcPr>
          <w:p>
            <w:pPr>
              <w:spacing w:after="0"/>
              <w:rPr>
                <w:rFonts w:ascii="Arial" w:cs="Arial" w:eastAsia="Arial" w:hAnsi="Arial"/>
                <w:sz w:val="18"/>
                <w:szCs w:val="18"/>
                <w:color w:val="0000FF"/>
                <w:w w:val="96"/>
              </w:rPr>
            </w:pPr>
            <w:hyperlink r:id="rId55">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7"/>
              </w:rPr>
              <w:t>Bank of Hawaii Corporation’s Executive Base Salary Deferral Plan (incorporated by reference from Exhibit 10.1 to the Bank of Hawaii</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Corporation’s Current Report on Form 8-K filed on December 22, 2005).*</w:t>
            </w:r>
          </w:p>
        </w:tc>
      </w:tr>
      <w:tr>
        <w:trPr>
          <w:trHeight w:val="230"/>
        </w:trPr>
        <w:tc>
          <w:tcPr>
            <w:tcW w:w="360" w:type="dxa"/>
            <w:vAlign w:val="bottom"/>
            <w:gridSpan w:val="3"/>
          </w:tcPr>
          <w:p>
            <w:pPr>
              <w:spacing w:after="0"/>
              <w:rPr>
                <w:rFonts w:ascii="Arial" w:cs="Arial" w:eastAsia="Arial" w:hAnsi="Arial"/>
                <w:sz w:val="18"/>
                <w:szCs w:val="18"/>
                <w:color w:val="0000FF"/>
                <w:w w:val="96"/>
              </w:rPr>
            </w:pPr>
            <w:hyperlink r:id="rId56">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Bank of Hawaii Corporation’s Directors’ Deferred Compensation Plan, as amended (incorporated by reference from Exhibit 10.7 to the 2005</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10-K).*</w:t>
            </w:r>
          </w:p>
        </w:tc>
      </w:tr>
      <w:tr>
        <w:trPr>
          <w:trHeight w:val="230"/>
        </w:trPr>
        <w:tc>
          <w:tcPr>
            <w:tcW w:w="360" w:type="dxa"/>
            <w:vAlign w:val="bottom"/>
            <w:tcBorders>
              <w:bottom w:val="single" w:sz="8" w:color="0000FF"/>
            </w:tcBorders>
            <w:gridSpan w:val="3"/>
          </w:tcPr>
          <w:p>
            <w:pPr>
              <w:spacing w:after="0"/>
              <w:rPr>
                <w:rFonts w:ascii="Arial" w:cs="Arial" w:eastAsia="Arial" w:hAnsi="Arial"/>
                <w:sz w:val="18"/>
                <w:szCs w:val="18"/>
                <w:color w:val="0000FF"/>
                <w:w w:val="96"/>
              </w:rPr>
            </w:pPr>
            <w:hyperlink r:id="rId57">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Bank of Hawaii Corporation’s Director Stock Compensation Program, as amended (incorporated by reference from Exhibit 10.8 to the 2005</w:t>
            </w:r>
          </w:p>
        </w:tc>
      </w:tr>
      <w:tr>
        <w:trPr>
          <w:trHeight w:val="237"/>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10-K).*</w:t>
            </w:r>
          </w:p>
        </w:tc>
      </w:tr>
      <w:tr>
        <w:trPr>
          <w:trHeight w:val="230"/>
        </w:trPr>
        <w:tc>
          <w:tcPr>
            <w:tcW w:w="360" w:type="dxa"/>
            <w:vAlign w:val="bottom"/>
            <w:gridSpan w:val="3"/>
          </w:tcPr>
          <w:p>
            <w:pPr>
              <w:spacing w:after="0"/>
              <w:rPr>
                <w:rFonts w:ascii="Arial" w:cs="Arial" w:eastAsia="Arial" w:hAnsi="Arial"/>
                <w:sz w:val="18"/>
                <w:szCs w:val="18"/>
                <w:color w:val="0000FF"/>
                <w:w w:val="96"/>
              </w:rPr>
            </w:pPr>
            <w:hyperlink r:id="rId58">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Bank of Hawaii Corporation’s Amended and Restated Director Stock Compensation Plan (incorporated by reference from Appendix B to Bank</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7"/>
              </w:rPr>
              <w:t>of Hawaii Corporation’s Definitive Proxy Statement on Schedule 14A for the 2005 Annual Meeting of Shareholders filed on March 17,</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2005).*</w:t>
            </w:r>
          </w:p>
        </w:tc>
      </w:tr>
      <w:tr>
        <w:trPr>
          <w:trHeight w:val="230"/>
        </w:trPr>
        <w:tc>
          <w:tcPr>
            <w:tcW w:w="360" w:type="dxa"/>
            <w:vAlign w:val="bottom"/>
            <w:gridSpan w:val="3"/>
          </w:tcPr>
          <w:p>
            <w:pPr>
              <w:spacing w:after="0"/>
              <w:rPr>
                <w:rFonts w:ascii="Arial" w:cs="Arial" w:eastAsia="Arial" w:hAnsi="Arial"/>
                <w:sz w:val="18"/>
                <w:szCs w:val="18"/>
                <w:color w:val="0000FF"/>
                <w:w w:val="96"/>
              </w:rPr>
            </w:pPr>
            <w:hyperlink r:id="rId5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7</w:t>
              </w:r>
            </w:hyperlink>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Bank of Hawaii Corporation’s 2004 Stock and Incentive Compensation Plan (incorporated by reference from Appendix C to Bank of Hawaii</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6"/>
              </w:rPr>
              <w:t>Corporation’s Definitive Proxy Statement on Schedule 14A for the 2004 Annual Meeting of Shareholders, as filed on March 18, 2004).*</w:t>
            </w:r>
          </w:p>
        </w:tc>
      </w:tr>
      <w:tr>
        <w:trPr>
          <w:trHeight w:val="230"/>
        </w:trPr>
        <w:tc>
          <w:tcPr>
            <w:tcW w:w="360" w:type="dxa"/>
            <w:vAlign w:val="bottom"/>
            <w:gridSpan w:val="3"/>
          </w:tcPr>
          <w:p>
            <w:pPr>
              <w:spacing w:after="0"/>
              <w:rPr>
                <w:rFonts w:ascii="Arial" w:cs="Arial" w:eastAsia="Arial" w:hAnsi="Arial"/>
                <w:sz w:val="18"/>
                <w:szCs w:val="18"/>
                <w:color w:val="0000FF"/>
                <w:w w:val="96"/>
              </w:rPr>
            </w:pPr>
            <w:hyperlink r:id="rId6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8</w:t>
              </w:r>
            </w:hyperlink>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7"/>
              </w:rPr>
              <w:t>Amendment 2007-1 to the Bank of Hawaii Corporation 2004 Stock and Incentive Compensation Plan (incorporated by reference from</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9"/>
              </w:rPr>
              <w:t>Exhibit 10.13 to the Bank of Hawaii Corporation’s Annual Report on Form 10-K, as filed on February 25, 2008 (the “2007 10-K”)).*</w:t>
            </w:r>
          </w:p>
        </w:tc>
      </w:tr>
      <w:tr>
        <w:trPr>
          <w:trHeight w:val="230"/>
        </w:trPr>
        <w:tc>
          <w:tcPr>
            <w:tcW w:w="360" w:type="dxa"/>
            <w:vAlign w:val="bottom"/>
            <w:gridSpan w:val="3"/>
          </w:tcPr>
          <w:p>
            <w:pPr>
              <w:spacing w:after="0"/>
              <w:rPr>
                <w:rFonts w:ascii="Arial" w:cs="Arial" w:eastAsia="Arial" w:hAnsi="Arial"/>
                <w:sz w:val="18"/>
                <w:szCs w:val="18"/>
                <w:color w:val="0000FF"/>
                <w:w w:val="96"/>
              </w:rPr>
            </w:pPr>
            <w:hyperlink r:id="rId6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9</w:t>
              </w:r>
            </w:hyperlink>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Amendment 2007-1 to the Bank of Hawaii Corporation Executive Incentive Plan (incorporated by reference from Exhibit 10.16 to the 2007</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10-K).*</w:t>
            </w:r>
          </w:p>
        </w:tc>
      </w:tr>
      <w:tr>
        <w:trPr>
          <w:trHeight w:val="230"/>
        </w:trPr>
        <w:tc>
          <w:tcPr>
            <w:tcW w:w="720" w:type="dxa"/>
            <w:vAlign w:val="bottom"/>
            <w:gridSpan w:val="5"/>
          </w:tcPr>
          <w:p>
            <w:pPr>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Board Resolution for Amendment to the Restricted Stock and Option Awards under the Bank of Hawaii Corporation’s Amended and Restated</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Director Stock Compensation Plan (incorporated by reference from Exhibit 10.1 to Bank of Hawaii Corporation’s Current Report on Form 8-</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K, as filed on July 28, 2008).*</w:t>
            </w:r>
          </w:p>
        </w:tc>
      </w:tr>
      <w:tr>
        <w:trPr>
          <w:trHeight w:val="230"/>
        </w:trPr>
        <w:tc>
          <w:tcPr>
            <w:tcW w:w="400" w:type="dxa"/>
            <w:vAlign w:val="bottom"/>
            <w:tcBorders>
              <w:bottom w:val="single" w:sz="8" w:color="0000FF"/>
            </w:tcBorders>
            <w:gridSpan w:val="4"/>
          </w:tcPr>
          <w:p>
            <w:pPr>
              <w:spacing w:after="0"/>
              <w:rPr>
                <w:rFonts w:ascii="Arial" w:cs="Arial" w:eastAsia="Arial" w:hAnsi="Arial"/>
                <w:sz w:val="18"/>
                <w:szCs w:val="18"/>
                <w:color w:val="0000FF"/>
                <w:w w:val="84"/>
              </w:rPr>
            </w:pPr>
            <w:hyperlink r:id="rId6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5"/>
              </w:rPr>
              <w:t>Bank of Hawaii Corporation’s Amended and Restated Change-In-Control Retention Plan, (incorporated by reference from Exhibit 10.1 to</w:t>
            </w:r>
          </w:p>
        </w:tc>
      </w:tr>
      <w:tr>
        <w:trPr>
          <w:trHeight w:val="237"/>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Bank of Hawaii Corporation’s Current Report on Form 8-K, as filed on December 18, 2009).*</w:t>
            </w:r>
          </w:p>
        </w:tc>
      </w:tr>
      <w:tr>
        <w:trPr>
          <w:trHeight w:val="230"/>
        </w:trPr>
        <w:tc>
          <w:tcPr>
            <w:tcW w:w="720" w:type="dxa"/>
            <w:vAlign w:val="bottom"/>
            <w:gridSpan w:val="5"/>
          </w:tcPr>
          <w:p>
            <w:pPr>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Amendment 2010-1 to the Bank of Hawaii Corporation Executive Incentive Plan (incorporated by reference from Exhibit 10.1 to the Bank of</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Hawaii Corporation’s Current Report on Form 8-K, as filed on July 26, 2010).*</w:t>
            </w:r>
          </w:p>
        </w:tc>
      </w:tr>
      <w:tr>
        <w:trPr>
          <w:trHeight w:val="230"/>
        </w:trPr>
        <w:tc>
          <w:tcPr>
            <w:tcW w:w="720" w:type="dxa"/>
            <w:vAlign w:val="bottom"/>
            <w:gridSpan w:val="5"/>
          </w:tcPr>
          <w:p>
            <w:pPr>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Bank of Hawaii Corporation’s 2004 Stock and Incentive Compensation Plan –Share Appreciation Replacement Program - 2011 Nonqualified</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Stock Option Agreement (incorporated by reference from Bank of Hawaii Corporation’s Current Report on Form 8-K, as filed on</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November 22, 2011).*</w:t>
            </w:r>
          </w:p>
        </w:tc>
      </w:tr>
      <w:tr>
        <w:trPr>
          <w:trHeight w:val="230"/>
        </w:trPr>
        <w:tc>
          <w:tcPr>
            <w:tcW w:w="720" w:type="dxa"/>
            <w:vAlign w:val="bottom"/>
            <w:gridSpan w:val="5"/>
          </w:tcPr>
          <w:p>
            <w:pPr>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Bank of Hawaii Corporation’s 2004 Stock and Incentive Compensation Plan - Form of 2012 Restricted Stock In Lieu Of Base Salary Grant</w:t>
            </w: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Agreement (incorporated by reference from Exhibit 10.3 to Bank of Hawaii Corporation’s Current Report on Form 8-K, as filed on January 23,</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2012).*</w:t>
            </w:r>
          </w:p>
        </w:tc>
      </w:tr>
      <w:tr>
        <w:trPr>
          <w:trHeight w:val="230"/>
        </w:trPr>
        <w:tc>
          <w:tcPr>
            <w:tcW w:w="720" w:type="dxa"/>
            <w:vAlign w:val="bottom"/>
            <w:gridSpan w:val="5"/>
          </w:tcPr>
          <w:p>
            <w:pPr>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Bank of Hawaii Corporation’s 2004 Stock and Incentive Compensation Plan – Form of 2012 Nonqualified Stock Option Grant Agreement</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(incorporated by reference from Exhibit 10.4 to Bank of Hawaii Corporation’s Current Report on Form 8-K, as filed on January 23, 2012).*</w:t>
            </w:r>
          </w:p>
        </w:tc>
      </w:tr>
      <w:tr>
        <w:trPr>
          <w:trHeight w:val="459"/>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40" w:type="dxa"/>
            <w:vAlign w:val="bottom"/>
          </w:tcPr>
          <w:p>
            <w:pPr>
              <w:ind w:left="4820"/>
              <w:spacing w:after="0"/>
              <w:rPr>
                <w:sz w:val="20"/>
                <w:szCs w:val="20"/>
                <w:color w:val="auto"/>
              </w:rPr>
            </w:pPr>
            <w:r>
              <w:rPr>
                <w:rFonts w:ascii="Arial" w:cs="Arial" w:eastAsia="Arial" w:hAnsi="Arial"/>
                <w:sz w:val="18"/>
                <w:szCs w:val="18"/>
                <w:color w:val="auto"/>
              </w:rPr>
              <w:t>135</w:t>
            </w:r>
          </w:p>
        </w:tc>
      </w:tr>
    </w:tbl>
    <w:p>
      <w:pPr>
        <w:sectPr>
          <w:pgSz w:w="11900" w:h="16838" w:orient="portrait"/>
          <w:cols w:equalWidth="0" w:num="1">
            <w:col w:w="11400"/>
          </w:cols>
          <w:pgMar w:left="240" w:top="125" w:right="259" w:bottom="1440" w:gutter="0" w:footer="0" w:header="0"/>
          <w:type w:val="continuous"/>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20" w:type="dxa"/>
            <w:vAlign w:val="bottom"/>
            <w:gridSpan w:val="4"/>
          </w:tcPr>
          <w:p>
            <w:pPr>
              <w:spacing w:after="0"/>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Bank of Hawaii Corporation’s 2004 Stock and Incentive Compensation Plan - Form of 2014 Restricted Stock Grant Agreement - Ho, Biggs &amp;</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4"/>
              </w:rPr>
              <w:t>Sellers (incorporated by reference from Exhibit 10.1 to Bank of Hawaii Corporation’s Current Report on Form 8-K, as filed on January 29,</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2014).*</w:t>
            </w:r>
          </w:p>
        </w:tc>
      </w:tr>
      <w:tr>
        <w:trPr>
          <w:trHeight w:val="230"/>
        </w:trPr>
        <w:tc>
          <w:tcPr>
            <w:tcW w:w="720" w:type="dxa"/>
            <w:vAlign w:val="bottom"/>
            <w:gridSpan w:val="4"/>
          </w:tcPr>
          <w:p>
            <w:pPr>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4"/>
              </w:rPr>
              <w:t>Bank of Hawaii Corporation’s 2004 Stock and Incentive Compensation Plan - Form of 2014 Restricted Stock Grant Agreement - Lucien &amp;</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5"/>
              </w:rPr>
              <w:t>Rossi (incorporated by reference from Exhibit 10.2 to Bank of Hawaii Corporation’s Current Report on Form 8-K, as filed on January 29,</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2014).*</w:t>
            </w:r>
          </w:p>
        </w:tc>
      </w:tr>
      <w:tr>
        <w:trPr>
          <w:trHeight w:val="230"/>
        </w:trPr>
        <w:tc>
          <w:tcPr>
            <w:tcW w:w="720" w:type="dxa"/>
            <w:vAlign w:val="bottom"/>
            <w:gridSpan w:val="4"/>
          </w:tcPr>
          <w:p>
            <w:pPr>
              <w:spacing w:after="0"/>
              <w:rPr>
                <w:rFonts w:ascii="Arial" w:cs="Arial" w:eastAsia="Arial" w:hAnsi="Arial"/>
                <w:sz w:val="18"/>
                <w:szCs w:val="18"/>
                <w:color w:val="0000FF"/>
              </w:rPr>
            </w:pPr>
            <w:hyperlink r:id="rId70">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4"/>
              </w:rPr>
              <w:t>Bank of Hawaii Corporation’s 2004 Stock and Incentive Compensation Plan - Form of 2014 Restricted Stock Unit Grant Agreement - Ho,</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7"/>
              </w:rPr>
              <w:t>Biggs &amp; Sellers (incorporated by reference from Exhibit 10.3 to Bank of Hawaii Corporation’s Current Report on Form 8-K, as filed on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January 29, 2014).*</w:t>
            </w:r>
          </w:p>
        </w:tc>
      </w:tr>
      <w:tr>
        <w:trPr>
          <w:trHeight w:val="230"/>
        </w:trPr>
        <w:tc>
          <w:tcPr>
            <w:tcW w:w="720" w:type="dxa"/>
            <w:vAlign w:val="bottom"/>
            <w:gridSpan w:val="4"/>
          </w:tcPr>
          <w:p>
            <w:pPr>
              <w:spacing w:after="0"/>
              <w:rPr>
                <w:rFonts w:ascii="Arial" w:cs="Arial" w:eastAsia="Arial" w:hAnsi="Arial"/>
                <w:sz w:val="18"/>
                <w:szCs w:val="18"/>
                <w:color w:val="0000FF"/>
              </w:rPr>
            </w:pPr>
            <w:hyperlink r:id="rId71">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Bank of Hawaii Corporation’s 2004 Stock and Incentive Compensation Plan - Form of 2014 Restricted Stock Unit Grant Agreement - Lucien</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3"/>
              </w:rPr>
              <w:t>&amp; Rossi (incorporated by reference from Exhibit 10.4 to Bank of Hawaii Corporation’s Current Report on Form 8-K, as filed on January 29,</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2014).*</w:t>
            </w:r>
          </w:p>
        </w:tc>
      </w:tr>
      <w:tr>
        <w:trPr>
          <w:trHeight w:val="230"/>
        </w:trPr>
        <w:tc>
          <w:tcPr>
            <w:tcW w:w="720" w:type="dxa"/>
            <w:vAlign w:val="bottom"/>
            <w:gridSpan w:val="4"/>
          </w:tcPr>
          <w:p>
            <w:pPr>
              <w:spacing w:after="0"/>
              <w:rPr>
                <w:rFonts w:ascii="Arial" w:cs="Arial" w:eastAsia="Arial" w:hAnsi="Arial"/>
                <w:sz w:val="18"/>
                <w:szCs w:val="18"/>
                <w:color w:val="0000FF"/>
              </w:rPr>
            </w:pPr>
            <w:hyperlink r:id="rId72">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7"/>
              </w:rPr>
              <w:t>Bank of Hawaii Corporation’s 2004 Stock and Incentive Compensation Plan - Form of Special Incentive Agreement - Rossi &amp; Sellers</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4"/>
              </w:rPr>
              <w:t>(incorporated by reference from Exhibit 10.5 to Bank of Hawaii Corporation’s Current Report on Form 8-K, as filed on January 29, 2014).*</w:t>
            </w:r>
          </w:p>
        </w:tc>
      </w:tr>
      <w:tr>
        <w:trPr>
          <w:trHeight w:val="230"/>
        </w:trPr>
        <w:tc>
          <w:tcPr>
            <w:tcW w:w="720" w:type="dxa"/>
            <w:vAlign w:val="bottom"/>
            <w:gridSpan w:val="4"/>
          </w:tcPr>
          <w:p>
            <w:pPr>
              <w:spacing w:after="0"/>
              <w:rPr>
                <w:rFonts w:ascii="Arial" w:cs="Arial" w:eastAsia="Arial" w:hAnsi="Arial"/>
                <w:sz w:val="18"/>
                <w:szCs w:val="18"/>
                <w:color w:val="0000FF"/>
              </w:rPr>
            </w:pPr>
            <w:hyperlink r:id="rId73">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4"/>
              </w:rPr>
              <w:t>Bank of Hawaii Corporation’s 2014 Stock and Incentive Plan (incorporated by reference from Appendix A to Bank of Hawaii Corporation’s</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Definitive Proxy Statement on Schedule 14A for the 2014 Annual Meeting of Shareholders, as filed on March 14, 2014).*</w:t>
            </w:r>
          </w:p>
        </w:tc>
      </w:tr>
      <w:tr>
        <w:trPr>
          <w:trHeight w:val="230"/>
        </w:trPr>
        <w:tc>
          <w:tcPr>
            <w:tcW w:w="720" w:type="dxa"/>
            <w:vAlign w:val="bottom"/>
            <w:gridSpan w:val="4"/>
          </w:tcPr>
          <w:p>
            <w:pPr>
              <w:spacing w:after="0"/>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Bank of Hawaii Corporation’s 2014 Stock and Incentive Plan - Form of 2015 Restricted Stock Grant Agreement - (incorporated by reference</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from Exhibit 10.1 to Bank of Hawaii Corporation’s Current Report on Form 8-K, as filed on January 28, 2015).*</w:t>
            </w:r>
          </w:p>
        </w:tc>
      </w:tr>
      <w:tr>
        <w:trPr>
          <w:trHeight w:val="230"/>
        </w:trPr>
        <w:tc>
          <w:tcPr>
            <w:tcW w:w="720" w:type="dxa"/>
            <w:vAlign w:val="bottom"/>
            <w:gridSpan w:val="4"/>
          </w:tcPr>
          <w:p>
            <w:pPr>
              <w:spacing w:after="0"/>
              <w:rPr>
                <w:rFonts w:ascii="Arial" w:cs="Arial" w:eastAsia="Arial" w:hAnsi="Arial"/>
                <w:sz w:val="18"/>
                <w:szCs w:val="18"/>
                <w:color w:val="0000FF"/>
              </w:rPr>
            </w:pPr>
            <w:hyperlink r:id="rId75">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6"/>
              </w:rPr>
              <w:t>Bank of Hawaii Corporation’s 2014 Stock and Incentive Plan - Form of 2015 Restricted Stock Unit Grant Agreement - (incorporated by</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reference from Exhibit 10.2 to Bank of Hawaii Corporation’s Current Report on Form 8-K, as filed on January 28, 2015).*</w:t>
            </w:r>
          </w:p>
        </w:tc>
      </w:tr>
      <w:tr>
        <w:trPr>
          <w:trHeight w:val="230"/>
        </w:trPr>
        <w:tc>
          <w:tcPr>
            <w:tcW w:w="720" w:type="dxa"/>
            <w:vAlign w:val="bottom"/>
            <w:gridSpan w:val="4"/>
          </w:tcPr>
          <w:p>
            <w:pPr>
              <w:spacing w:after="0"/>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7"/>
              </w:rPr>
              <w:t>Bank of Hawaii Corporation’s 2015 Director Stock Compensation Plan (incorporated by reference from Appendix A to Bank of Hawaii</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8"/>
              </w:rPr>
              <w:t>Corporation’s Definitive Proxy Statement on Schedule 14A for the 2015 Annual Meeting of Shareholders filed on March 13, 2015).*</w:t>
            </w:r>
          </w:p>
        </w:tc>
      </w:tr>
      <w:tr>
        <w:trPr>
          <w:trHeight w:val="230"/>
        </w:trPr>
        <w:tc>
          <w:tcPr>
            <w:tcW w:w="720" w:type="dxa"/>
            <w:vAlign w:val="bottom"/>
            <w:gridSpan w:val="4"/>
          </w:tcPr>
          <w:p>
            <w:pPr>
              <w:spacing w:after="0"/>
              <w:rPr>
                <w:rFonts w:ascii="Arial" w:cs="Arial" w:eastAsia="Arial" w:hAnsi="Arial"/>
                <w:sz w:val="18"/>
                <w:szCs w:val="18"/>
                <w:color w:val="0000FF"/>
              </w:rPr>
            </w:pPr>
            <w:hyperlink r:id="rId77">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3"/>
              </w:rPr>
              <w:t>Bank of Hawaii Corporation’s 2014 Stock and Incentive Plan - Form of 2016 Restricted Stock Grant Agreement (incorporated by reference</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from Exhibit 10.30 to the Bank of Hawaii Corporation’s Annual Report on Form 10-K, as filed on February 29, 2016).*</w:t>
            </w:r>
          </w:p>
        </w:tc>
      </w:tr>
      <w:tr>
        <w:trPr>
          <w:trHeight w:val="230"/>
        </w:trPr>
        <w:tc>
          <w:tcPr>
            <w:tcW w:w="720" w:type="dxa"/>
            <w:vAlign w:val="bottom"/>
            <w:gridSpan w:val="4"/>
          </w:tcPr>
          <w:p>
            <w:pPr>
              <w:spacing w:after="0"/>
              <w:rPr>
                <w:rFonts w:ascii="Arial" w:cs="Arial" w:eastAsia="Arial" w:hAnsi="Arial"/>
                <w:sz w:val="18"/>
                <w:szCs w:val="18"/>
                <w:color w:val="0000FF"/>
              </w:rPr>
            </w:pPr>
            <w:hyperlink r:id="rId78">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7"/>
              </w:rPr>
              <w:t>Bank of Hawaii Corporation’s 2014 Stock and Incentive Plan - Form of 2016 Restricted Stock Unit Grant Agreement (incorporated by</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reference from Exhibit 10.31 to the Bank of Hawaii Corporation’s Annual Report on Form 10-K, as filed on February 29, 2016).*</w:t>
            </w:r>
          </w:p>
        </w:tc>
      </w:tr>
      <w:tr>
        <w:trPr>
          <w:trHeight w:val="230"/>
        </w:trPr>
        <w:tc>
          <w:tcPr>
            <w:tcW w:w="720" w:type="dxa"/>
            <w:vAlign w:val="bottom"/>
            <w:gridSpan w:val="4"/>
          </w:tcPr>
          <w:p>
            <w:pPr>
              <w:spacing w:after="0"/>
              <w:rPr>
                <w:rFonts w:ascii="Arial" w:cs="Arial" w:eastAsia="Arial" w:hAnsi="Arial"/>
                <w:sz w:val="18"/>
                <w:szCs w:val="18"/>
                <w:color w:val="0000FF"/>
              </w:rPr>
            </w:pPr>
            <w:hyperlink r:id="rId79">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4"/>
              </w:rPr>
              <w:t>Bank of Hawaii Corporation’s 2004 Stock and Incentive Compensation Plan - Amendment of 2011 Nonqualified Stock Option Agreement</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(incorporated by reference from Exhibit 10.1 to the Bank of Hawaii Corporation’s Quarterly Report on Form 10-Q, as filed on July 25, 2016).*</w:t>
            </w:r>
          </w:p>
        </w:tc>
      </w:tr>
      <w:tr>
        <w:trPr>
          <w:trHeight w:val="230"/>
        </w:trPr>
        <w:tc>
          <w:tcPr>
            <w:tcW w:w="720" w:type="dxa"/>
            <w:vAlign w:val="bottom"/>
            <w:gridSpan w:val="4"/>
          </w:tcPr>
          <w:p>
            <w:pPr>
              <w:spacing w:after="0"/>
              <w:rPr>
                <w:rFonts w:ascii="Arial" w:cs="Arial" w:eastAsia="Arial" w:hAnsi="Arial"/>
                <w:sz w:val="18"/>
                <w:szCs w:val="18"/>
                <w:color w:val="0000FF"/>
              </w:rPr>
            </w:pPr>
            <w:hyperlink r:id="rId80">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4"/>
              </w:rPr>
              <w:t>Bank of Hawaii Corporation’s 2004 Stock and Incentive Compensation Plan - Amendment of 2012 Nonqualified Stock Option Agreement</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(incorporated by reference from Exhibit 10.2 to the Bank of Hawaii Corporation’s Quarterly Report on Form 10-Q, as filed on July 25, 2016).*</w:t>
            </w:r>
          </w:p>
        </w:tc>
      </w:tr>
      <w:tr>
        <w:trPr>
          <w:trHeight w:val="230"/>
        </w:trPr>
        <w:tc>
          <w:tcPr>
            <w:tcW w:w="720" w:type="dxa"/>
            <w:vAlign w:val="bottom"/>
            <w:gridSpan w:val="4"/>
          </w:tcPr>
          <w:p>
            <w:pPr>
              <w:spacing w:after="0"/>
              <w:rPr>
                <w:rFonts w:ascii="Arial" w:cs="Arial" w:eastAsia="Arial" w:hAnsi="Arial"/>
                <w:sz w:val="18"/>
                <w:szCs w:val="18"/>
                <w:color w:val="0000FF"/>
              </w:rPr>
            </w:pPr>
            <w:hyperlink r:id="rId81">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7"/>
              </w:rPr>
              <w:t>Bank of Hawaii Corporation’s 2014 Stock and Incentive Plan - Form of 2017 Restricted Stock Grant Agreement (incor2222porated by</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reference from Exhibit 10.1 to the Bank of Hawaii corporation’s Current Report on Form 8-K, as filed on February 27, 2017)*</w:t>
            </w:r>
          </w:p>
        </w:tc>
      </w:tr>
      <w:tr>
        <w:trPr>
          <w:trHeight w:val="230"/>
        </w:trPr>
        <w:tc>
          <w:tcPr>
            <w:tcW w:w="720" w:type="dxa"/>
            <w:vAlign w:val="bottom"/>
            <w:gridSpan w:val="4"/>
          </w:tcPr>
          <w:p>
            <w:pPr>
              <w:spacing w:after="0"/>
              <w:rPr>
                <w:rFonts w:ascii="Arial" w:cs="Arial" w:eastAsia="Arial" w:hAnsi="Arial"/>
                <w:sz w:val="18"/>
                <w:szCs w:val="18"/>
                <w:color w:val="0000FF"/>
              </w:rPr>
            </w:pPr>
            <w:hyperlink r:id="rId82">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3"/>
              </w:rPr>
              <w:t>Amendment to Bank of Hawaii Corporation’s 2014 Stock and Incentive Plan (incorporated by reference from Appendix A to Bank of Hawaii</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6"/>
              </w:rPr>
              <w:t>Corporation’s Definitive Proxy Statement on Schedule 14A for the 2017 Annual Meeting of Shareholders, as filed on March 17, 2017).*</w:t>
            </w:r>
          </w:p>
        </w:tc>
      </w:tr>
      <w:tr>
        <w:trPr>
          <w:trHeight w:val="230"/>
        </w:trPr>
        <w:tc>
          <w:tcPr>
            <w:tcW w:w="720" w:type="dxa"/>
            <w:vAlign w:val="bottom"/>
            <w:gridSpan w:val="4"/>
          </w:tcPr>
          <w:p>
            <w:pPr>
              <w:spacing w:after="0"/>
              <w:rPr>
                <w:rFonts w:ascii="Arial" w:cs="Arial" w:eastAsia="Arial" w:hAnsi="Arial"/>
                <w:sz w:val="18"/>
                <w:szCs w:val="18"/>
                <w:color w:val="0000FF"/>
              </w:rPr>
            </w:pPr>
            <w:hyperlink r:id="rId81">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Bank of Hawaii Corporation’s 2014 Stock and Incentive Compensation Plan - Form of 2017 Restricted Stock Grant Agreement (incorporated</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by reference from Exhibit 10.1 to Bank of Hawaii Corporation’s Current Report on Form 8-K, as filed on February 27, 2017).*</w:t>
            </w:r>
          </w:p>
        </w:tc>
      </w:tr>
      <w:tr>
        <w:trPr>
          <w:trHeight w:val="230"/>
        </w:trPr>
        <w:tc>
          <w:tcPr>
            <w:tcW w:w="720" w:type="dxa"/>
            <w:vAlign w:val="bottom"/>
            <w:gridSpan w:val="4"/>
          </w:tcPr>
          <w:p>
            <w:pPr>
              <w:spacing w:after="0"/>
              <w:rPr>
                <w:rFonts w:ascii="Arial" w:cs="Arial" w:eastAsia="Arial" w:hAnsi="Arial"/>
                <w:sz w:val="18"/>
                <w:szCs w:val="18"/>
                <w:color w:val="0000FF"/>
              </w:rPr>
            </w:pPr>
            <w:hyperlink r:id="rId83">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Bank of Hawaii Corporation’s 2014 Stock and Incentive Compensation Plan - Form of 2018 Restricted Stock Grant Agreement (incorporated</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by reference from Exhibit 10.1 to Bank of Hawaii Corporation’s Current Report on Form 8-K, as filed on February 26, 2018).*</w:t>
            </w:r>
          </w:p>
        </w:tc>
      </w:tr>
      <w:tr>
        <w:trPr>
          <w:trHeight w:val="230"/>
        </w:trPr>
        <w:tc>
          <w:tcPr>
            <w:tcW w:w="720" w:type="dxa"/>
            <w:vAlign w:val="bottom"/>
            <w:gridSpan w:val="4"/>
          </w:tcPr>
          <w:p>
            <w:pPr>
              <w:spacing w:after="0"/>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Bank of Hawaii Corporation’s 2014 Stock and Incentive Compensation Plan - Form of 2019 Restricted Stock Grant Agreement (incorporated</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by reference from Exhibit 10.1 to Bank of Hawaii Corporation’s Current Report on Form 8-K, as filed on February 25, 2019).*</w:t>
            </w:r>
          </w:p>
        </w:tc>
      </w:tr>
      <w:tr>
        <w:trPr>
          <w:trHeight w:val="230"/>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47">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Subsidiaries of the Registrant.</w:t>
            </w:r>
          </w:p>
        </w:tc>
      </w:tr>
      <w:tr>
        <w:trPr>
          <w:trHeight w:val="250"/>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48">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50"/>
        </w:trPr>
        <w:tc>
          <w:tcPr>
            <w:tcW w:w="320" w:type="dxa"/>
            <w:vAlign w:val="bottom"/>
            <w:gridSpan w:val="2"/>
          </w:tcPr>
          <w:p>
            <w:pPr>
              <w:spacing w:after="0"/>
              <w:rPr>
                <w:rFonts w:ascii="Arial" w:cs="Arial" w:eastAsia="Arial" w:hAnsi="Arial"/>
                <w:sz w:val="18"/>
                <w:szCs w:val="18"/>
                <w:color w:val="0000FF"/>
                <w:w w:val="85"/>
              </w:rPr>
            </w:pPr>
            <w:hyperlink w:anchor="page14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Certification on Chief Executive Officer Pursuant to Rule 13a-14(a) Under the Securities Exchange Act of 1934.</w:t>
            </w:r>
          </w:p>
        </w:tc>
      </w:tr>
      <w:tr>
        <w:trPr>
          <w:trHeight w:val="480"/>
        </w:trPr>
        <w:tc>
          <w:tcPr>
            <w:tcW w:w="3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8"/>
                <w:szCs w:val="18"/>
                <w:color w:val="auto"/>
              </w:rPr>
              <w:t>136</w:t>
            </w:r>
          </w:p>
        </w:tc>
      </w:tr>
    </w:tbl>
    <w:p>
      <w:pPr>
        <w:sectPr>
          <w:pgSz w:w="11900" w:h="16838" w:orient="portrait"/>
          <w:cols w:equalWidth="0" w:num="1">
            <w:col w:w="11380"/>
          </w:cols>
          <w:pgMar w:left="240" w:top="125" w:right="27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060" w:val="left"/>
        </w:tabs>
        <w:rPr>
          <w:rFonts w:ascii="Arial" w:cs="Arial" w:eastAsia="Arial" w:hAnsi="Arial"/>
          <w:sz w:val="18"/>
          <w:szCs w:val="18"/>
          <w:color w:val="0000FF"/>
        </w:rPr>
      </w:pPr>
      <w:hyperlink w:anchor="page150">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Chief Financial Officer Pursuant to Rule 13a-14(a) Under the Securities Exchange Act of 1934.</w:t>
      </w:r>
    </w:p>
    <w:p>
      <w:pPr>
        <w:spacing w:after="0" w:line="63" w:lineRule="exact"/>
        <w:rPr>
          <w:sz w:val="20"/>
          <w:szCs w:val="20"/>
          <w:color w:val="auto"/>
        </w:rPr>
      </w:pPr>
    </w:p>
    <w:p>
      <w:pPr>
        <w:ind w:left="1080" w:hanging="1045"/>
        <w:spacing w:after="0" w:line="277" w:lineRule="auto"/>
        <w:tabs>
          <w:tab w:leader="none" w:pos="1080" w:val="left"/>
        </w:tabs>
        <w:numPr>
          <w:ilvl w:val="0"/>
          <w:numId w:val="69"/>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7840" w:type="dxa"/>
            <w:vAlign w:val="bottom"/>
          </w:tcPr>
          <w:p>
            <w:pPr>
              <w:ind w:left="18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w:t>
            </w:r>
          </w:p>
        </w:tc>
      </w:tr>
      <w:tr>
        <w:trPr>
          <w:trHeight w:val="230"/>
        </w:trPr>
        <w:tc>
          <w:tcPr>
            <w:tcW w:w="860" w:type="dxa"/>
            <w:vAlign w:val="bottom"/>
          </w:tcPr>
          <w:p>
            <w:pPr>
              <w:spacing w:after="0"/>
              <w:rPr>
                <w:sz w:val="20"/>
                <w:szCs w:val="20"/>
                <w:color w:val="auto"/>
              </w:rPr>
            </w:pPr>
          </w:p>
        </w:tc>
        <w:tc>
          <w:tcPr>
            <w:tcW w:w="7840" w:type="dxa"/>
            <w:vAlign w:val="bottom"/>
          </w:tcPr>
          <w:p>
            <w:pPr>
              <w:ind w:left="18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784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784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784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784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78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43"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125" w:right="25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color w:val="auto"/>
        </w:rPr>
        <w:t>Bank of Hawaii Corporation</w:t>
      </w:r>
    </w:p>
    <w:p>
      <w:pPr>
        <w:spacing w:after="0" w:line="279"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S. Ho</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Date: March 2, 2020</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00" w:type="dxa"/>
            <w:vAlign w:val="bottom"/>
          </w:tcPr>
          <w:p>
            <w:pPr>
              <w:ind w:left="40"/>
              <w:spacing w:after="0"/>
              <w:rPr>
                <w:sz w:val="20"/>
                <w:szCs w:val="20"/>
                <w:color w:val="auto"/>
              </w:rPr>
            </w:pPr>
            <w:r>
              <w:rPr>
                <w:rFonts w:ascii="Arial" w:cs="Arial" w:eastAsia="Arial" w:hAnsi="Arial"/>
                <w:sz w:val="18"/>
                <w:szCs w:val="18"/>
                <w:color w:val="auto"/>
              </w:rPr>
              <w:t>/s/ Peter S. Ho</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S. Haunani Apoliona</w:t>
            </w: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40"/>
              <w:spacing w:after="0"/>
              <w:rPr>
                <w:sz w:val="20"/>
                <w:szCs w:val="20"/>
                <w:color w:val="auto"/>
              </w:rPr>
            </w:pPr>
            <w:r>
              <w:rPr>
                <w:rFonts w:ascii="Arial" w:cs="Arial" w:eastAsia="Arial" w:hAnsi="Arial"/>
                <w:sz w:val="18"/>
                <w:szCs w:val="18"/>
                <w:color w:val="auto"/>
              </w:rPr>
              <w:t>Peter S. Ho</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Haunani Apoliona, Director</w:t>
            </w:r>
          </w:p>
        </w:tc>
        <w:tc>
          <w:tcPr>
            <w:tcW w:w="0" w:type="dxa"/>
            <w:vAlign w:val="bottom"/>
          </w:tcPr>
          <w:p>
            <w:pPr>
              <w:spacing w:after="0"/>
              <w:rPr>
                <w:sz w:val="1"/>
                <w:szCs w:val="1"/>
                <w:color w:val="auto"/>
              </w:rPr>
            </w:pPr>
          </w:p>
        </w:tc>
      </w:tr>
      <w:tr>
        <w:trPr>
          <w:trHeight w:val="216"/>
        </w:trPr>
        <w:tc>
          <w:tcPr>
            <w:tcW w:w="4400" w:type="dxa"/>
            <w:vAlign w:val="bottom"/>
          </w:tcPr>
          <w:p>
            <w:pPr>
              <w:ind w:left="40"/>
              <w:spacing w:after="0"/>
              <w:rPr>
                <w:sz w:val="20"/>
                <w:szCs w:val="20"/>
                <w:color w:val="auto"/>
              </w:rPr>
            </w:pPr>
            <w:r>
              <w:rPr>
                <w:rFonts w:ascii="Arial" w:cs="Arial" w:eastAsia="Arial" w:hAnsi="Arial"/>
                <w:sz w:val="18"/>
                <w:szCs w:val="18"/>
                <w:color w:val="auto"/>
              </w:rPr>
              <w:t>Chairman of the Board,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0"/>
              <w:spacing w:after="0"/>
              <w:rPr>
                <w:sz w:val="20"/>
                <w:szCs w:val="20"/>
                <w:color w:val="auto"/>
              </w:rPr>
            </w:pPr>
            <w:r>
              <w:rPr>
                <w:rFonts w:ascii="Arial" w:cs="Arial" w:eastAsia="Arial" w:hAnsi="Arial"/>
                <w:sz w:val="18"/>
                <w:szCs w:val="18"/>
                <w:color w:val="auto"/>
              </w:rPr>
              <w:t>Chief Executive Officer, and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
              <w:spacing w:after="0"/>
              <w:rPr>
                <w:sz w:val="20"/>
                <w:szCs w:val="20"/>
                <w:color w:val="auto"/>
              </w:rPr>
            </w:pPr>
            <w:r>
              <w:rPr>
                <w:rFonts w:ascii="Arial" w:cs="Arial" w:eastAsia="Arial" w:hAnsi="Arial"/>
                <w:sz w:val="18"/>
                <w:szCs w:val="18"/>
                <w:color w:val="auto"/>
              </w:rPr>
              <w:t>President</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00" w:type="dxa"/>
            <w:vAlign w:val="bottom"/>
            <w:vMerge w:val="restart"/>
          </w:tcPr>
          <w:p>
            <w:pPr>
              <w:ind w:left="40"/>
              <w:spacing w:after="0"/>
              <w:rPr>
                <w:sz w:val="20"/>
                <w:szCs w:val="20"/>
                <w:color w:val="auto"/>
              </w:rPr>
            </w:pPr>
            <w:r>
              <w:rPr>
                <w:rFonts w:ascii="Arial" w:cs="Arial" w:eastAsia="Arial" w:hAnsi="Arial"/>
                <w:sz w:val="18"/>
                <w:szCs w:val="18"/>
                <w:color w:val="auto"/>
              </w:rPr>
              <w:t>/s/ Mary G. F. Bitterman</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Mark A. Burak</w:t>
            </w:r>
          </w:p>
        </w:tc>
        <w:tc>
          <w:tcPr>
            <w:tcW w:w="0" w:type="dxa"/>
            <w:vAlign w:val="bottom"/>
          </w:tcPr>
          <w:p>
            <w:pPr>
              <w:spacing w:after="0"/>
              <w:rPr>
                <w:sz w:val="1"/>
                <w:szCs w:val="1"/>
                <w:color w:val="auto"/>
              </w:rPr>
            </w:pPr>
          </w:p>
        </w:tc>
      </w:tr>
      <w:tr>
        <w:trPr>
          <w:trHeight w:val="81"/>
        </w:trPr>
        <w:tc>
          <w:tcPr>
            <w:tcW w:w="440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Mary G. F. Bitterman, Director</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Mark A. Burak, Director</w:t>
            </w:r>
          </w:p>
        </w:tc>
        <w:tc>
          <w:tcPr>
            <w:tcW w:w="0" w:type="dxa"/>
            <w:vAlign w:val="bottom"/>
          </w:tcPr>
          <w:p>
            <w:pPr>
              <w:spacing w:after="0"/>
              <w:rPr>
                <w:sz w:val="1"/>
                <w:szCs w:val="1"/>
                <w:color w:val="auto"/>
              </w:rPr>
            </w:pPr>
          </w:p>
        </w:tc>
      </w:tr>
      <w:tr>
        <w:trPr>
          <w:trHeight w:val="486"/>
        </w:trPr>
        <w:tc>
          <w:tcPr>
            <w:tcW w:w="4400" w:type="dxa"/>
            <w:vAlign w:val="bottom"/>
          </w:tcPr>
          <w:p>
            <w:pPr>
              <w:ind w:left="40"/>
              <w:spacing w:after="0"/>
              <w:rPr>
                <w:sz w:val="20"/>
                <w:szCs w:val="20"/>
                <w:color w:val="auto"/>
              </w:rPr>
            </w:pPr>
            <w:r>
              <w:rPr>
                <w:rFonts w:ascii="Arial" w:cs="Arial" w:eastAsia="Arial" w:hAnsi="Arial"/>
                <w:sz w:val="18"/>
                <w:szCs w:val="18"/>
                <w:color w:val="auto"/>
              </w:rPr>
              <w:t>/s/ John C. Erickson</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Joshua D. Feldman</w:t>
            </w:r>
          </w:p>
        </w:tc>
        <w:tc>
          <w:tcPr>
            <w:tcW w:w="0" w:type="dxa"/>
            <w:vAlign w:val="bottom"/>
          </w:tcPr>
          <w:p>
            <w:pPr>
              <w:spacing w:after="0"/>
              <w:rPr>
                <w:sz w:val="1"/>
                <w:szCs w:val="1"/>
                <w:color w:val="auto"/>
              </w:rPr>
            </w:pPr>
          </w:p>
        </w:tc>
      </w:tr>
      <w:tr>
        <w:trPr>
          <w:trHeight w:val="108"/>
        </w:trPr>
        <w:tc>
          <w:tcPr>
            <w:tcW w:w="44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John C. Erickson, Director</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Joshua D. Feldman, Director</w:t>
            </w:r>
          </w:p>
        </w:tc>
        <w:tc>
          <w:tcPr>
            <w:tcW w:w="0" w:type="dxa"/>
            <w:vAlign w:val="bottom"/>
          </w:tcPr>
          <w:p>
            <w:pPr>
              <w:spacing w:after="0"/>
              <w:rPr>
                <w:sz w:val="1"/>
                <w:szCs w:val="1"/>
                <w:color w:val="auto"/>
              </w:rPr>
            </w:pPr>
          </w:p>
        </w:tc>
      </w:tr>
      <w:tr>
        <w:trPr>
          <w:trHeight w:val="486"/>
        </w:trPr>
        <w:tc>
          <w:tcPr>
            <w:tcW w:w="4400" w:type="dxa"/>
            <w:vAlign w:val="bottom"/>
          </w:tcPr>
          <w:p>
            <w:pPr>
              <w:ind w:left="40"/>
              <w:spacing w:after="0"/>
              <w:rPr>
                <w:sz w:val="20"/>
                <w:szCs w:val="20"/>
                <w:color w:val="auto"/>
              </w:rPr>
            </w:pPr>
            <w:r>
              <w:rPr>
                <w:rFonts w:ascii="Arial" w:cs="Arial" w:eastAsia="Arial" w:hAnsi="Arial"/>
                <w:sz w:val="18"/>
                <w:szCs w:val="18"/>
                <w:color w:val="auto"/>
              </w:rPr>
              <w:t>/s/ Michelle Hulst</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Robert Huret</w:t>
            </w:r>
          </w:p>
        </w:tc>
        <w:tc>
          <w:tcPr>
            <w:tcW w:w="0" w:type="dxa"/>
            <w:vAlign w:val="bottom"/>
          </w:tcPr>
          <w:p>
            <w:pPr>
              <w:spacing w:after="0"/>
              <w:rPr>
                <w:sz w:val="1"/>
                <w:szCs w:val="1"/>
                <w:color w:val="auto"/>
              </w:rPr>
            </w:pPr>
          </w:p>
        </w:tc>
      </w:tr>
      <w:tr>
        <w:trPr>
          <w:trHeight w:val="108"/>
        </w:trPr>
        <w:tc>
          <w:tcPr>
            <w:tcW w:w="44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Michelle Hulst, Director</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Robert Huret, Director</w:t>
            </w:r>
          </w:p>
        </w:tc>
        <w:tc>
          <w:tcPr>
            <w:tcW w:w="0" w:type="dxa"/>
            <w:vAlign w:val="bottom"/>
          </w:tcPr>
          <w:p>
            <w:pPr>
              <w:spacing w:after="0"/>
              <w:rPr>
                <w:sz w:val="1"/>
                <w:szCs w:val="1"/>
                <w:color w:val="auto"/>
              </w:rPr>
            </w:pPr>
          </w:p>
        </w:tc>
      </w:tr>
      <w:tr>
        <w:trPr>
          <w:trHeight w:val="486"/>
        </w:trPr>
        <w:tc>
          <w:tcPr>
            <w:tcW w:w="4400" w:type="dxa"/>
            <w:vAlign w:val="bottom"/>
            <w:vMerge w:val="restart"/>
          </w:tcPr>
          <w:p>
            <w:pPr>
              <w:ind w:left="40"/>
              <w:spacing w:after="0"/>
              <w:rPr>
                <w:sz w:val="20"/>
                <w:szCs w:val="20"/>
                <w:color w:val="auto"/>
              </w:rPr>
            </w:pPr>
            <w:r>
              <w:rPr>
                <w:rFonts w:ascii="Arial" w:cs="Arial" w:eastAsia="Arial" w:hAnsi="Arial"/>
                <w:sz w:val="18"/>
                <w:szCs w:val="18"/>
                <w:color w:val="auto"/>
              </w:rPr>
              <w:t>/s/ Kent T. Lucien</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Alicia E. Moy</w:t>
            </w:r>
          </w:p>
        </w:tc>
        <w:tc>
          <w:tcPr>
            <w:tcW w:w="0" w:type="dxa"/>
            <w:vAlign w:val="bottom"/>
          </w:tcPr>
          <w:p>
            <w:pPr>
              <w:spacing w:after="0"/>
              <w:rPr>
                <w:sz w:val="1"/>
                <w:szCs w:val="1"/>
                <w:color w:val="auto"/>
              </w:rPr>
            </w:pPr>
          </w:p>
        </w:tc>
      </w:tr>
      <w:tr>
        <w:trPr>
          <w:trHeight w:val="81"/>
        </w:trPr>
        <w:tc>
          <w:tcPr>
            <w:tcW w:w="440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40"/>
              <w:spacing w:after="0"/>
              <w:rPr>
                <w:sz w:val="20"/>
                <w:szCs w:val="20"/>
                <w:color w:val="auto"/>
              </w:rPr>
            </w:pPr>
            <w:r>
              <w:rPr>
                <w:rFonts w:ascii="Arial" w:cs="Arial" w:eastAsia="Arial" w:hAnsi="Arial"/>
                <w:sz w:val="18"/>
                <w:szCs w:val="18"/>
                <w:color w:val="auto"/>
              </w:rPr>
              <w:t>Kent T. Lucien, Director and</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Alicia E. Moy, Director</w:t>
            </w:r>
          </w:p>
        </w:tc>
        <w:tc>
          <w:tcPr>
            <w:tcW w:w="0" w:type="dxa"/>
            <w:vAlign w:val="bottom"/>
          </w:tcPr>
          <w:p>
            <w:pPr>
              <w:spacing w:after="0"/>
              <w:rPr>
                <w:sz w:val="1"/>
                <w:szCs w:val="1"/>
                <w:color w:val="auto"/>
              </w:rPr>
            </w:pPr>
          </w:p>
        </w:tc>
      </w:tr>
      <w:tr>
        <w:trPr>
          <w:trHeight w:val="230"/>
        </w:trPr>
        <w:tc>
          <w:tcPr>
            <w:tcW w:w="4400" w:type="dxa"/>
            <w:vAlign w:val="bottom"/>
          </w:tcPr>
          <w:p>
            <w:pPr>
              <w:ind w:left="40"/>
              <w:spacing w:after="0"/>
              <w:rPr>
                <w:sz w:val="20"/>
                <w:szCs w:val="20"/>
                <w:color w:val="auto"/>
              </w:rPr>
            </w:pPr>
            <w:r>
              <w:rPr>
                <w:rFonts w:ascii="Arial" w:cs="Arial" w:eastAsia="Arial" w:hAnsi="Arial"/>
                <w:sz w:val="18"/>
                <w:szCs w:val="18"/>
                <w:color w:val="auto"/>
              </w:rPr>
              <w:t>Chief Strategy Officer</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00" w:type="dxa"/>
            <w:vAlign w:val="bottom"/>
          </w:tcPr>
          <w:p>
            <w:pPr>
              <w:ind w:left="40"/>
              <w:spacing w:after="0"/>
              <w:rPr>
                <w:sz w:val="20"/>
                <w:szCs w:val="20"/>
                <w:color w:val="auto"/>
              </w:rPr>
            </w:pPr>
            <w:r>
              <w:rPr>
                <w:rFonts w:ascii="Arial" w:cs="Arial" w:eastAsia="Arial" w:hAnsi="Arial"/>
                <w:sz w:val="18"/>
                <w:szCs w:val="18"/>
                <w:color w:val="auto"/>
              </w:rPr>
              <w:t>/s/ Victor K. Nichols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Barbara J. Tanabe</w:t>
            </w:r>
          </w:p>
        </w:tc>
        <w:tc>
          <w:tcPr>
            <w:tcW w:w="0" w:type="dxa"/>
            <w:vAlign w:val="bottom"/>
          </w:tcPr>
          <w:p>
            <w:pPr>
              <w:spacing w:after="0"/>
              <w:rPr>
                <w:sz w:val="1"/>
                <w:szCs w:val="1"/>
                <w:color w:val="auto"/>
              </w:rPr>
            </w:pPr>
          </w:p>
        </w:tc>
      </w:tr>
      <w:tr>
        <w:trPr>
          <w:trHeight w:val="108"/>
        </w:trPr>
        <w:tc>
          <w:tcPr>
            <w:tcW w:w="44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Victor K. Nichols, Director</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Barbara J. Tanabe, Director</w:t>
            </w:r>
          </w:p>
        </w:tc>
        <w:tc>
          <w:tcPr>
            <w:tcW w:w="0" w:type="dxa"/>
            <w:vAlign w:val="bottom"/>
          </w:tcPr>
          <w:p>
            <w:pPr>
              <w:spacing w:after="0"/>
              <w:rPr>
                <w:sz w:val="1"/>
                <w:szCs w:val="1"/>
                <w:color w:val="auto"/>
              </w:rPr>
            </w:pP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/s/ Raymond P. Vara, Jr.</w:t>
            </w: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Robert W. Wo</w:t>
            </w: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Raymond P. Vara, Jr., Director</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Robert W. Wo, Director</w:t>
            </w:r>
          </w:p>
        </w:tc>
        <w:tc>
          <w:tcPr>
            <w:tcW w:w="0" w:type="dxa"/>
            <w:vAlign w:val="bottom"/>
          </w:tcPr>
          <w:p>
            <w:pPr>
              <w:spacing w:after="0"/>
              <w:rPr>
                <w:sz w:val="1"/>
                <w:szCs w:val="1"/>
                <w:color w:val="auto"/>
              </w:rPr>
            </w:pPr>
          </w:p>
        </w:tc>
      </w:tr>
      <w:tr>
        <w:trPr>
          <w:trHeight w:val="486"/>
        </w:trPr>
        <w:tc>
          <w:tcPr>
            <w:tcW w:w="4400" w:type="dxa"/>
            <w:vAlign w:val="bottom"/>
          </w:tcPr>
          <w:p>
            <w:pPr>
              <w:ind w:left="40"/>
              <w:spacing w:after="0"/>
              <w:rPr>
                <w:sz w:val="20"/>
                <w:szCs w:val="20"/>
                <w:color w:val="auto"/>
              </w:rPr>
            </w:pPr>
            <w:r>
              <w:rPr>
                <w:rFonts w:ascii="Arial" w:cs="Arial" w:eastAsia="Arial" w:hAnsi="Arial"/>
                <w:sz w:val="18"/>
                <w:szCs w:val="18"/>
                <w:color w:val="auto"/>
              </w:rPr>
              <w:t>/s/ Dean Y. Shigemura</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Andrea Wilson Ignacio</w:t>
            </w:r>
          </w:p>
        </w:tc>
        <w:tc>
          <w:tcPr>
            <w:tcW w:w="0" w:type="dxa"/>
            <w:vAlign w:val="bottom"/>
          </w:tcPr>
          <w:p>
            <w:pPr>
              <w:spacing w:after="0"/>
              <w:rPr>
                <w:sz w:val="1"/>
                <w:szCs w:val="1"/>
                <w:color w:val="auto"/>
              </w:rPr>
            </w:pPr>
          </w:p>
        </w:tc>
      </w:tr>
      <w:tr>
        <w:trPr>
          <w:trHeight w:val="108"/>
        </w:trPr>
        <w:tc>
          <w:tcPr>
            <w:tcW w:w="44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Dean Y. Shigemura, Chief Financial Officer</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Andrea Wilson Ignacio, Principal Accounting Officer</w:t>
            </w: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4"/>
                <w:szCs w:val="24"/>
                <w:color w:val="auto"/>
              </w:rPr>
            </w:pPr>
          </w:p>
        </w:tc>
        <w:tc>
          <w:tcPr>
            <w:tcW w:w="7020" w:type="dxa"/>
            <w:vAlign w:val="bottom"/>
            <w:gridSpan w:val="3"/>
          </w:tcPr>
          <w:p>
            <w:pPr>
              <w:jc w:val="right"/>
              <w:ind w:right="549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8"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HAWAII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common stock, with par value of $.01, of The Bank of Hawaii Corporation (the “Corporation”) is the only class of our securities registered under Section 12 of the Securities Exchange Act of 1934. The following summary of our common stock is based on and qualified by our Certificate of Amendment of Certificate of Incorporation, as amended (the "Amended Certificate of Incorporation "), our Bylaws, as amended (the "Bylaws"), and applicable provisions of Delaware law. This summary is not complete. For a complete description of the terms and provisions of our common stock, refer to the Amended Articles of Incorporation and Bylaws, both of which are filed as exhibits to our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share of our common stock is entitled to one vote per share on each matter voted upon by shareholders, subject to the rights of the holders of shares of preferred stock, if any, that may be outstanding. No shares of preferred stock are currently outstanding.</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Except as may otherwise be required by the Amended Articles of Incorporation, Bylaws or Delaware law in respect of certain matters, the affirmative vote of at least a majority of the shares of common stock outstanding on the record date is required for any proposal to be adopted. Various matters, including the approval of certain amendments to the Amended Articles of Incorporation, require the affirmative vote of the holders of two-thirds of the shares of common stock outstanding.</w:t>
      </w:r>
    </w:p>
    <w:p>
      <w:pPr>
        <w:spacing w:after="0" w:line="187"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voting for the election of directors, each share is entitled to one vote for each director to be elected. The Corporation adopted majority voting in uncontested elections of directors and plurality voting in contested elections. In an uncontested election, all candidates for directorships to be filled must receive more votes “for” their election than “against” their election in order to be elected. If the election is contested, the candidates for directorships to be filled receiving the most votes shall be elected, up to the number of available seats to be elected, without regard to the number of votes cast against or not cast. An election shall be considered contested if there are more nominees for election than director positions to be filled in that election.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holders of shares of our common stock are entitled to receive dividends and other distributions if, as and when declared by our board of directors out of funds legally available for that purpose. These rights are subject to regulatory restrictions on the Bank of Hawaii’s ability to pay dividends to the Corporation, any preferential rights and any sinking fund, redemption or repurchase rights of any outstanding shares of preferred stock. We are not permitted to pay dividends to holders of our common stock if we have not paid or provided for the dividends, if any, fixed with respect to any 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for Calls and Assessments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Holders of shares of our common stock do not have preemptive rights as to additional issuances of shares of our common stock or of securities convertible into, or entitling the holder to purchase, shares of our common stock.</w:t>
      </w:r>
    </w:p>
    <w:p>
      <w:pPr>
        <w:sectPr>
          <w:pgSz w:w="11900" w:h="16838" w:orient="portrait"/>
          <w:cols w:equalWidth="0" w:num="1">
            <w:col w:w="11420"/>
          </w:cols>
          <w:pgMar w:left="240" w:top="553"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Bank of Hawaii Corporation</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Subsidiaries of the Registrant</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required information with respect to subsidiaries of Bank of Hawaii Corporation as of December 31, 2019, is provided below. All domestic subsidiaries are wholly-owned. Each entity is consolidated with its immediate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6915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6">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BANK OF HAWAII CORPORATION (Parent)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Bank Holding Company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691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Subsidiaries: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BANK OF HAWAII</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Hawaii</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Bank of Hawaii Leasing, Inc. (Leasing)</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Bankoh Investment Services, Inc. (Brokerage)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BOH Wholesale Insurance Agency, Inc. (Insurance)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Pacific Century Insurance Services, Inc. (Captive Insurance)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RGA Corp. (Real Property Holding Company)</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BOH Community Development Enterprise, Inc. (New Markets Tax Credit Investments)</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Pacific Century Life Insurance Corporation (Insurance)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Arizona</w:t>
      </w:r>
    </w:p>
    <w:p>
      <w:pPr>
        <w:sectPr>
          <w:pgSz w:w="11900" w:h="16838" w:orient="portrait"/>
          <w:cols w:equalWidth="0" w:num="1">
            <w:col w:w="11420"/>
          </w:cols>
          <w:pgMar w:left="240" w:top="553"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26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We consent to the incorporation by reference in the following Registration Statements:</w:t>
      </w:r>
    </w:p>
    <w:p>
      <w:pPr>
        <w:spacing w:after="0" w:line="225" w:lineRule="exact"/>
        <w:rPr>
          <w:sz w:val="20"/>
          <w:szCs w:val="20"/>
          <w:color w:val="auto"/>
        </w:rPr>
      </w:pPr>
    </w:p>
    <w:p>
      <w:pPr>
        <w:ind w:left="980" w:right="380" w:hanging="648"/>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Statements on Form S-3 (Nos. 333-64248 and 333-165824) and on Form S-3 ASR (No. 333-207801) pertaining to the Bank of Hawaii Corporation Dividend Reinvestment and Stock Purchase Plan;</w:t>
      </w:r>
    </w:p>
    <w:p>
      <w:pPr>
        <w:spacing w:after="0" w:line="170" w:lineRule="exact"/>
        <w:rPr>
          <w:rFonts w:ascii="Arial" w:cs="Arial" w:eastAsia="Arial" w:hAnsi="Arial"/>
          <w:sz w:val="18"/>
          <w:szCs w:val="18"/>
          <w:color w:val="auto"/>
        </w:rPr>
      </w:pPr>
    </w:p>
    <w:p>
      <w:pPr>
        <w:ind w:left="980" w:right="60" w:hanging="648"/>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Statements on Form S-8 (Nos. 33-54777, 333-80127 and 333-61134) pertaining to the Pacific Century Financial Corporation Stock Option Plan of 1994 (formerly the Bancorp Hawaii, Inc. Stock Option Plan of 1994);</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Statements on Form S-8 (No. 333-165825) pertaining to the Bank of Hawaii Retirement Savings Plan;</w:t>
      </w:r>
    </w:p>
    <w:p>
      <w:pPr>
        <w:spacing w:after="0" w:line="225"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on Form S-8 (No. 333-203611) pertaining to the Bank of Hawaii Corporation 2015 Director Stock Compensation Plan (formerly the Pacific Century Financial Corporation Directors’ Stock Compensation Program);</w:t>
      </w:r>
    </w:p>
    <w:p>
      <w:pPr>
        <w:spacing w:after="0" w:line="170" w:lineRule="exact"/>
        <w:rPr>
          <w:rFonts w:ascii="Arial" w:cs="Arial" w:eastAsia="Arial" w:hAnsi="Arial"/>
          <w:sz w:val="18"/>
          <w:szCs w:val="18"/>
          <w:color w:val="auto"/>
        </w:rPr>
      </w:pPr>
    </w:p>
    <w:p>
      <w:pPr>
        <w:ind w:left="980" w:right="460" w:hanging="648"/>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Statements on Form S-8 (Nos. 333-115325, 333-143295 and 333-176463) pertaining to the Bank of Hawaii Corporation 2004 Stock and Incentive Compensation Plan; and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333333"/>
        </w:rPr>
        <w:t>of our reports dated March 2, 2020, with respect to the consolidated financial statements of Bank of Hawaii Corporation and subsidiaries and the effectiveness of internal control over financial reporting of Bank of Hawaii Corporation and subsidiaries included in this Annual Report (Form 10-K) of Bank of Hawaii Corporation for the year ended December 31, 2019.</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17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225"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 of Hawaii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Peter S. Ho</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53"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225"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 of Hawaii Corporation;</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80" w:right="120" w:hanging="329"/>
        <w:spacing w:after="0" w:line="264" w:lineRule="auto"/>
        <w:tabs>
          <w:tab w:leader="none" w:pos="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100" w:hanging="329"/>
        <w:spacing w:after="0" w:line="264" w:lineRule="auto"/>
        <w:tabs>
          <w:tab w:leader="none" w:pos="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160" w:hanging="329"/>
        <w:spacing w:after="0" w:line="308" w:lineRule="auto"/>
        <w:tabs>
          <w:tab w:leader="none" w:pos="580"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right="20" w:hanging="329"/>
        <w:spacing w:after="0" w:line="264" w:lineRule="auto"/>
        <w:tabs>
          <w:tab w:leader="none" w:pos="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277" w:lineRule="auto"/>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70" w:lineRule="exact"/>
        <w:rPr>
          <w:rFonts w:ascii="Arial" w:cs="Arial" w:eastAsia="Arial" w:hAnsi="Arial"/>
          <w:sz w:val="18"/>
          <w:szCs w:val="18"/>
          <w:color w:val="auto"/>
        </w:rPr>
      </w:pPr>
    </w:p>
    <w:p>
      <w:pPr>
        <w:ind w:left="580" w:right="80" w:hanging="329"/>
        <w:spacing w:after="0" w:line="277" w:lineRule="auto"/>
        <w:tabs>
          <w:tab w:leader="none" w:pos="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120" w:hanging="329"/>
        <w:spacing w:after="0" w:line="277" w:lineRule="auto"/>
        <w:tabs>
          <w:tab w:leader="none" w:pos="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Dean Y. Shigemura</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of Bank of Hawaii Corporation (the “Company”) for the year ended December 31, 2019 (the “Report”):</w:t>
      </w:r>
    </w:p>
    <w:p>
      <w:pPr>
        <w:spacing w:after="0" w:line="211"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700" w:val="left"/>
          <w:tab w:leader="none" w:pos="4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31750</wp:posOffset>
            </wp:positionV>
            <wp:extent cx="43567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Peter S. Ho</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President</w:t>
      </w:r>
    </w:p>
    <w:p>
      <w:pPr>
        <w:spacing w:after="0" w:line="4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31750</wp:posOffset>
            </wp:positionV>
            <wp:extent cx="43567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5">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Dean Y. Shigemura</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bullet"/>
      <w:start w:val="1"/>
    </w:lvl>
  </w:abstractNum>
  <w:abstractNum w:abstractNumId="5">
    <w:nsid w:val="2D517796"/>
    <w:multiLevelType w:val="hybridMultilevel"/>
    <w:lvl w:ilvl="0">
      <w:lvlJc w:val="left"/>
      <w:lvlText w:val="2"/>
      <w:numFmt w:val="bullet"/>
      <w:start w:val="1"/>
    </w:lvl>
  </w:abstractNum>
  <w:abstractNum w:abstractNumId="6">
    <w:nsid w:val="580BD78F"/>
    <w:multiLevelType w:val="hybridMultilevel"/>
    <w:lvl w:ilvl="0">
      <w:lvlJc w:val="left"/>
      <w:lvlText w:val="1"/>
      <w:numFmt w:val="bullet"/>
      <w:start w:val="1"/>
    </w:lvl>
  </w:abstractNum>
  <w:abstractNum w:abstractNumId="7">
    <w:nsid w:val="153EA438"/>
    <w:multiLevelType w:val="hybridMultilevel"/>
    <w:lvl w:ilvl="0">
      <w:lvlJc w:val="left"/>
      <w:lvlText w:val="2"/>
      <w:numFmt w:val="bullet"/>
      <w:start w:val="1"/>
    </w:lvl>
  </w:abstractNum>
  <w:abstractNum w:abstractNumId="8">
    <w:nsid w:val="3855585C"/>
    <w:multiLevelType w:val="hybridMultilevel"/>
    <w:lvl w:ilvl="0">
      <w:lvlJc w:val="left"/>
      <w:lvlText w:val="3"/>
      <w:numFmt w:val="bullet"/>
      <w:start w:val="1"/>
    </w:lvl>
  </w:abstractNum>
  <w:abstractNum w:abstractNumId="9">
    <w:nsid w:val="70A64E2A"/>
    <w:multiLevelType w:val="hybridMultilevel"/>
    <w:lvl w:ilvl="0">
      <w:lvlJc w:val="left"/>
      <w:lvlText w:val="4"/>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bullet"/>
      <w:start w:val="1"/>
    </w:lvl>
  </w:abstractNum>
  <w:abstractNum w:abstractNumId="16">
    <w:nsid w:val="7A6D8D3C"/>
    <w:multiLevelType w:val="hybridMultilevel"/>
    <w:lvl w:ilvl="0">
      <w:lvlJc w:val="left"/>
      <w:lvlText w:val="2"/>
      <w:numFmt w:val="bullet"/>
      <w:start w:val="1"/>
    </w:lvl>
  </w:abstractNum>
  <w:abstractNum w:abstractNumId="17">
    <w:nsid w:val="4B588F54"/>
    <w:multiLevelType w:val="hybridMultilevel"/>
    <w:lvl w:ilvl="0">
      <w:lvlJc w:val="left"/>
      <w:lvlText w:val="3"/>
      <w:numFmt w:val="bullet"/>
      <w:start w:val="1"/>
    </w:lvl>
  </w:abstractNum>
  <w:abstractNum w:abstractNumId="18">
    <w:nsid w:val="542289EC"/>
    <w:multiLevelType w:val="hybridMultilevel"/>
    <w:lvl w:ilvl="0">
      <w:lvlJc w:val="left"/>
      <w:lvlText w:val="1"/>
      <w:numFmt w:val="bullet"/>
      <w:start w:val="1"/>
    </w:lvl>
  </w:abstractNum>
  <w:abstractNum w:abstractNumId="19">
    <w:nsid w:val="6DE91B18"/>
    <w:multiLevelType w:val="hybridMultilevel"/>
    <w:lvl w:ilvl="0">
      <w:lvlJc w:val="left"/>
      <w:lvlText w:val="2"/>
      <w:numFmt w:val="bullet"/>
      <w:start w:val="1"/>
    </w:lvl>
  </w:abstractNum>
  <w:abstractNum w:abstractNumId="20">
    <w:nsid w:val="38437FDB"/>
    <w:multiLevelType w:val="hybridMultilevel"/>
    <w:lvl w:ilvl="0">
      <w:lvlJc w:val="left"/>
      <w:lvlText w:val="1"/>
      <w:numFmt w:val="bullet"/>
      <w:start w:val="1"/>
    </w:lvl>
  </w:abstractNum>
  <w:abstractNum w:abstractNumId="21">
    <w:nsid w:val="7644A45C"/>
    <w:multiLevelType w:val="hybridMultilevel"/>
    <w:lvl w:ilvl="0">
      <w:lvlJc w:val="left"/>
      <w:lvlText w:val="2"/>
      <w:numFmt w:val="bullet"/>
      <w:start w:val="1"/>
    </w:lvl>
  </w:abstractNum>
  <w:abstractNum w:abstractNumId="22">
    <w:nsid w:val="32FFF902"/>
    <w:multiLevelType w:val="hybridMultilevel"/>
    <w:lvl w:ilvl="0">
      <w:lvlJc w:val="left"/>
      <w:lvlText w:val="3"/>
      <w:numFmt w:val="bullet"/>
      <w:start w:val="1"/>
    </w:lvl>
  </w:abstractNum>
  <w:abstractNum w:abstractNumId="23">
    <w:nsid w:val="684A481A"/>
    <w:multiLevelType w:val="hybridMultilevel"/>
    <w:lvl w:ilvl="0">
      <w:lvlJc w:val="left"/>
      <w:lvlText w:val="1"/>
      <w:numFmt w:val="bullet"/>
      <w:start w:val="1"/>
    </w:lvl>
  </w:abstractNum>
  <w:abstractNum w:abstractNumId="24">
    <w:nsid w:val="579478FE"/>
    <w:multiLevelType w:val="hybridMultilevel"/>
    <w:lvl w:ilvl="0">
      <w:lvlJc w:val="left"/>
      <w:lvlText w:val="1"/>
      <w:numFmt w:val="bullet"/>
      <w:start w:val="1"/>
    </w:lvl>
  </w:abstractNum>
  <w:abstractNum w:abstractNumId="25">
    <w:nsid w:val="749ABB43"/>
    <w:multiLevelType w:val="hybridMultilevel"/>
    <w:lvl w:ilvl="0">
      <w:lvlJc w:val="left"/>
      <w:lvlText w:val="2"/>
      <w:numFmt w:val="bullet"/>
      <w:start w:val="1"/>
    </w:lvl>
  </w:abstractNum>
  <w:abstractNum w:abstractNumId="26">
    <w:nsid w:val="3DC240FB"/>
    <w:multiLevelType w:val="hybridMultilevel"/>
    <w:lvl w:ilvl="0">
      <w:lvlJc w:val="left"/>
      <w:lvlText w:val="3"/>
      <w:numFmt w:val="bullet"/>
      <w:start w:val="1"/>
    </w:lvl>
  </w:abstractNum>
  <w:abstractNum w:abstractNumId="27">
    <w:nsid w:val="1BA026FA"/>
    <w:multiLevelType w:val="hybridMultilevel"/>
    <w:lvl w:ilvl="0">
      <w:lvlJc w:val="left"/>
      <w:lvlText w:val="1"/>
      <w:numFmt w:val="bullet"/>
      <w:start w:val="1"/>
    </w:lvl>
  </w:abstractNum>
  <w:abstractNum w:abstractNumId="28">
    <w:nsid w:val="79A1DEAA"/>
    <w:multiLevelType w:val="hybridMultilevel"/>
    <w:lvl w:ilvl="0">
      <w:lvlJc w:val="left"/>
      <w:lvlText w:val="2"/>
      <w:numFmt w:val="bullet"/>
      <w:start w:val="1"/>
    </w:lvl>
  </w:abstractNum>
  <w:abstractNum w:abstractNumId="29">
    <w:nsid w:val="75C6C33A"/>
    <w:multiLevelType w:val="hybridMultilevel"/>
    <w:lvl w:ilvl="0">
      <w:lvlJc w:val="left"/>
      <w:lvlText w:val="1"/>
      <w:numFmt w:val="bullet"/>
      <w:start w:val="1"/>
    </w:lvl>
  </w:abstractNum>
  <w:abstractNum w:abstractNumId="30">
    <w:nsid w:val="12E685FB"/>
    <w:multiLevelType w:val="hybridMultilevel"/>
    <w:lvl w:ilvl="0">
      <w:lvlJc w:val="left"/>
      <w:lvlText w:val="1"/>
      <w:numFmt w:val="bullet"/>
      <w:start w:val="1"/>
    </w:lvl>
  </w:abstractNum>
  <w:abstractNum w:abstractNumId="31">
    <w:nsid w:val="70C6A529"/>
    <w:multiLevelType w:val="hybridMultilevel"/>
    <w:lvl w:ilvl="0">
      <w:lvlJc w:val="left"/>
      <w:lvlText w:val="2"/>
      <w:numFmt w:val="bullet"/>
      <w:start w:val="1"/>
    </w:lvl>
  </w:abstractNum>
  <w:abstractNum w:abstractNumId="32">
    <w:nsid w:val="520EEDD1"/>
    <w:multiLevelType w:val="hybridMultilevel"/>
    <w:lvl w:ilvl="0">
      <w:lvlJc w:val="left"/>
      <w:lvlText w:val="1"/>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bullet"/>
      <w:start w:val="1"/>
    </w:lvl>
  </w:abstractNum>
  <w:abstractNum w:abstractNumId="35">
    <w:nsid w:val="23F9C13C"/>
    <w:multiLevelType w:val="hybridMultilevel"/>
    <w:lvl w:ilvl="0">
      <w:lvlJc w:val="left"/>
      <w:lvlText w:val="1"/>
      <w:numFmt w:val="bullet"/>
      <w:start w:val="1"/>
    </w:lvl>
  </w:abstractNum>
  <w:abstractNum w:abstractNumId="36">
    <w:nsid w:val="649BB77C"/>
    <w:multiLevelType w:val="hybridMultilevel"/>
    <w:lvl w:ilvl="0">
      <w:lvlJc w:val="left"/>
      <w:lvlText w:val="1"/>
      <w:numFmt w:val="bullet"/>
      <w:start w:val="1"/>
    </w:lvl>
  </w:abstractNum>
  <w:abstractNum w:abstractNumId="37">
    <w:nsid w:val="275AC794"/>
    <w:multiLevelType w:val="hybridMultilevel"/>
    <w:lvl w:ilvl="0">
      <w:lvlJc w:val="left"/>
      <w:lvlText w:val="2"/>
      <w:numFmt w:val="bullet"/>
      <w:start w:val="1"/>
    </w:lvl>
  </w:abstractNum>
  <w:abstractNum w:abstractNumId="38">
    <w:nsid w:val="39386575"/>
    <w:multiLevelType w:val="hybridMultilevel"/>
    <w:lvl w:ilvl="0">
      <w:lvlJc w:val="left"/>
      <w:lvlText w:val="1"/>
      <w:numFmt w:val="bullet"/>
      <w:start w:val="1"/>
    </w:lvl>
  </w:abstractNum>
  <w:abstractNum w:abstractNumId="39">
    <w:nsid w:val="1CF10FD8"/>
    <w:multiLevelType w:val="hybridMultilevel"/>
    <w:lvl w:ilvl="0">
      <w:lvlJc w:val="left"/>
      <w:lvlText w:val="1"/>
      <w:numFmt w:val="bullet"/>
      <w:start w:val="1"/>
    </w:lvl>
  </w:abstractNum>
  <w:abstractNum w:abstractNumId="40">
    <w:nsid w:val="180115BE"/>
    <w:multiLevelType w:val="hybridMultilevel"/>
    <w:lvl w:ilvl="0">
      <w:lvlJc w:val="left"/>
      <w:lvlText w:val="1"/>
      <w:numFmt w:val="bullet"/>
      <w:start w:val="1"/>
    </w:lvl>
  </w:abstractNum>
  <w:abstractNum w:abstractNumId="41">
    <w:nsid w:val="235BA861"/>
    <w:multiLevelType w:val="hybridMultilevel"/>
    <w:lvl w:ilvl="0">
      <w:lvlJc w:val="left"/>
      <w:lvlText w:val="2"/>
      <w:numFmt w:val="bullet"/>
      <w:start w:val="1"/>
    </w:lvl>
  </w:abstractNum>
  <w:abstractNum w:abstractNumId="42">
    <w:nsid w:val="47398C89"/>
    <w:multiLevelType w:val="hybridMultilevel"/>
    <w:lvl w:ilvl="0">
      <w:lvlJc w:val="left"/>
      <w:lvlText w:val="1"/>
      <w:numFmt w:val="bullet"/>
      <w:start w:val="1"/>
    </w:lvl>
  </w:abstractNum>
  <w:abstractNum w:abstractNumId="43">
    <w:nsid w:val="354FE9F9"/>
    <w:multiLevelType w:val="hybridMultilevel"/>
    <w:lvl w:ilvl="0">
      <w:lvlJc w:val="left"/>
      <w:lvlText w:val="1"/>
      <w:numFmt w:val="bullet"/>
      <w:start w:val="1"/>
    </w:lvl>
  </w:abstractNum>
  <w:abstractNum w:abstractNumId="44">
    <w:nsid w:val="15B5AF5C"/>
    <w:multiLevelType w:val="hybridMultilevel"/>
    <w:lvl w:ilvl="0">
      <w:lvlJc w:val="left"/>
      <w:lvlText w:val="2"/>
      <w:numFmt w:val="bullet"/>
      <w:start w:val="1"/>
    </w:lvl>
  </w:abstractNum>
  <w:abstractNum w:abstractNumId="45">
    <w:nsid w:val="741226BB"/>
    <w:multiLevelType w:val="hybridMultilevel"/>
    <w:lvl w:ilvl="0">
      <w:lvlJc w:val="left"/>
      <w:lvlText w:val="1"/>
      <w:numFmt w:val="bullet"/>
      <w:start w:val="1"/>
    </w:lvl>
  </w:abstractNum>
  <w:abstractNum w:abstractNumId="46">
    <w:nsid w:val="D34B6A8"/>
    <w:multiLevelType w:val="hybridMultilevel"/>
    <w:lvl w:ilvl="0">
      <w:lvlJc w:val="left"/>
      <w:lvlText w:val="2"/>
      <w:numFmt w:val="bullet"/>
      <w:start w:val="1"/>
    </w:lvl>
  </w:abstractNum>
  <w:abstractNum w:abstractNumId="47">
    <w:nsid w:val="10233C99"/>
    <w:multiLevelType w:val="hybridMultilevel"/>
    <w:lvl w:ilvl="0">
      <w:lvlJc w:val="left"/>
      <w:lvlText w:val="1"/>
      <w:numFmt w:val="bullet"/>
      <w:start w:val="1"/>
    </w:lvl>
  </w:abstractNum>
  <w:abstractNum w:abstractNumId="48">
    <w:nsid w:val="3F6AB60F"/>
    <w:multiLevelType w:val="hybridMultilevel"/>
    <w:lvl w:ilvl="0">
      <w:lvlJc w:val="left"/>
      <w:lvlText w:val="2"/>
      <w:numFmt w:val="bullet"/>
      <w:start w:val="1"/>
    </w:lvl>
  </w:abstractNum>
  <w:abstractNum w:abstractNumId="49">
    <w:nsid w:val="61574095"/>
    <w:multiLevelType w:val="hybridMultilevel"/>
    <w:lvl w:ilvl="0">
      <w:lvlJc w:val="left"/>
      <w:lvlText w:val="1"/>
      <w:numFmt w:val="bullet"/>
      <w:start w:val="1"/>
    </w:lvl>
  </w:abstractNum>
  <w:abstractNum w:abstractNumId="50">
    <w:nsid w:val="7E0C57B1"/>
    <w:multiLevelType w:val="hybridMultilevel"/>
    <w:lvl w:ilvl="0">
      <w:lvlJc w:val="left"/>
      <w:lvlText w:val="1"/>
      <w:numFmt w:val="bullet"/>
      <w:start w:val="1"/>
    </w:lvl>
  </w:abstractNum>
  <w:abstractNum w:abstractNumId="51">
    <w:nsid w:val="77AE35EB"/>
    <w:multiLevelType w:val="hybridMultilevel"/>
    <w:lvl w:ilvl="0">
      <w:lvlJc w:val="left"/>
      <w:lvlText w:val="1"/>
      <w:numFmt w:val="bullet"/>
      <w:start w:val="1"/>
    </w:lvl>
  </w:abstractNum>
  <w:abstractNum w:abstractNumId="52">
    <w:nsid w:val="579BE4F1"/>
    <w:multiLevelType w:val="hybridMultilevel"/>
    <w:lvl w:ilvl="0">
      <w:lvlJc w:val="left"/>
      <w:lvlText w:val="2"/>
      <w:numFmt w:val="bullet"/>
      <w:start w:val="1"/>
    </w:lvl>
  </w:abstractNum>
  <w:abstractNum w:abstractNumId="53">
    <w:nsid w:val="310C50B3"/>
    <w:multiLevelType w:val="hybridMultilevel"/>
    <w:lvl w:ilvl="0">
      <w:lvlJc w:val="left"/>
      <w:lvlText w:val="1"/>
      <w:numFmt w:val="bullet"/>
      <w:start w:val="1"/>
    </w:lvl>
  </w:abstractNum>
  <w:abstractNum w:abstractNumId="54">
    <w:nsid w:val="5FF87E05"/>
    <w:multiLevelType w:val="hybridMultilevel"/>
    <w:lvl w:ilvl="0">
      <w:lvlJc w:val="left"/>
      <w:lvlText w:val="2"/>
      <w:numFmt w:val="bullet"/>
      <w:start w:val="1"/>
    </w:lvl>
  </w:abstractNum>
  <w:abstractNum w:abstractNumId="55">
    <w:nsid w:val="2F305DEF"/>
    <w:multiLevelType w:val="hybridMultilevel"/>
    <w:lvl w:ilvl="0">
      <w:lvlJc w:val="left"/>
      <w:lvlText w:val="3"/>
      <w:numFmt w:val="bullet"/>
      <w:start w:val="1"/>
    </w:lvl>
  </w:abstractNum>
  <w:abstractNum w:abstractNumId="56">
    <w:nsid w:val="25A70BF7"/>
    <w:multiLevelType w:val="hybridMultilevel"/>
    <w:lvl w:ilvl="0">
      <w:lvlJc w:val="left"/>
      <w:lvlText w:val="1"/>
      <w:numFmt w:val="bullet"/>
      <w:start w:val="1"/>
    </w:lvl>
  </w:abstractNum>
  <w:abstractNum w:abstractNumId="57">
    <w:nsid w:val="1DBABF00"/>
    <w:multiLevelType w:val="hybridMultilevel"/>
    <w:lvl w:ilvl="0">
      <w:lvlJc w:val="left"/>
      <w:lvlText w:val="1"/>
      <w:numFmt w:val="bullet"/>
      <w:start w:val="1"/>
    </w:lvl>
  </w:abstractNum>
  <w:abstractNum w:abstractNumId="58">
    <w:nsid w:val="4AD084E9"/>
    <w:multiLevelType w:val="hybridMultilevel"/>
    <w:lvl w:ilvl="0">
      <w:lvlJc w:val="left"/>
      <w:lvlText w:val="1"/>
      <w:numFmt w:val="bullet"/>
      <w:start w:val="1"/>
    </w:lvl>
  </w:abstractNum>
  <w:abstractNum w:abstractNumId="59">
    <w:nsid w:val="1F48EAA1"/>
    <w:multiLevelType w:val="hybridMultilevel"/>
    <w:lvl w:ilvl="0">
      <w:lvlJc w:val="left"/>
      <w:lvlText w:val="1"/>
      <w:numFmt w:val="bullet"/>
      <w:start w:val="1"/>
    </w:lvl>
  </w:abstractNum>
  <w:abstractNum w:abstractNumId="60">
    <w:nsid w:val="1381823A"/>
    <w:multiLevelType w:val="hybridMultilevel"/>
    <w:lvl w:ilvl="0">
      <w:lvlJc w:val="left"/>
      <w:lvlText w:val="1"/>
      <w:numFmt w:val="bullet"/>
      <w:start w:val="1"/>
    </w:lvl>
  </w:abstractNum>
  <w:abstractNum w:abstractNumId="61">
    <w:nsid w:val="5DB70AE5"/>
    <w:multiLevelType w:val="hybridMultilevel"/>
    <w:lvl w:ilvl="0">
      <w:lvlJc w:val="left"/>
      <w:lvlText w:val="1"/>
      <w:numFmt w:val="bullet"/>
      <w:start w:val="1"/>
    </w:lvl>
  </w:abstractNum>
  <w:abstractNum w:abstractNumId="62">
    <w:nsid w:val="100F8FCA"/>
    <w:multiLevelType w:val="hybridMultilevel"/>
    <w:lvl w:ilvl="0">
      <w:lvlJc w:val="left"/>
      <w:lvlText w:val="1"/>
      <w:numFmt w:val="bullet"/>
      <w:start w:val="1"/>
    </w:lvl>
  </w:abstractNum>
  <w:abstractNum w:abstractNumId="63">
    <w:nsid w:val="6590700B"/>
    <w:multiLevelType w:val="hybridMultilevel"/>
    <w:lvl w:ilvl="0">
      <w:lvlJc w:val="left"/>
      <w:lvlText w:val="2"/>
      <w:numFmt w:val="bullet"/>
      <w:start w:val="1"/>
    </w:lvl>
  </w:abstractNum>
  <w:abstractNum w:abstractNumId="64">
    <w:nsid w:val="15014ACB"/>
    <w:multiLevelType w:val="hybridMultilevel"/>
    <w:lvl w:ilvl="0">
      <w:lvlJc w:val="left"/>
      <w:lvlText w:val="1"/>
      <w:numFmt w:val="bullet"/>
      <w:start w:val="1"/>
    </w:lvl>
  </w:abstractNum>
  <w:abstractNum w:abstractNumId="65">
    <w:nsid w:val="5F5E7FD0"/>
    <w:multiLevelType w:val="hybridMultilevel"/>
    <w:lvl w:ilvl="0">
      <w:lvlJc w:val="left"/>
      <w:lvlText w:val="2"/>
      <w:numFmt w:val="bullet"/>
      <w:start w:val="1"/>
    </w:lvl>
  </w:abstractNum>
  <w:abstractNum w:abstractNumId="66">
    <w:nsid w:val="98A3148"/>
    <w:multiLevelType w:val="hybridMultilevel"/>
    <w:lvl w:ilvl="0">
      <w:lvlJc w:val="left"/>
      <w:lvlText w:val="%1."/>
      <w:numFmt w:val="decimal"/>
      <w:start w:val="842"/>
    </w:lvl>
  </w:abstractNum>
  <w:abstractNum w:abstractNumId="67">
    <w:nsid w:val="799D0247"/>
    <w:multiLevelType w:val="hybridMultilevel"/>
    <w:lvl w:ilvl="0">
      <w:lvlJc w:val="left"/>
      <w:lvlText w:val="1"/>
      <w:numFmt w:val="bullet"/>
      <w:start w:val="1"/>
    </w:lvl>
  </w:abstractNum>
  <w:abstractNum w:abstractNumId="68">
    <w:nsid w:val="6B94764"/>
    <w:multiLevelType w:val="hybridMultilevel"/>
    <w:lvl w:ilvl="0">
      <w:lvlJc w:val="left"/>
      <w:lvlText w:val="%1"/>
      <w:numFmt w:val="decimal"/>
      <w:start w:val="32"/>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85" Type="http://schemas.openxmlformats.org/officeDocument/2006/relationships/image" Target="media/image42.png"/><Relationship Id="rId86" Type="http://schemas.openxmlformats.org/officeDocument/2006/relationships/image" Target="media/image43.png"/><Relationship Id="rId87" Type="http://schemas.openxmlformats.org/officeDocument/2006/relationships/image" Target="media/image44.png"/><Relationship Id="rId88" Type="http://schemas.openxmlformats.org/officeDocument/2006/relationships/image" Target="media/image45.png"/><Relationship Id="rId89" Type="http://schemas.openxmlformats.org/officeDocument/2006/relationships/image" Target="media/image46.png"/><Relationship Id="rId90" Type="http://schemas.openxmlformats.org/officeDocument/2006/relationships/image" Target="media/image47.png"/><Relationship Id="rId91" Type="http://schemas.openxmlformats.org/officeDocument/2006/relationships/image" Target="media/image48.png"/><Relationship Id="rId92" Type="http://schemas.openxmlformats.org/officeDocument/2006/relationships/image" Target="media/image49.png"/><Relationship Id="rId93" Type="http://schemas.openxmlformats.org/officeDocument/2006/relationships/image" Target="media/image50.png"/><Relationship Id="rId94" Type="http://schemas.openxmlformats.org/officeDocument/2006/relationships/image" Target="media/image51.png"/><Relationship Id="rId95" Type="http://schemas.openxmlformats.org/officeDocument/2006/relationships/image" Target="media/image52.png"/><Relationship Id="rId49" Type="http://schemas.openxmlformats.org/officeDocument/2006/relationships/hyperlink" Target="http://www.sec.gov/Archives/edgar/data/46195/000104746906002592/a2167652zex-3_1.htm" TargetMode="External"/><Relationship Id="rId50" Type="http://schemas.openxmlformats.org/officeDocument/2006/relationships/hyperlink" Target="http://www.sec.gov/Archives/edgar/data/46195/000110465908028414/a08-13016_1ex3d1.htm" TargetMode="External"/><Relationship Id="rId51" Type="http://schemas.openxmlformats.org/officeDocument/2006/relationships/hyperlink" Target="http://www.sec.gov/Archives/edgar/data/46195/000110465908028414/a08-13016_1ex3d2.htm" TargetMode="External"/><Relationship Id="rId52" Type="http://schemas.openxmlformats.org/officeDocument/2006/relationships/hyperlink" Target="http://www.sec.gov/Archives/edgar/data/46195/000004619513000055/exhibit32amendedandrestate.htm" TargetMode="External"/><Relationship Id="rId53" Type="http://schemas.openxmlformats.org/officeDocument/2006/relationships/hyperlink" Target="http://www.sec.gov/Archives/edgar/data/46195/000004619518000062/exhibit32amendedandrestate.htm" TargetMode="External"/><Relationship Id="rId54" Type="http://schemas.openxmlformats.org/officeDocument/2006/relationships/hyperlink" Target="http://www.sec.gov/Archives/edgar/data/46195/000104746906002592/a2167652zex-10_2.htm" TargetMode="External"/><Relationship Id="rId55" Type="http://schemas.openxmlformats.org/officeDocument/2006/relationships/hyperlink" Target="http://www.sec.gov/Archives/edgar/data/46195/000110465905062392/a05-22324_1ex10d1.htm" TargetMode="External"/><Relationship Id="rId56" Type="http://schemas.openxmlformats.org/officeDocument/2006/relationships/hyperlink" Target="http://www.sec.gov/Archives/edgar/data/46195/000104746906002592/a2167652zex-10_7.htm" TargetMode="External"/><Relationship Id="rId57" Type="http://schemas.openxmlformats.org/officeDocument/2006/relationships/hyperlink" Target="http://www.sec.gov/Archives/edgar/data/46195/000104746906002592/a2167652zex-10_8.htm" TargetMode="External"/><Relationship Id="rId58" Type="http://schemas.openxmlformats.org/officeDocument/2006/relationships/hyperlink" Target="http://www.sec.gov/Archives/edgar/data/46195/000104746905006918/a2152883zdef14a.htm" TargetMode="External"/><Relationship Id="rId59" Type="http://schemas.openxmlformats.org/officeDocument/2006/relationships/hyperlink" Target="http://www.sec.gov/Archives/edgar/data/46195/000104746904008376/a2130590zdef14a.htm" TargetMode="External"/><Relationship Id="rId60" Type="http://schemas.openxmlformats.org/officeDocument/2006/relationships/hyperlink" Target="http://www.sec.gov/Archives/edgar/data/46195/000104746908001671/a2182848zex-10_13.htm" TargetMode="External"/><Relationship Id="rId61" Type="http://schemas.openxmlformats.org/officeDocument/2006/relationships/hyperlink" Target="http://www.sec.gov/Archives/edgar/data/46195/000104746908001671/a2182848zex-10_16.htm" TargetMode="External"/><Relationship Id="rId62" Type="http://schemas.openxmlformats.org/officeDocument/2006/relationships/hyperlink" Target="http://www.sec.gov/Archives/edgar/data/46195/000110465908048064/a08-20192_1ex10d1.htm" TargetMode="External"/><Relationship Id="rId63" Type="http://schemas.openxmlformats.org/officeDocument/2006/relationships/hyperlink" Target="http://www.sec.gov/Archives/edgar/data/46195/000110465909070586/a09-35596_1ex10d1.htm" TargetMode="External"/><Relationship Id="rId64" Type="http://schemas.openxmlformats.org/officeDocument/2006/relationships/hyperlink" Target="http://www.sec.gov/Archives/edgar/data/46195/000110465910039479/a10-14620_1ex10d1.htm" TargetMode="External"/><Relationship Id="rId65" Type="http://schemas.openxmlformats.org/officeDocument/2006/relationships/hyperlink" Target="http://www.sec.gov/Archives/edgar/data/46195/000110465911065787/a11-30336_18k.htm" TargetMode="External"/><Relationship Id="rId66" Type="http://schemas.openxmlformats.org/officeDocument/2006/relationships/hyperlink" Target="http://www.sec.gov/Archives/edgar/data/46195/000110465912003333/a12-3250_1ex10d3.htm" TargetMode="External"/><Relationship Id="rId67" Type="http://schemas.openxmlformats.org/officeDocument/2006/relationships/hyperlink" Target="http://www.sec.gov/Archives/edgar/data/46195/000110465912003333/a12-3250_1ex10d4.htm" TargetMode="External"/><Relationship Id="rId68" Type="http://schemas.openxmlformats.org/officeDocument/2006/relationships/hyperlink" Target="http://www.sec.gov/Archives/edgar/data/46195/000004619514000006/ex101rsg8k012914.htm" TargetMode="External"/><Relationship Id="rId69" Type="http://schemas.openxmlformats.org/officeDocument/2006/relationships/hyperlink" Target="http://www.sec.gov/Archives/edgar/data/46195/000004619514000006/ex102rsg8k012914.htm" TargetMode="External"/><Relationship Id="rId70" Type="http://schemas.openxmlformats.org/officeDocument/2006/relationships/hyperlink" Target="http://www.sec.gov/Archives/edgar/data/46195/000004619514000006/ex103rsg8k012914.htm" TargetMode="External"/><Relationship Id="rId71" Type="http://schemas.openxmlformats.org/officeDocument/2006/relationships/hyperlink" Target="http://www.sec.gov/Archives/edgar/data/46195/000004619514000006/ex104rsg8k012914.htm" TargetMode="External"/><Relationship Id="rId72" Type="http://schemas.openxmlformats.org/officeDocument/2006/relationships/hyperlink" Target="http://www.sec.gov/Archives/edgar/data/46195/000004619514000006/ex105specincenagmt8k012914.htm" TargetMode="External"/><Relationship Id="rId73" Type="http://schemas.openxmlformats.org/officeDocument/2006/relationships/hyperlink" Target="http://www.sec.gov/Archives/edgar/data/46195/000004619514000015/a2014proxy.htm#sB9F8950F80B45B32866B4F034B511F59" TargetMode="External"/><Relationship Id="rId74" Type="http://schemas.openxmlformats.org/officeDocument/2006/relationships/hyperlink" Target="http://www.sec.gov/Archives/edgar/data/46195/000004619515000006/ex101rsg8k012815.htm" TargetMode="External"/><Relationship Id="rId75" Type="http://schemas.openxmlformats.org/officeDocument/2006/relationships/hyperlink" Target="http://www.sec.gov/Archives/edgar/data/46195/000004619515000006/ex102rsu8k012815.htm" TargetMode="External"/><Relationship Id="rId76" Type="http://schemas.openxmlformats.org/officeDocument/2006/relationships/hyperlink" Target="http://www.sec.gov/Archives/edgar/data/46195/000004619515000021/a2015proxydraft_031315.htm#sf27a2029fbda4791b82ad014eb5bc2e8" TargetMode="External"/><Relationship Id="rId77" Type="http://schemas.openxmlformats.org/officeDocument/2006/relationships/hyperlink" Target="http://www.sec.gov/Archives/edgar/data/46195/000004619516000109/boh10k12312015exh1030.htm" TargetMode="External"/><Relationship Id="rId78" Type="http://schemas.openxmlformats.org/officeDocument/2006/relationships/hyperlink" Target="http://www.sec.gov/Archives/edgar/data/46195/000004619516000109/boh10k12312015exh1031.htm" TargetMode="External"/><Relationship Id="rId79" Type="http://schemas.openxmlformats.org/officeDocument/2006/relationships/hyperlink" Target="http://www.sec.gov/Archives/edgar/data/46195/000004619516000145/boh_20160630xex101.htm" TargetMode="External"/><Relationship Id="rId80" Type="http://schemas.openxmlformats.org/officeDocument/2006/relationships/hyperlink" Target="http://www.sec.gov/Archives/edgar/data/46195/000004619516000145/boh_20160630xex102.htm" TargetMode="External"/><Relationship Id="rId81" Type="http://schemas.openxmlformats.org/officeDocument/2006/relationships/hyperlink" Target="http://www.sec.gov/Archives/edgar/data/46195/000004619517000011/a8kitem502e_exhibit101rsgx.htm" TargetMode="External"/><Relationship Id="rId82" Type="http://schemas.openxmlformats.org/officeDocument/2006/relationships/hyperlink" Target="http://www.sec.gov/Archives/edgar/data/46195/000004619517000017/a2017proxy_031717.htm#s5c9b5aaeaf0d47ec9537cc873d00653f" TargetMode="External"/><Relationship Id="rId83" Type="http://schemas.openxmlformats.org/officeDocument/2006/relationships/hyperlink" Target="http://www.sec.gov/Archives/edgar/data/46195/000004619518000012/a8kitem502e_exhibit101rsgx.htm" TargetMode="External"/><Relationship Id="rId84" Type="http://schemas.openxmlformats.org/officeDocument/2006/relationships/hyperlink" Target="http://www.sec.gov/Archives/edgar/data/46195/000004619519000007/a8kitem502e_exhibit101rsg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2020-03-02T16:30:48Z</dcterms:created>
  <dcterms:modified xsi:type="dcterms:W3CDTF">2020-03-02T16:30:48Z</dcterms:modified>
</cp:coreProperties>
</file>