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542925</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568325</wp:posOffset>
            </wp:positionV>
            <wp:extent cx="70034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73" w:lineRule="exact"/>
        <w:rPr>
          <w:sz w:val="24"/>
          <w:szCs w:val="24"/>
          <w:color w:val="auto"/>
        </w:rPr>
      </w:pPr>
    </w:p>
    <w:p>
      <w:pPr>
        <w:ind w:left="460" w:right="480" w:hanging="434"/>
        <w:spacing w:after="0" w:line="286" w:lineRule="auto"/>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0" w:lineRule="exact"/>
        <w:rPr>
          <w:sz w:val="24"/>
          <w:szCs w:val="24"/>
          <w:color w:val="auto"/>
        </w:rPr>
      </w:pPr>
    </w:p>
    <w:p>
      <w:pPr>
        <w:ind w:left="460" w:hanging="434"/>
        <w:spacing w:after="0"/>
        <w:tabs>
          <w:tab w:leader="none" w:pos="4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 to</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1-6887</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BANK OF HAWAII CORPORATION</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ind w:left="240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40" w:type="dxa"/>
            <w:vAlign w:val="bottom"/>
          </w:tcPr>
          <w:p>
            <w:pPr>
              <w:jc w:val="right"/>
              <w:ind w:right="2280"/>
              <w:spacing w:after="0"/>
              <w:rPr>
                <w:sz w:val="20"/>
                <w:szCs w:val="20"/>
                <w:color w:val="auto"/>
              </w:rPr>
            </w:pPr>
            <w:r>
              <w:rPr>
                <w:rFonts w:ascii="Times New Roman" w:cs="Times New Roman" w:eastAsia="Times New Roman" w:hAnsi="Times New Roman"/>
                <w:sz w:val="16"/>
                <w:szCs w:val="16"/>
                <w:b w:val="1"/>
                <w:bCs w:val="1"/>
                <w:color w:val="auto"/>
              </w:rPr>
              <w:t>99-0148992</w:t>
            </w:r>
          </w:p>
        </w:tc>
        <w:tc>
          <w:tcPr>
            <w:tcW w:w="0" w:type="dxa"/>
            <w:vAlign w:val="bottom"/>
          </w:tcPr>
          <w:p>
            <w:pPr>
              <w:spacing w:after="0"/>
              <w:rPr>
                <w:sz w:val="1"/>
                <w:szCs w:val="1"/>
                <w:color w:val="auto"/>
              </w:rPr>
            </w:pPr>
          </w:p>
        </w:tc>
      </w:tr>
      <w:tr>
        <w:trPr>
          <w:trHeight w:val="243"/>
        </w:trPr>
        <w:tc>
          <w:tcPr>
            <w:tcW w:w="378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(State of incorporation)</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351"/>
        </w:trPr>
        <w:tc>
          <w:tcPr>
            <w:tcW w:w="378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130 Merchant Street</w:t>
            </w:r>
          </w:p>
        </w:tc>
        <w:tc>
          <w:tcPr>
            <w:tcW w:w="1260" w:type="dxa"/>
            <w:vAlign w:val="bottom"/>
          </w:tcPr>
          <w:p>
            <w:pPr>
              <w:jc w:val="center"/>
              <w:ind w:right="502"/>
              <w:spacing w:after="0"/>
              <w:rPr>
                <w:sz w:val="20"/>
                <w:szCs w:val="20"/>
                <w:color w:val="auto"/>
              </w:rPr>
            </w:pPr>
            <w:r>
              <w:rPr>
                <w:rFonts w:ascii="Times New Roman" w:cs="Times New Roman" w:eastAsia="Times New Roman" w:hAnsi="Times New Roman"/>
                <w:sz w:val="16"/>
                <w:szCs w:val="16"/>
                <w:b w:val="1"/>
                <w:bCs w:val="1"/>
                <w:color w:val="auto"/>
                <w:w w:val="99"/>
              </w:rPr>
              <w:t>Honolulu</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40" w:type="dxa"/>
            <w:vAlign w:val="bottom"/>
            <w:gridSpan w:val="2"/>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Hawaii</w:t>
            </w:r>
          </w:p>
        </w:tc>
        <w:tc>
          <w:tcPr>
            <w:tcW w:w="3640" w:type="dxa"/>
            <w:vAlign w:val="bottom"/>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96813</w:t>
            </w:r>
          </w:p>
        </w:tc>
        <w:tc>
          <w:tcPr>
            <w:tcW w:w="0" w:type="dxa"/>
            <w:vAlign w:val="bottom"/>
          </w:tcPr>
          <w:p>
            <w:pPr>
              <w:spacing w:after="0"/>
              <w:rPr>
                <w:sz w:val="1"/>
                <w:szCs w:val="1"/>
                <w:color w:val="auto"/>
              </w:rPr>
            </w:pPr>
          </w:p>
        </w:tc>
      </w:tr>
      <w:tr>
        <w:trPr>
          <w:trHeight w:val="212"/>
        </w:trPr>
        <w:tc>
          <w:tcPr>
            <w:tcW w:w="3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260" w:type="dxa"/>
            <w:vAlign w:val="bottom"/>
          </w:tcPr>
          <w:p>
            <w:pPr>
              <w:jc w:val="center"/>
              <w:ind w:right="482"/>
              <w:spacing w:after="0"/>
              <w:rPr>
                <w:sz w:val="20"/>
                <w:szCs w:val="20"/>
                <w:color w:val="auto"/>
              </w:rPr>
            </w:pPr>
            <w:r>
              <w:rPr>
                <w:rFonts w:ascii="Times New Roman" w:cs="Times New Roman" w:eastAsia="Times New Roman" w:hAnsi="Times New Roman"/>
                <w:sz w:val="14"/>
                <w:szCs w:val="14"/>
                <w:color w:val="auto"/>
              </w:rPr>
              <w:t>(City)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gridSpan w:val="2"/>
          </w:tcPr>
          <w:p>
            <w:pPr>
              <w:jc w:val="center"/>
              <w:ind w:right="159"/>
              <w:spacing w:after="0"/>
              <w:rPr>
                <w:sz w:val="20"/>
                <w:szCs w:val="20"/>
                <w:color w:val="auto"/>
              </w:rPr>
            </w:pPr>
            <w:r>
              <w:rPr>
                <w:rFonts w:ascii="Times New Roman" w:cs="Times New Roman" w:eastAsia="Times New Roman" w:hAnsi="Times New Roman"/>
                <w:sz w:val="14"/>
                <w:szCs w:val="14"/>
                <w:color w:val="auto"/>
              </w:rPr>
              <w:t>(State)</w:t>
            </w:r>
          </w:p>
        </w:tc>
        <w:tc>
          <w:tcPr>
            <w:tcW w:w="3640" w:type="dxa"/>
            <w:vAlign w:val="bottom"/>
          </w:tcPr>
          <w:p>
            <w:pPr>
              <w:jc w:val="center"/>
              <w:ind w:left="88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34"/>
        </w:trPr>
        <w:tc>
          <w:tcPr>
            <w:tcW w:w="3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gridSpan w:val="3"/>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1-</w:t>
            </w:r>
            <w:r>
              <w:rPr>
                <w:rFonts w:ascii="Times New Roman" w:cs="Times New Roman" w:eastAsia="Times New Roman" w:hAnsi="Times New Roman"/>
                <w:sz w:val="17"/>
                <w:szCs w:val="17"/>
                <w:b w:val="1"/>
                <w:bCs w:val="1"/>
                <w:color w:val="auto"/>
              </w:rPr>
              <w:t>888</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7"/>
                <w:szCs w:val="17"/>
                <w:b w:val="1"/>
                <w:bCs w:val="1"/>
                <w:color w:val="auto"/>
              </w:rPr>
              <w:t>643-3888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20" w:type="dxa"/>
            <w:vAlign w:val="bottom"/>
            <w:gridSpan w:val="6"/>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6"/>
                <w:szCs w:val="16"/>
                <w:color w:val="auto"/>
              </w:rPr>
              <w:t>Title of each class</w:t>
            </w:r>
          </w:p>
        </w:tc>
        <w:tc>
          <w:tcPr>
            <w:tcW w:w="1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100" w:type="dxa"/>
            <w:vAlign w:val="bottom"/>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jc w:val="center"/>
              <w:ind w:right="56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3"/>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BOH</w:t>
            </w:r>
          </w:p>
        </w:tc>
        <w:tc>
          <w:tcPr>
            <w:tcW w:w="36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20"/>
        </w:trPr>
        <w:tc>
          <w:tcPr>
            <w:tcW w:w="504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6"/>
                <w:szCs w:val="16"/>
                <w:b w:val="1"/>
                <w:bCs w:val="1"/>
                <w:color w:val="auto"/>
              </w:rPr>
              <w:t>Depository Shares, Each Representing 1/40</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Interest in a Share of</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80" w:type="dxa"/>
            <w:vAlign w:val="bottom"/>
            <w:gridSpan w:val="3"/>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w w:val="99"/>
              </w:rPr>
              <w:t>BOH.PRA</w:t>
            </w:r>
          </w:p>
        </w:tc>
        <w:tc>
          <w:tcPr>
            <w:tcW w:w="36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1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4.375% Fixed Rate Non-Cumulative Perpetual Preferred Stock, Series 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040" w:type="dxa"/>
            <w:vAlign w:val="bottom"/>
            <w:gridSpan w:val="2"/>
          </w:tcPr>
          <w:p>
            <w:pPr>
              <w:ind w:left="20"/>
              <w:spacing w:after="0" w:line="233" w:lineRule="exact"/>
              <w:rPr>
                <w:sz w:val="20"/>
                <w:szCs w:val="20"/>
                <w:color w:val="auto"/>
              </w:rPr>
            </w:pPr>
            <w:r>
              <w:rPr>
                <w:rFonts w:ascii="Times New Roman" w:cs="Times New Roman" w:eastAsia="Times New Roman" w:hAnsi="Times New Roman"/>
                <w:sz w:val="16"/>
                <w:szCs w:val="16"/>
                <w:b w:val="1"/>
                <w:bCs w:val="1"/>
                <w:color w:val="auto"/>
              </w:rPr>
              <w:t>Depository Shares, Each Representing 1/40</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6"/>
                <w:szCs w:val="16"/>
                <w:b w:val="1"/>
                <w:bCs w:val="1"/>
                <w:color w:val="auto"/>
              </w:rPr>
              <w:t xml:space="preserve"> Interest in a Share of</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3"/>
          </w:tcPr>
          <w:p>
            <w:pPr>
              <w:jc w:val="center"/>
              <w:ind w:right="659"/>
              <w:spacing w:after="0"/>
              <w:rPr>
                <w:sz w:val="20"/>
                <w:szCs w:val="20"/>
                <w:color w:val="auto"/>
              </w:rPr>
            </w:pPr>
            <w:r>
              <w:rPr>
                <w:rFonts w:ascii="Times New Roman" w:cs="Times New Roman" w:eastAsia="Times New Roman" w:hAnsi="Times New Roman"/>
                <w:sz w:val="16"/>
                <w:szCs w:val="16"/>
                <w:b w:val="1"/>
                <w:bCs w:val="1"/>
                <w:color w:val="auto"/>
              </w:rPr>
              <w:t>BOH.PRB</w:t>
            </w:r>
          </w:p>
        </w:tc>
        <w:tc>
          <w:tcPr>
            <w:tcW w:w="3640" w:type="dxa"/>
            <w:vAlign w:val="bottom"/>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c>
          <w:tcPr>
            <w:tcW w:w="0" w:type="dxa"/>
            <w:vAlign w:val="bottom"/>
          </w:tcPr>
          <w:p>
            <w:pPr>
              <w:spacing w:after="0"/>
              <w:rPr>
                <w:sz w:val="1"/>
                <w:szCs w:val="1"/>
                <w:color w:val="auto"/>
              </w:rPr>
            </w:pPr>
          </w:p>
        </w:tc>
      </w:tr>
      <w:tr>
        <w:trPr>
          <w:trHeight w:val="212"/>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8.000% Fixed Rate Non-Cumulative Perpetual Preferred Stock, Series 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tabs>
          <w:tab w:leader="none" w:pos="1000" w:val="left"/>
        </w:tabs>
        <w:rPr>
          <w:sz w:val="20"/>
          <w:szCs w:val="20"/>
          <w:color w:val="auto"/>
        </w:rPr>
      </w:pPr>
      <w:r>
        <w:rPr>
          <w:rFonts w:ascii="Times New Roman" w:cs="Times New Roman" w:eastAsia="Times New Roman" w:hAnsi="Times New Roman"/>
          <w:sz w:val="16"/>
          <w:szCs w:val="16"/>
          <w:color w:val="auto"/>
        </w:rPr>
        <w:t>days.</w:t>
      </w:r>
      <w:r>
        <w:rPr>
          <w:sz w:val="20"/>
          <w:szCs w:val="20"/>
          <w:color w:val="auto"/>
        </w:rPr>
        <w:tab/>
      </w: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w:t>
      </w:r>
    </w:p>
    <w:p>
      <w:pPr>
        <w:spacing w:after="0" w:line="8" w:lineRule="exact"/>
        <w:rPr>
          <w:sz w:val="24"/>
          <w:szCs w:val="24"/>
          <w:color w:val="auto"/>
        </w:rPr>
      </w:pPr>
    </w:p>
    <w:p>
      <w:pPr>
        <w:spacing w:after="0"/>
        <w:tabs>
          <w:tab w:leader="none" w:pos="9640" w:val="left"/>
        </w:tabs>
        <w:rPr>
          <w:sz w:val="20"/>
          <w:szCs w:val="20"/>
          <w:color w:val="auto"/>
        </w:rPr>
      </w:pPr>
      <w:r>
        <w:rPr>
          <w:rFonts w:ascii="Times New Roman" w:cs="Times New Roman" w:eastAsia="Times New Roman" w:hAnsi="Times New Roman"/>
          <w:sz w:val="16"/>
          <w:szCs w:val="16"/>
          <w:color w:val="auto"/>
        </w:rPr>
        <w:t>(§232.405 of this chapter) during the preceding 12 months (or for such shorter period that the registrant was required to submit such files).</w:t>
      </w:r>
      <w:r>
        <w:rPr>
          <w:sz w:val="20"/>
          <w:szCs w:val="20"/>
          <w:color w:val="auto"/>
        </w:rPr>
        <w:tab/>
      </w: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51"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520" w:type="dxa"/>
        <w:tblCellMar>
          <w:top w:w="0" w:type="dxa"/>
          <w:left w:w="0" w:type="dxa"/>
          <w:bottom w:w="0" w:type="dxa"/>
          <w:right w:w="0" w:type="dxa"/>
        </w:tblCellMar>
      </w:tblPr>
      <w:tr>
        <w:trPr>
          <w:trHeight w:val="210"/>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20" w:type="dxa"/>
            <w:vAlign w:val="bottom"/>
          </w:tcPr>
          <w:p>
            <w:pPr>
              <w:ind w:left="1600"/>
              <w:spacing w:after="0"/>
              <w:rPr>
                <w:sz w:val="20"/>
                <w:szCs w:val="20"/>
                <w:color w:val="auto"/>
              </w:rPr>
            </w:pPr>
            <w:r>
              <w:rPr>
                <w:rFonts w:ascii="Wingdings" w:cs="Wingdings" w:eastAsia="Wingdings" w:hAnsi="Wingdings"/>
                <w:sz w:val="16"/>
                <w:szCs w:val="16"/>
                <w:b w:val="1"/>
                <w:bCs w:val="1"/>
                <w:color w:val="auto"/>
              </w:rPr>
              <w:t>x</w:t>
            </w:r>
          </w:p>
        </w:tc>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Accelerated filer</w:t>
            </w:r>
          </w:p>
        </w:tc>
        <w:tc>
          <w:tcPr>
            <w:tcW w:w="1600" w:type="dxa"/>
            <w:vAlign w:val="bottom"/>
          </w:tcPr>
          <w:p>
            <w:pPr>
              <w:ind w:left="1460"/>
              <w:spacing w:after="0"/>
              <w:rPr>
                <w:sz w:val="20"/>
                <w:szCs w:val="20"/>
                <w:color w:val="auto"/>
              </w:rPr>
            </w:pPr>
            <w:r>
              <w:rPr>
                <w:rFonts w:ascii="Wingdings" w:cs="Wingdings" w:eastAsia="Wingdings" w:hAnsi="Wingdings"/>
                <w:sz w:val="16"/>
                <w:szCs w:val="16"/>
                <w:b w:val="1"/>
                <w:bCs w:val="1"/>
                <w:color w:val="auto"/>
                <w:w w:val="83"/>
              </w:rPr>
              <w:t>o</w:t>
            </w:r>
          </w:p>
        </w:tc>
      </w:tr>
      <w:tr>
        <w:trPr>
          <w:trHeight w:val="243"/>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20" w:type="dxa"/>
            <w:vAlign w:val="bottom"/>
          </w:tcPr>
          <w:p>
            <w:pPr>
              <w:ind w:left="1600"/>
              <w:spacing w:after="0"/>
              <w:rPr>
                <w:sz w:val="20"/>
                <w:szCs w:val="20"/>
                <w:color w:val="auto"/>
              </w:rPr>
            </w:pPr>
            <w:r>
              <w:rPr>
                <w:rFonts w:ascii="Wingdings" w:cs="Wingdings" w:eastAsia="Wingdings" w:hAnsi="Wingdings"/>
                <w:sz w:val="16"/>
                <w:szCs w:val="16"/>
                <w:b w:val="1"/>
                <w:bCs w:val="1"/>
                <w:color w:val="auto"/>
              </w:rPr>
              <w:t>o</w:t>
            </w:r>
          </w:p>
        </w:tc>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00" w:type="dxa"/>
            <w:vAlign w:val="bottom"/>
          </w:tcPr>
          <w:p>
            <w:pPr>
              <w:ind w:left="1460"/>
              <w:spacing w:after="0"/>
              <w:rPr>
                <w:sz w:val="20"/>
                <w:szCs w:val="20"/>
                <w:color w:val="auto"/>
              </w:rPr>
            </w:pPr>
            <w:r>
              <w:rPr>
                <w:rFonts w:ascii="Wingdings" w:cs="Wingdings" w:eastAsia="Wingdings" w:hAnsi="Wingdings"/>
                <w:sz w:val="16"/>
                <w:szCs w:val="16"/>
                <w:b w:val="1"/>
                <w:bCs w:val="1"/>
                <w:color w:val="auto"/>
                <w:w w:val="83"/>
              </w:rPr>
              <w:t>o</w:t>
            </w:r>
          </w:p>
        </w:tc>
      </w:tr>
      <w:tr>
        <w:trPr>
          <w:trHeight w:val="243"/>
        </w:trPr>
        <w:tc>
          <w:tcPr>
            <w:tcW w:w="30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3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600" w:type="dxa"/>
            <w:vAlign w:val="bottom"/>
          </w:tcPr>
          <w:p>
            <w:pPr>
              <w:ind w:left="146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00" w:lineRule="exact"/>
        <w:rPr>
          <w:sz w:val="24"/>
          <w:szCs w:val="24"/>
          <w:color w:val="auto"/>
        </w:rPr>
      </w:pPr>
    </w:p>
    <w:p>
      <w:pPr>
        <w:ind w:right="580"/>
        <w:spacing w:after="0" w:line="25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spacing w:after="0"/>
        <w:tabs>
          <w:tab w:leader="none" w:pos="75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October 21, 2025, there were 39,785,092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830580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0034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70034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Bank of Hawaii Corporation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38"/>
        </w:trPr>
        <w:tc>
          <w:tcPr>
            <w:tcW w:w="20" w:type="dxa"/>
            <w:vAlign w:val="bottom"/>
          </w:tcPr>
          <w:p>
            <w:pPr>
              <w:spacing w:after="0"/>
              <w:rPr>
                <w:sz w:val="24"/>
                <w:szCs w:val="24"/>
                <w:color w:val="auto"/>
              </w:rPr>
            </w:pPr>
          </w:p>
        </w:tc>
        <w:tc>
          <w:tcPr>
            <w:tcW w:w="2320" w:type="dxa"/>
            <w:vAlign w:val="bottom"/>
            <w:tcBorders>
              <w:bottom w:val="single" w:sz="8" w:color="0E32E1"/>
            </w:tcBorders>
            <w:gridSpan w:val="5"/>
          </w:tcPr>
          <w:p>
            <w:pPr>
              <w:spacing w:after="0"/>
              <w:rPr>
                <w:sz w:val="20"/>
                <w:szCs w:val="20"/>
                <w:color w:val="auto"/>
              </w:rPr>
            </w:pPr>
            <w:r>
              <w:rPr>
                <w:rFonts w:ascii="Times New Roman" w:cs="Times New Roman" w:eastAsia="Times New Roman" w:hAnsi="Times New Roman"/>
                <w:sz w:val="18"/>
                <w:szCs w:val="18"/>
                <w:b w:val="1"/>
                <w:bCs w:val="1"/>
                <w:color w:val="0E32E1"/>
                <w:w w:val="99"/>
              </w:rPr>
              <w:t>Part I - Financial Information</w:t>
            </w:r>
          </w:p>
        </w:tc>
        <w:tc>
          <w:tcPr>
            <w:tcW w:w="7580" w:type="dxa"/>
            <w:vAlign w:val="bottom"/>
            <w:gridSpan w:val="15"/>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9"/>
              </w:rPr>
              <w:t>Financial Statements (Unaudited)</w:t>
            </w:r>
          </w:p>
        </w:tc>
        <w:tc>
          <w:tcPr>
            <w:tcW w:w="6280" w:type="dxa"/>
            <w:vAlign w:val="bottom"/>
            <w:gridSpan w:val="10"/>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00" w:type="dxa"/>
            <w:vAlign w:val="bottom"/>
            <w:tcBorders>
              <w:bottom w:val="single" w:sz="8" w:color="0E32E1"/>
            </w:tcBorders>
            <w:gridSpan w:val="12"/>
          </w:tcPr>
          <w:p>
            <w:pPr>
              <w:spacing w:after="0"/>
              <w:rPr>
                <w:sz w:val="20"/>
                <w:szCs w:val="20"/>
                <w:color w:val="auto"/>
              </w:rPr>
            </w:pPr>
            <w:r>
              <w:rPr>
                <w:rFonts w:ascii="Times New Roman" w:cs="Times New Roman" w:eastAsia="Times New Roman" w:hAnsi="Times New Roman"/>
                <w:sz w:val="18"/>
                <w:szCs w:val="18"/>
                <w:color w:val="0E32E1"/>
                <w:w w:val="99"/>
              </w:rPr>
              <w:t>Consolidated Statements of Condition - September 30, 2025 and December 31, 2024</w:t>
            </w:r>
          </w:p>
        </w:tc>
        <w:tc>
          <w:tcPr>
            <w:tcW w:w="2600" w:type="dxa"/>
            <w:vAlign w:val="bottom"/>
            <w:gridSpan w:val="6"/>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40" w:type="dxa"/>
            <w:vAlign w:val="bottom"/>
            <w:tcBorders>
              <w:bottom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w w:val="99"/>
              </w:rPr>
              <w:t>Consolidated Statements of Income - Three and nine months ended September 30, 2025 and 2024</w:t>
            </w:r>
          </w:p>
        </w:tc>
        <w:tc>
          <w:tcPr>
            <w:tcW w:w="1660" w:type="dxa"/>
            <w:vAlign w:val="bottom"/>
            <w:gridSpan w:val="3"/>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0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Income - Three and nine months ended September 30, 2025 and 2024</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20" w:type="dxa"/>
            <w:vAlign w:val="bottom"/>
            <w:tcBorders>
              <w:top w:val="single" w:sz="8" w:color="0E32E1"/>
              <w:bottom w:val="single" w:sz="8" w:color="0E32E1"/>
            </w:tcBorders>
            <w:gridSpan w:val="16"/>
          </w:tcPr>
          <w:p>
            <w:pPr>
              <w:spacing w:after="0"/>
              <w:rPr>
                <w:sz w:val="20"/>
                <w:szCs w:val="20"/>
                <w:color w:val="auto"/>
              </w:rPr>
            </w:pPr>
            <w:r>
              <w:rPr>
                <w:rFonts w:ascii="Times New Roman" w:cs="Times New Roman" w:eastAsia="Times New Roman" w:hAnsi="Times New Roman"/>
                <w:sz w:val="18"/>
                <w:szCs w:val="18"/>
                <w:color w:val="0E32E1"/>
                <w:w w:val="99"/>
              </w:rPr>
              <w:t>Consolidated Statements of Shareholders’ Equity - Three and nine months ended September 30, 2025 and 2024</w:t>
            </w:r>
          </w:p>
        </w:tc>
        <w:tc>
          <w:tcPr>
            <w:tcW w:w="180" w:type="dxa"/>
            <w:vAlign w:val="bottom"/>
            <w:tcBorders>
              <w:top w:val="single" w:sz="8" w:color="0E32E1"/>
            </w:tcBorders>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20" w:type="dxa"/>
            <w:vAlign w:val="bottom"/>
            <w:tcBorders>
              <w:bottom w:val="single" w:sz="8" w:color="0E32E1"/>
            </w:tcBorders>
            <w:gridSpan w:val="14"/>
          </w:tcPr>
          <w:p>
            <w:pPr>
              <w:spacing w:after="0"/>
              <w:rPr>
                <w:sz w:val="20"/>
                <w:szCs w:val="20"/>
                <w:color w:val="auto"/>
              </w:rPr>
            </w:pPr>
            <w:r>
              <w:rPr>
                <w:rFonts w:ascii="Times New Roman" w:cs="Times New Roman" w:eastAsia="Times New Roman" w:hAnsi="Times New Roman"/>
                <w:sz w:val="18"/>
                <w:szCs w:val="18"/>
                <w:color w:val="0E32E1"/>
                <w:w w:val="99"/>
              </w:rPr>
              <w:t>Consolidated Statements of Cash Flows - Nine months ended September 30, 2025 and 2024</w:t>
            </w:r>
          </w:p>
        </w:tc>
        <w:tc>
          <w:tcPr>
            <w:tcW w:w="2080" w:type="dxa"/>
            <w:vAlign w:val="bottom"/>
            <w:gridSpan w:val="4"/>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3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0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Notes to Consolidated Financial Statements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tcBorders>
              <w:right w:val="single" w:sz="8" w:color="0E32E1"/>
            </w:tcBorders>
            <w:shd w:val="clear" w:color="auto" w:fill="0E32E1"/>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820" w:type="dxa"/>
            <w:vAlign w:val="bottom"/>
            <w:gridSpan w:val="2"/>
            <w:shd w:val="clear" w:color="auto" w:fill="0E32E1"/>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E32E1"/>
            </w:tcBorders>
            <w:gridSpan w:val="13"/>
          </w:tcPr>
          <w:p>
            <w:pPr>
              <w:spacing w:after="0"/>
              <w:rPr>
                <w:sz w:val="20"/>
                <w:szCs w:val="20"/>
                <w:color w:val="auto"/>
              </w:rPr>
            </w:pPr>
            <w:r>
              <w:rPr>
                <w:rFonts w:ascii="Times New Roman" w:cs="Times New Roman" w:eastAsia="Times New Roman" w:hAnsi="Times New Roman"/>
                <w:sz w:val="18"/>
                <w:szCs w:val="18"/>
                <w:color w:val="0E32E1"/>
                <w:w w:val="99"/>
              </w:rPr>
              <w:t>Management’s Discussion and Analysis of Financial Condition and Results of Operations</w:t>
            </w:r>
          </w:p>
        </w:tc>
        <w:tc>
          <w:tcPr>
            <w:tcW w:w="2240" w:type="dxa"/>
            <w:vAlign w:val="bottom"/>
            <w:gridSpan w:val="5"/>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w w:val="99"/>
              </w:rPr>
              <w:t>Quantitative and Qualitative Disclosures About Market Risk</w:t>
            </w:r>
          </w:p>
        </w:tc>
        <w:tc>
          <w:tcPr>
            <w:tcW w:w="4340" w:type="dxa"/>
            <w:vAlign w:val="bottom"/>
            <w:gridSpan w:val="7"/>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tcBorders>
              <w:right w:val="single" w:sz="8" w:color="0E32E1"/>
            </w:tcBorders>
            <w:shd w:val="clear" w:color="auto" w:fill="0E32E1"/>
          </w:tcPr>
          <w:p>
            <w:pPr>
              <w:spacing w:after="0" w:line="20" w:lineRule="exact"/>
              <w:rPr>
                <w:sz w:val="1"/>
                <w:szCs w:val="1"/>
                <w:color w:val="auto"/>
              </w:rPr>
            </w:pPr>
          </w:p>
        </w:tc>
        <w:tc>
          <w:tcPr>
            <w:tcW w:w="380" w:type="dxa"/>
            <w:vAlign w:val="bottom"/>
            <w:gridSpan w:val="2"/>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99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E32E1"/>
              </w:rPr>
              <w:t>Part II - Other Information</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tcBorders>
              <w:right w:val="single" w:sz="8" w:color="0E32E1"/>
            </w:tcBorders>
            <w:shd w:val="clear" w:color="auto" w:fill="0E32E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36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70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E32E1"/>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7"/>
              </w:rPr>
              <w:t>Risk Factors</w:t>
            </w:r>
          </w:p>
        </w:tc>
        <w:tc>
          <w:tcPr>
            <w:tcW w:w="400" w:type="dxa"/>
            <w:vAlign w:val="bottom"/>
            <w:tcBorders>
              <w:top w:val="single" w:sz="8" w:color="0E32E1"/>
            </w:tcBorders>
            <w:gridSpan w:val="3"/>
          </w:tcPr>
          <w:p>
            <w:pPr>
              <w:spacing w:after="0"/>
              <w:rPr>
                <w:sz w:val="24"/>
                <w:szCs w:val="24"/>
                <w:color w:val="auto"/>
              </w:rPr>
            </w:pPr>
          </w:p>
        </w:tc>
        <w:tc>
          <w:tcPr>
            <w:tcW w:w="7380" w:type="dxa"/>
            <w:vAlign w:val="bottom"/>
            <w:gridSpan w:val="13"/>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0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Unregistered Sales of Equity Securities and Use of Proceeds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E32E1"/>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8"/>
              </w:rPr>
              <w:t>Defaults Upon Senior Securities</w:t>
            </w:r>
          </w:p>
        </w:tc>
        <w:tc>
          <w:tcPr>
            <w:tcW w:w="2020" w:type="dxa"/>
            <w:vAlign w:val="bottom"/>
            <w:tcBorders>
              <w:top w:val="single" w:sz="8" w:color="0E32E1"/>
            </w:tcBorders>
            <w:gridSpan w:val="3"/>
          </w:tcPr>
          <w:p>
            <w:pPr>
              <w:spacing w:after="0"/>
              <w:rPr>
                <w:sz w:val="24"/>
                <w:szCs w:val="24"/>
                <w:color w:val="auto"/>
              </w:rPr>
            </w:pPr>
          </w:p>
        </w:tc>
        <w:tc>
          <w:tcPr>
            <w:tcW w:w="4360" w:type="dxa"/>
            <w:vAlign w:val="bottom"/>
            <w:gridSpan w:val="8"/>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18"/>
          </w:tcPr>
          <w:p>
            <w:pPr>
              <w:spacing w:after="0"/>
              <w:rPr>
                <w:sz w:val="20"/>
                <w:szCs w:val="20"/>
                <w:color w:val="auto"/>
              </w:rPr>
            </w:pPr>
            <w:r>
              <w:rPr>
                <w:rFonts w:ascii="Times New Roman" w:cs="Times New Roman" w:eastAsia="Times New Roman" w:hAnsi="Times New Roman"/>
                <w:sz w:val="18"/>
                <w:szCs w:val="18"/>
                <w:color w:val="0E32E1"/>
              </w:rPr>
              <w:t>Mine Safety Disclosures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6940" w:type="dxa"/>
            <w:vAlign w:val="bottom"/>
            <w:gridSpan w:val="12"/>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rPr>
              <w:t>Exhibits</w:t>
            </w:r>
          </w:p>
        </w:tc>
        <w:tc>
          <w:tcPr>
            <w:tcW w:w="7400" w:type="dxa"/>
            <w:vAlign w:val="bottom"/>
            <w:gridSpan w:val="14"/>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358"/>
        </w:trPr>
        <w:tc>
          <w:tcPr>
            <w:tcW w:w="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600" w:type="dxa"/>
            <w:vAlign w:val="bottom"/>
            <w:tcBorders>
              <w:top w:val="single" w:sz="8" w:color="0E32E1"/>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763"/>
        </w:trPr>
        <w:tc>
          <w:tcPr>
            <w:tcW w:w="20" w:type="dxa"/>
            <w:vAlign w:val="bottom"/>
          </w:tcPr>
          <w:p>
            <w:pPr>
              <w:spacing w:after="0"/>
              <w:rPr>
                <w:sz w:val="24"/>
                <w:szCs w:val="24"/>
                <w:color w:val="auto"/>
              </w:rPr>
            </w:pPr>
          </w:p>
        </w:tc>
        <w:tc>
          <w:tcPr>
            <w:tcW w:w="760" w:type="dxa"/>
            <w:vAlign w:val="bottom"/>
            <w:tcBorders>
              <w:top w:val="single" w:sz="8" w:color="0E32E1"/>
            </w:tcBorders>
          </w:tcPr>
          <w:p>
            <w:pPr>
              <w:spacing w:after="0"/>
              <w:rPr>
                <w:sz w:val="24"/>
                <w:szCs w:val="24"/>
                <w:color w:val="auto"/>
              </w:rPr>
            </w:pPr>
          </w:p>
        </w:tc>
        <w:tc>
          <w:tcPr>
            <w:tcW w:w="440" w:type="dxa"/>
            <w:vAlign w:val="bottom"/>
          </w:tcPr>
          <w:p>
            <w:pPr>
              <w:spacing w:after="0"/>
              <w:rPr>
                <w:sz w:val="24"/>
                <w:szCs w:val="24"/>
                <w:color w:val="auto"/>
              </w:rPr>
            </w:pPr>
          </w:p>
        </w:tc>
        <w:tc>
          <w:tcPr>
            <w:tcW w:w="6100" w:type="dxa"/>
            <w:vAlign w:val="bottom"/>
            <w:gridSpan w:val="12"/>
          </w:tcPr>
          <w:p>
            <w:pPr>
              <w:ind w:left="436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4"/>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Condition</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9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420" w:type="dxa"/>
            <w:vAlign w:val="bottom"/>
          </w:tcPr>
          <w:p>
            <w:pPr>
              <w:spacing w:after="0"/>
              <w:rPr>
                <w:sz w:val="16"/>
                <w:szCs w:val="16"/>
                <w:color w:val="auto"/>
              </w:rPr>
            </w:pPr>
          </w:p>
        </w:tc>
        <w:tc>
          <w:tcPr>
            <w:tcW w:w="17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16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985,223</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763,571</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193"/>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Available-for-Sale</w:t>
            </w:r>
          </w:p>
        </w:tc>
        <w:tc>
          <w:tcPr>
            <w:tcW w:w="420" w:type="dxa"/>
            <w:vAlign w:val="bottom"/>
          </w:tcPr>
          <w:p>
            <w:pPr>
              <w:spacing w:after="0"/>
              <w:rPr>
                <w:sz w:val="16"/>
                <w:szCs w:val="16"/>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3,280,410</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2,689,528</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Held-to-Maturity (Fair Value of $3,717,573 and $3,820,882)</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4,340,032</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4,618,543</w:t>
            </w: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420" w:type="dxa"/>
            <w:vAlign w:val="bottom"/>
          </w:tcPr>
          <w:p>
            <w:pPr>
              <w:spacing w:after="0"/>
              <w:rPr>
                <w:sz w:val="16"/>
                <w:szCs w:val="16"/>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1,236</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and Leases</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14,021,579</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14,075,980</w:t>
            </w:r>
          </w:p>
        </w:tc>
      </w:tr>
      <w:tr>
        <w:trPr>
          <w:trHeight w:val="193"/>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420" w:type="dxa"/>
            <w:vAlign w:val="bottom"/>
          </w:tcPr>
          <w:p>
            <w:pPr>
              <w:spacing w:after="0"/>
              <w:rPr>
                <w:sz w:val="16"/>
                <w:szCs w:val="16"/>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(148,778)</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(148,528)</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8"/>
        </w:trPr>
        <w:tc>
          <w:tcPr>
            <w:tcW w:w="7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Loans and Leases</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13,872,801</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13,927,452</w:t>
            </w:r>
          </w:p>
        </w:tc>
      </w:tr>
      <w:tr>
        <w:trPr>
          <w:trHeight w:val="186"/>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4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196,093</w:t>
            </w: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184,480</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82,804</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80,165</w:t>
            </w: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420" w:type="dxa"/>
            <w:vAlign w:val="bottom"/>
          </w:tcPr>
          <w:p>
            <w:pPr>
              <w:spacing w:after="0"/>
              <w:rPr>
                <w:sz w:val="16"/>
                <w:szCs w:val="16"/>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69,224</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66,367</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17,927</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19,199</w:t>
            </w: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420" w:type="dxa"/>
            <w:vAlign w:val="bottom"/>
          </w:tcPr>
          <w:p>
            <w:pPr>
              <w:spacing w:after="0"/>
              <w:rPr>
                <w:sz w:val="16"/>
                <w:szCs w:val="16"/>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31,517</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31,517</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494,041</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481,184</w:t>
            </w: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420" w:type="dxa"/>
            <w:vAlign w:val="bottom"/>
          </w:tcPr>
          <w:p>
            <w:pPr>
              <w:spacing w:after="0"/>
              <w:rPr>
                <w:sz w:val="16"/>
                <w:szCs w:val="16"/>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643,301</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736,958</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24,014,609</w:t>
            </w:r>
          </w:p>
        </w:tc>
        <w:tc>
          <w:tcPr>
            <w:tcW w:w="2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23,601,114</w:t>
            </w:r>
          </w:p>
        </w:tc>
      </w:tr>
      <w:tr>
        <w:trPr>
          <w:trHeight w:val="20"/>
        </w:trPr>
        <w:tc>
          <w:tcPr>
            <w:tcW w:w="7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193"/>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Noninterest-Bearing Demand</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5,400,943</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5,423,562</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Interest-Bearing Demand</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3,813,921</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3,784,984</w:t>
            </w:r>
          </w:p>
        </w:tc>
      </w:tr>
      <w:tr>
        <w:trPr>
          <w:trHeight w:val="193"/>
        </w:trPr>
        <w:tc>
          <w:tcPr>
            <w:tcW w:w="71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Savings</w:t>
            </w:r>
          </w:p>
        </w:tc>
        <w:tc>
          <w:tcPr>
            <w:tcW w:w="420" w:type="dxa"/>
            <w:vAlign w:val="bottom"/>
          </w:tcPr>
          <w:p>
            <w:pPr>
              <w:spacing w:after="0"/>
              <w:rPr>
                <w:sz w:val="16"/>
                <w:szCs w:val="16"/>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8,814,451</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8,364,916</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35"/>
        </w:trPr>
        <w:tc>
          <w:tcPr>
            <w:tcW w:w="7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Time</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3,051,354</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3,059,575</w:t>
            </w:r>
          </w:p>
        </w:tc>
      </w:tr>
      <w:tr>
        <w:trPr>
          <w:trHeight w:val="186"/>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Deposits</w:t>
            </w:r>
          </w:p>
        </w:tc>
        <w:tc>
          <w:tcPr>
            <w:tcW w:w="4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21,080,669</w:t>
            </w: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20,633,037</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3"/>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4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50,000</w:t>
            </w:r>
          </w:p>
        </w:tc>
        <w:tc>
          <w:tcPr>
            <w:tcW w:w="28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Debt</w:t>
            </w:r>
          </w:p>
        </w:tc>
        <w:tc>
          <w:tcPr>
            <w:tcW w:w="420" w:type="dxa"/>
            <w:vAlign w:val="bottom"/>
          </w:tcPr>
          <w:p>
            <w:pPr>
              <w:spacing w:after="0"/>
              <w:rPr>
                <w:sz w:val="16"/>
                <w:szCs w:val="16"/>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558,201</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558,274</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91,690</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88,794</w:t>
            </w: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Retirement Benefits Payable</w:t>
            </w:r>
          </w:p>
        </w:tc>
        <w:tc>
          <w:tcPr>
            <w:tcW w:w="420" w:type="dxa"/>
            <w:vAlign w:val="bottom"/>
          </w:tcPr>
          <w:p>
            <w:pPr>
              <w:spacing w:after="0"/>
              <w:rPr>
                <w:sz w:val="16"/>
                <w:szCs w:val="16"/>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23,352</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23,760</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Payable</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27,580</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34,799</w:t>
            </w: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420" w:type="dxa"/>
            <w:vAlign w:val="bottom"/>
          </w:tcPr>
          <w:p>
            <w:pPr>
              <w:spacing w:after="0"/>
              <w:rPr>
                <w:sz w:val="16"/>
                <w:szCs w:val="16"/>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391,934</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494,676</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22,223,426</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21,933,340</w:t>
            </w:r>
          </w:p>
        </w:tc>
      </w:tr>
      <w:tr>
        <w:trPr>
          <w:trHeight w:val="186"/>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11)</w:t>
            </w:r>
          </w:p>
        </w:tc>
        <w:tc>
          <w:tcPr>
            <w:tcW w:w="4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(Series A, $.01 par value; authorized 180,000 shares issued and outstanding)</w:t>
            </w:r>
          </w:p>
        </w:tc>
        <w:tc>
          <w:tcPr>
            <w:tcW w:w="420" w:type="dxa"/>
            <w:vAlign w:val="bottom"/>
          </w:tcPr>
          <w:p>
            <w:pPr>
              <w:spacing w:after="0"/>
              <w:rPr>
                <w:sz w:val="16"/>
                <w:szCs w:val="16"/>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180,000</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(Series B, $.01 par value; authorized 165,000 shares issued and outstanding)</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165,000</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r>
      <w:tr>
        <w:trPr>
          <w:trHeight w:val="180"/>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($.01 par value; authorized 500,000,000 shares; issued / outstanding: September 30, 2025 - 58,779,666 /</w:t>
            </w:r>
          </w:p>
        </w:tc>
        <w:tc>
          <w:tcPr>
            <w:tcW w:w="4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8"/>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39,785,201); and December 31, 2024 - 58,765,907 / 39,762,255)</w:t>
            </w:r>
          </w:p>
        </w:tc>
        <w:tc>
          <w:tcPr>
            <w:tcW w:w="420" w:type="dxa"/>
            <w:vAlign w:val="bottom"/>
          </w:tcPr>
          <w:p>
            <w:pPr>
              <w:spacing w:after="0"/>
              <w:rPr>
                <w:sz w:val="16"/>
                <w:szCs w:val="16"/>
                <w:color w:val="auto"/>
              </w:rPr>
            </w:pPr>
          </w:p>
        </w:tc>
        <w:tc>
          <w:tcPr>
            <w:tcW w:w="1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587</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09"/>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Capital Surplus</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659,922</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647,403</w:t>
            </w: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420" w:type="dxa"/>
            <w:vAlign w:val="bottom"/>
          </w:tcPr>
          <w:p>
            <w:pPr>
              <w:spacing w:after="0"/>
              <w:rPr>
                <w:sz w:val="16"/>
                <w:szCs w:val="16"/>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(276,251)</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(343,389)</w:t>
            </w:r>
          </w:p>
        </w:tc>
      </w:tr>
      <w:tr>
        <w:trPr>
          <w:trHeight w:val="37"/>
        </w:trPr>
        <w:tc>
          <w:tcPr>
            <w:tcW w:w="7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0"/>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4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2,178,263</w:t>
            </w:r>
          </w:p>
        </w:tc>
        <w:tc>
          <w:tcPr>
            <w:tcW w:w="28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2,133,838</w:t>
            </w:r>
          </w:p>
        </w:tc>
      </w:tr>
      <w:tr>
        <w:trPr>
          <w:trHeight w:val="193"/>
        </w:trPr>
        <w:tc>
          <w:tcPr>
            <w:tcW w:w="7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at Cost (Shares: September 30, 2025 - 18,994,465 and December 31, 2024 - 19,003,609)</w:t>
            </w:r>
          </w:p>
        </w:tc>
        <w:tc>
          <w:tcPr>
            <w:tcW w:w="420" w:type="dxa"/>
            <w:vAlign w:val="bottom"/>
          </w:tcPr>
          <w:p>
            <w:pPr>
              <w:spacing w:after="0"/>
              <w:rPr>
                <w:sz w:val="16"/>
                <w:szCs w:val="16"/>
                <w:color w:val="auto"/>
              </w:rPr>
            </w:pPr>
          </w:p>
        </w:tc>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(1,116,338)</w:t>
            </w: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(1,115,663)</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2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4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1,791,183</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1,667,774</w:t>
            </w:r>
          </w:p>
        </w:tc>
      </w:tr>
      <w:tr>
        <w:trPr>
          <w:trHeight w:val="186"/>
        </w:trPr>
        <w:tc>
          <w:tcPr>
            <w:tcW w:w="7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4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24,014,609</w:t>
            </w:r>
          </w:p>
        </w:tc>
        <w:tc>
          <w:tcPr>
            <w:tcW w:w="2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23,601,114</w:t>
            </w:r>
          </w:p>
        </w:tc>
      </w:tr>
      <w:tr>
        <w:trPr>
          <w:trHeight w:val="37"/>
        </w:trPr>
        <w:tc>
          <w:tcPr>
            <w:tcW w:w="7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0"/>
        </w:trPr>
        <w:tc>
          <w:tcPr>
            <w:tcW w:w="7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ectPr>
          <w:pgSz w:w="11900" w:h="16838" w:orient="portrait"/>
          <w:cols w:equalWidth="0" w:num="1">
            <w:col w:w="11240"/>
          </w:cols>
          <w:pgMar w:left="320" w:top="117" w:right="3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8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2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and Fees on Loans and Leases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169,411</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166,286</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499,272</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488,830</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on Investment Securities</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Available-for-Sale</w:t>
            </w:r>
          </w:p>
        </w:tc>
        <w:tc>
          <w:tcPr>
            <w:tcW w:w="22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29,702</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23,257</w:t>
            </w:r>
          </w:p>
        </w:tc>
        <w:tc>
          <w:tcPr>
            <w:tcW w:w="22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81,077</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66,482</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Held-to-Maturity</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19,332</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21,107</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59,458</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64,838</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8,195</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8,980</w:t>
            </w:r>
          </w:p>
        </w:tc>
        <w:tc>
          <w:tcPr>
            <w:tcW w:w="22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17,472</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21,276</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1,068</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1,018</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3,250</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3,108</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 Income</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227,708</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220,648</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660,529</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644,534</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22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84,590</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96,067</w:t>
            </w:r>
          </w:p>
        </w:tc>
        <w:tc>
          <w:tcPr>
            <w:tcW w:w="22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248,758</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276,665</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496</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993</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1,731</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3,616</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Debt</w:t>
            </w:r>
          </w:p>
        </w:tc>
        <w:tc>
          <w:tcPr>
            <w:tcW w:w="22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5,947</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5,970</w:t>
            </w:r>
          </w:p>
        </w:tc>
        <w:tc>
          <w:tcPr>
            <w:tcW w:w="22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17,875</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17,851</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91,033</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103,030</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268,364</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298,132</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136,675</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117,618</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392,165</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346,402</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2,500</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3,000</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9,000</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7,400</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134,175</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114,618</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383,165</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339,002</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Income</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Fees, Exchange, and Other Service Charges</w:t>
            </w:r>
          </w:p>
        </w:tc>
        <w:tc>
          <w:tcPr>
            <w:tcW w:w="22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15,219</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14,945</w:t>
            </w:r>
          </w:p>
        </w:tc>
        <w:tc>
          <w:tcPr>
            <w:tcW w:w="22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44,039</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42,837</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Trust and Asset Management</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12,598</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11,916</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36,436</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35,328</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Service Charges on Deposit Accounts</w:t>
            </w:r>
          </w:p>
        </w:tc>
        <w:tc>
          <w:tcPr>
            <w:tcW w:w="22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8,510</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8,075</w:t>
            </w:r>
          </w:p>
        </w:tc>
        <w:tc>
          <w:tcPr>
            <w:tcW w:w="22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24,888</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23,752</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3,681</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3,533</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11,006</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10,285</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Annuity and Insurance</w:t>
            </w:r>
          </w:p>
        </w:tc>
        <w:tc>
          <w:tcPr>
            <w:tcW w:w="22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1,095</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1,460</w:t>
            </w:r>
          </w:p>
        </w:tc>
        <w:tc>
          <w:tcPr>
            <w:tcW w:w="22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4,087</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4,089</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Mortgage Banking</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906</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1,188</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2,743</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3,167</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Losses, Net</w:t>
            </w:r>
          </w:p>
        </w:tc>
        <w:tc>
          <w:tcPr>
            <w:tcW w:w="22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(1,945)</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(1,103)</w:t>
            </w:r>
          </w:p>
        </w:tc>
        <w:tc>
          <w:tcPr>
            <w:tcW w:w="22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(4,678)</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(4,201)</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5,902</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5,096</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16,298</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14,225</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Noninterest Income</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45,966</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45,110</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134,819</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129,482</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Noninterest Expense</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Salaries and Benefits</w:t>
            </w:r>
          </w:p>
        </w:tc>
        <w:tc>
          <w:tcPr>
            <w:tcW w:w="22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62,905</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58,626</w:t>
            </w:r>
          </w:p>
        </w:tc>
        <w:tc>
          <w:tcPr>
            <w:tcW w:w="22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187,097</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173,874</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Occupancy</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10,932</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10,806</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31,990</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31,821</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Equipment</w:t>
            </w:r>
          </w:p>
        </w:tc>
        <w:tc>
          <w:tcPr>
            <w:tcW w:w="22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10,285</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10,120</w:t>
            </w:r>
          </w:p>
        </w:tc>
        <w:tc>
          <w:tcPr>
            <w:tcW w:w="22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30,454</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30,578</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Data Processing</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5,603</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4,712</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16,326</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14,227</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Professional Fees</w:t>
            </w:r>
          </w:p>
        </w:tc>
        <w:tc>
          <w:tcPr>
            <w:tcW w:w="22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4,022</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4,725</w:t>
            </w:r>
          </w:p>
        </w:tc>
        <w:tc>
          <w:tcPr>
            <w:tcW w:w="22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12,549</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14,331</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FDIC Insurance</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3,508</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3,355</w:t>
            </w: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8,790</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14,139</w:t>
            </w:r>
          </w:p>
        </w:tc>
        <w:tc>
          <w:tcPr>
            <w:tcW w:w="0" w:type="dxa"/>
            <w:vAlign w:val="bottom"/>
          </w:tcPr>
          <w:p>
            <w:pPr>
              <w:spacing w:after="0"/>
              <w:rPr>
                <w:sz w:val="1"/>
                <w:szCs w:val="1"/>
                <w:color w:val="auto"/>
              </w:rPr>
            </w:pPr>
          </w:p>
        </w:tc>
      </w:tr>
      <w:tr>
        <w:trPr>
          <w:trHeight w:val="193"/>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15,132</w:t>
            </w:r>
          </w:p>
        </w:tc>
        <w:tc>
          <w:tcPr>
            <w:tcW w:w="34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14,748</w:t>
            </w:r>
          </w:p>
        </w:tc>
        <w:tc>
          <w:tcPr>
            <w:tcW w:w="22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46,423</w:t>
            </w:r>
          </w:p>
        </w:tc>
        <w:tc>
          <w:tcPr>
            <w:tcW w:w="340" w:type="dxa"/>
            <w:vAlign w:val="bottom"/>
          </w:tcPr>
          <w:p>
            <w:pPr>
              <w:spacing w:after="0"/>
              <w:rPr>
                <w:sz w:val="16"/>
                <w:szCs w:val="16"/>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43,207</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Noninterest Expense</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112,387</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107,092</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333,629</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322,177</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67,754</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52,636</w:t>
            </w: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184,355</w:t>
            </w: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146,307</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14,409</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12,278</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39,388</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35,475</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53,345</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40,358</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144,967</w:t>
            </w: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110,832</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5,269</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3,436</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15,808</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7,375</w:t>
            </w:r>
          </w:p>
        </w:tc>
        <w:tc>
          <w:tcPr>
            <w:tcW w:w="0" w:type="dxa"/>
            <w:vAlign w:val="bottom"/>
          </w:tcPr>
          <w:p>
            <w:pPr>
              <w:spacing w:after="0"/>
              <w:rPr>
                <w:sz w:val="1"/>
                <w:szCs w:val="1"/>
                <w:color w:val="auto"/>
              </w:rPr>
            </w:pPr>
          </w:p>
        </w:tc>
      </w:tr>
      <w:tr>
        <w:trPr>
          <w:trHeight w:val="186"/>
        </w:trPr>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Available to Common Shareholders</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48,076</w:t>
            </w: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36,922</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129,159</w:t>
            </w: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103,457</w:t>
            </w:r>
          </w:p>
        </w:tc>
        <w:tc>
          <w:tcPr>
            <w:tcW w:w="0" w:type="dxa"/>
            <w:vAlign w:val="bottom"/>
          </w:tcPr>
          <w:p>
            <w:pPr>
              <w:spacing w:after="0"/>
              <w:rPr>
                <w:sz w:val="1"/>
                <w:szCs w:val="1"/>
                <w:color w:val="auto"/>
              </w:rPr>
            </w:pPr>
          </w:p>
        </w:tc>
      </w:tr>
      <w:tr>
        <w:trPr>
          <w:trHeight w:val="37"/>
        </w:trPr>
        <w:tc>
          <w:tcPr>
            <w:tcW w:w="5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Common Share</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1.21</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0.94</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3.26</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9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Earnings Per Common Share</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1.20</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0.93</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3.24</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Per Common Share</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0.70</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0.70</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9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Weighted Average Common Shares</w:t>
            </w:r>
          </w:p>
        </w:tc>
        <w:tc>
          <w:tcPr>
            <w:tcW w:w="2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39,655,741</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39,488,187</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39,611,372</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39,429,815</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Weighted Average Common Shares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39,980,931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39,736,492</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39,919,998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39,654,705</w:t>
            </w:r>
          </w:p>
        </w:tc>
        <w:tc>
          <w:tcPr>
            <w:tcW w:w="0" w:type="dxa"/>
            <w:vAlign w:val="bottom"/>
          </w:tcPr>
          <w:p>
            <w:pPr>
              <w:spacing w:after="0"/>
              <w:rPr>
                <w:sz w:val="1"/>
                <w:szCs w:val="1"/>
                <w:color w:val="auto"/>
              </w:rPr>
            </w:pP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3"/>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51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53,345</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144,967</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110,832</w:t>
            </w:r>
          </w:p>
        </w:tc>
        <w:tc>
          <w:tcPr>
            <w:tcW w:w="0" w:type="dxa"/>
            <w:vAlign w:val="bottom"/>
          </w:tcPr>
          <w:p>
            <w:pPr>
              <w:spacing w:after="0"/>
              <w:rPr>
                <w:sz w:val="1"/>
                <w:szCs w:val="1"/>
                <w:color w:val="auto"/>
              </w:rPr>
            </w:pPr>
          </w:p>
        </w:tc>
      </w:tr>
      <w:tr>
        <w:trPr>
          <w:trHeight w:val="233"/>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Unrealized Gains on Investment Securities</w:t>
            </w: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22,711</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66,441</w:t>
            </w:r>
          </w:p>
        </w:tc>
        <w:tc>
          <w:tcPr>
            <w:tcW w:w="4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60,823</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Net Change in Defined Benefit Plans</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232</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697</w:t>
            </w: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22,943</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39,001</w:t>
            </w: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67,138</w:t>
            </w:r>
          </w:p>
        </w:tc>
        <w:tc>
          <w:tcPr>
            <w:tcW w:w="4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61,328</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76,288</w:t>
            </w: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79,359</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212,105</w:t>
            </w:r>
          </w:p>
        </w:tc>
        <w:tc>
          <w:tcPr>
            <w:tcW w:w="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172,160</w:t>
            </w:r>
          </w:p>
        </w:tc>
        <w:tc>
          <w:tcPr>
            <w:tcW w:w="0" w:type="dxa"/>
            <w:vAlign w:val="bottom"/>
          </w:tcPr>
          <w:p>
            <w:pPr>
              <w:spacing w:after="0"/>
              <w:rPr>
                <w:sz w:val="1"/>
                <w:szCs w:val="1"/>
                <w:color w:val="auto"/>
              </w:rPr>
            </w:pPr>
          </w:p>
        </w:tc>
      </w:tr>
      <w:tr>
        <w:trPr>
          <w:trHeight w:val="27"/>
        </w:trPr>
        <w:tc>
          <w:tcPr>
            <w:tcW w:w="5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80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Accum.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(dollars in thousands, except per share</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Series A</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Preferred Series</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Series B</w:t>
            </w:r>
          </w:p>
        </w:tc>
        <w:tc>
          <w:tcPr>
            <w:tcW w:w="160" w:type="dxa"/>
            <w:vAlign w:val="bottom"/>
          </w:tcPr>
          <w:p>
            <w:pPr>
              <w:spacing w:after="0"/>
              <w:rPr>
                <w:sz w:val="11"/>
                <w:szCs w:val="11"/>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60" w:type="dxa"/>
            <w:vAlign w:val="bottom"/>
          </w:tcPr>
          <w:p>
            <w:pPr>
              <w:spacing w:after="0"/>
              <w:rPr>
                <w:sz w:val="11"/>
                <w:szCs w:val="11"/>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200" w:type="dxa"/>
            <w:vAlign w:val="bottom"/>
          </w:tcPr>
          <w:p>
            <w:pPr>
              <w:spacing w:after="0"/>
              <w:rPr>
                <w:sz w:val="11"/>
                <w:szCs w:val="11"/>
                <w:color w:val="auto"/>
              </w:rPr>
            </w:pP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92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11"/>
                <w:szCs w:val="11"/>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2"/>
        </w:trPr>
        <w:tc>
          <w:tcPr>
            <w:tcW w:w="18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amounts)</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200" w:type="dxa"/>
            <w:vAlign w:val="bottom"/>
          </w:tcPr>
          <w:p>
            <w:pPr>
              <w:spacing w:after="0"/>
              <w:rPr>
                <w:sz w:val="12"/>
                <w:szCs w:val="12"/>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A 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82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Series B Stock</w:t>
            </w: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60" w:type="dxa"/>
            <w:vAlign w:val="bottom"/>
          </w:tcPr>
          <w:p>
            <w:pPr>
              <w:spacing w:after="0"/>
              <w:rPr>
                <w:sz w:val="12"/>
                <w:szCs w:val="12"/>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00" w:type="dxa"/>
            <w:vAlign w:val="bottom"/>
          </w:tcPr>
          <w:p>
            <w:pPr>
              <w:spacing w:after="0"/>
              <w:rPr>
                <w:sz w:val="12"/>
                <w:szCs w:val="12"/>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Surplus</w:t>
            </w:r>
          </w:p>
        </w:tc>
        <w:tc>
          <w:tcPr>
            <w:tcW w:w="140" w:type="dxa"/>
            <w:vAlign w:val="bottom"/>
          </w:tcPr>
          <w:p>
            <w:pPr>
              <w:spacing w:after="0"/>
              <w:rPr>
                <w:sz w:val="12"/>
                <w:szCs w:val="12"/>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80" w:type="dxa"/>
            <w:vAlign w:val="bottom"/>
          </w:tcPr>
          <w:p>
            <w:pPr>
              <w:spacing w:after="0"/>
              <w:rPr>
                <w:sz w:val="12"/>
                <w:szCs w:val="12"/>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60" w:type="dxa"/>
            <w:vAlign w:val="bottom"/>
          </w:tcPr>
          <w:p>
            <w:pPr>
              <w:spacing w:after="0"/>
              <w:rPr>
                <w:sz w:val="12"/>
                <w:szCs w:val="12"/>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6"/>
        </w:trPr>
        <w:tc>
          <w:tcPr>
            <w:tcW w:w="18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6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6"/>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9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88"/>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39,765,375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587</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655,479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(299,194)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2,158,450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(1,117,215)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1,743,107</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53,345</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53,345</w:t>
            </w:r>
          </w:p>
        </w:tc>
      </w:tr>
      <w:tr>
        <w:trPr>
          <w:trHeight w:val="188"/>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22,943</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22,943</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4,163</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4,163</w:t>
            </w:r>
          </w:p>
        </w:tc>
      </w:tr>
      <w:tr>
        <w:trPr>
          <w:trHeight w:val="176"/>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Issued under</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and Equity</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22,911</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280</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1,012</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w:t>
            </w:r>
          </w:p>
        </w:tc>
      </w:tr>
      <w:tr>
        <w:trPr>
          <w:trHeight w:val="27"/>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Repurchased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(3,085)</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r>
      <w:tr>
        <w:trPr>
          <w:trHeight w:val="176"/>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($0.70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(28,263)</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(28,263)</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7"/>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(5,269)</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(5,269)</w:t>
            </w:r>
          </w:p>
        </w:tc>
      </w:tr>
      <w:tr>
        <w:trPr>
          <w:trHeight w:val="166"/>
        </w:trPr>
        <w:tc>
          <w:tcPr>
            <w:tcW w:w="1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w:t>
            </w: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178"/>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39,785,201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587</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659,922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(276,251)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2,178,263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(1,116,338)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1,791,183</w:t>
            </w:r>
          </w:p>
        </w:tc>
      </w:tr>
      <w:tr>
        <w:trPr>
          <w:trHeight w:val="28"/>
        </w:trPr>
        <w:tc>
          <w:tcPr>
            <w:tcW w:w="1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6"/>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9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89"/>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39,729,941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585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639,841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(374,361)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2,119,140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(1,117,356)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1,612,849</w:t>
            </w:r>
          </w:p>
        </w:tc>
      </w:tr>
      <w:tr>
        <w:trPr>
          <w:trHeight w:val="27"/>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40,358</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40,358</w:t>
            </w:r>
          </w:p>
        </w:tc>
      </w:tr>
      <w:tr>
        <w:trPr>
          <w:trHeight w:val="188"/>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39,001</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39,001</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3,546</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3,546</w:t>
            </w:r>
          </w:p>
        </w:tc>
      </w:tr>
      <w:tr>
        <w:trPr>
          <w:trHeight w:val="176"/>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Issued under</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and Equity</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Compensation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20,781</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233</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1,546</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1,395</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 Repurchased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(2,418)</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r>
      <w:tr>
        <w:trPr>
          <w:trHeight w:val="176"/>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($0.70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(28,092)</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(28,092)</w:t>
            </w:r>
          </w:p>
        </w:tc>
      </w:tr>
      <w:tr>
        <w:trPr>
          <w:trHeight w:val="28"/>
        </w:trPr>
        <w:tc>
          <w:tcPr>
            <w:tcW w:w="1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7"/>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 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(3,437)</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(3,437)</w:t>
            </w:r>
          </w:p>
        </w:tc>
      </w:tr>
      <w:tr>
        <w:trPr>
          <w:trHeight w:val="166"/>
        </w:trPr>
        <w:tc>
          <w:tcPr>
            <w:tcW w:w="1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September 30,</w:t>
            </w: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178"/>
        </w:trPr>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39,748,304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585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643,620</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(335,360)</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2,127,585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(1,115,956)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1,665,474</w:t>
            </w:r>
          </w:p>
        </w:tc>
      </w:tr>
      <w:tr>
        <w:trPr>
          <w:trHeight w:val="28"/>
        </w:trPr>
        <w:tc>
          <w:tcPr>
            <w:tcW w:w="1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1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(continued) (Unaudited)</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1780" w:type="dxa"/>
            <w:vAlign w:val="bottom"/>
          </w:tcPr>
          <w:p>
            <w:pPr>
              <w:spacing w:after="0"/>
              <w:rPr>
                <w:sz w:val="11"/>
                <w:szCs w:val="1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Preferred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Accum. Other</w:t>
            </w: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(dollars in thousands, except per share</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Series A</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Preferred Series</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Shares Series B</w:t>
            </w:r>
          </w:p>
        </w:tc>
        <w:tc>
          <w:tcPr>
            <w:tcW w:w="160" w:type="dxa"/>
            <w:vAlign w:val="bottom"/>
          </w:tcPr>
          <w:p>
            <w:pPr>
              <w:spacing w:after="0"/>
              <w:rPr>
                <w:sz w:val="11"/>
                <w:szCs w:val="11"/>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Shares</w:t>
            </w:r>
          </w:p>
        </w:tc>
        <w:tc>
          <w:tcPr>
            <w:tcW w:w="140" w:type="dxa"/>
            <w:vAlign w:val="bottom"/>
          </w:tcPr>
          <w:p>
            <w:pPr>
              <w:spacing w:after="0"/>
              <w:rPr>
                <w:sz w:val="11"/>
                <w:szCs w:val="11"/>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w w:val="96"/>
              </w:rPr>
              <w:t>Common</w:t>
            </w:r>
          </w:p>
        </w:tc>
        <w:tc>
          <w:tcPr>
            <w:tcW w:w="180" w:type="dxa"/>
            <w:vAlign w:val="bottom"/>
          </w:tcPr>
          <w:p>
            <w:pPr>
              <w:spacing w:after="0"/>
              <w:rPr>
                <w:sz w:val="11"/>
                <w:szCs w:val="11"/>
                <w:color w:val="auto"/>
              </w:rPr>
            </w:pPr>
          </w:p>
        </w:tc>
        <w:tc>
          <w:tcPr>
            <w:tcW w:w="6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900" w:type="dxa"/>
            <w:vAlign w:val="bottom"/>
            <w:gridSpan w:val="2"/>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80" w:type="dxa"/>
            <w:vAlign w:val="bottom"/>
          </w:tcPr>
          <w:p>
            <w:pPr>
              <w:spacing w:after="0"/>
              <w:rPr>
                <w:sz w:val="11"/>
                <w:szCs w:val="11"/>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2"/>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amounts)</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200" w:type="dxa"/>
            <w:vAlign w:val="bottom"/>
          </w:tcPr>
          <w:p>
            <w:pPr>
              <w:spacing w:after="0"/>
              <w:rPr>
                <w:sz w:val="12"/>
                <w:szCs w:val="12"/>
                <w:color w:val="auto"/>
              </w:rPr>
            </w:pPr>
          </w:p>
        </w:tc>
        <w:tc>
          <w:tcPr>
            <w:tcW w:w="68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A 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82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b w:val="1"/>
                <w:bCs w:val="1"/>
                <w:color w:val="auto"/>
              </w:rPr>
              <w:t>Series B Stock</w:t>
            </w:r>
          </w:p>
        </w:tc>
        <w:tc>
          <w:tcPr>
            <w:tcW w:w="9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0" w:type="dxa"/>
            <w:vAlign w:val="bottom"/>
          </w:tcPr>
          <w:p>
            <w:pPr>
              <w:spacing w:after="0"/>
              <w:rPr>
                <w:sz w:val="12"/>
                <w:szCs w:val="12"/>
                <w:color w:val="auto"/>
              </w:rPr>
            </w:pPr>
          </w:p>
        </w:tc>
        <w:tc>
          <w:tcPr>
            <w:tcW w:w="60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tcPr>
          <w:p>
            <w:pPr>
              <w:spacing w:after="0"/>
              <w:rPr>
                <w:sz w:val="12"/>
                <w:szCs w:val="12"/>
                <w:color w:val="auto"/>
              </w:rPr>
            </w:pP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Surplus</w:t>
            </w:r>
          </w:p>
        </w:tc>
        <w:tc>
          <w:tcPr>
            <w:tcW w:w="120" w:type="dxa"/>
            <w:vAlign w:val="bottom"/>
          </w:tcPr>
          <w:p>
            <w:pPr>
              <w:spacing w:after="0"/>
              <w:rPr>
                <w:sz w:val="12"/>
                <w:szCs w:val="12"/>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80" w:type="dxa"/>
            <w:vAlign w:val="bottom"/>
          </w:tcPr>
          <w:p>
            <w:pPr>
              <w:spacing w:after="0"/>
              <w:rPr>
                <w:sz w:val="12"/>
                <w:szCs w:val="12"/>
                <w:color w:val="auto"/>
              </w:rPr>
            </w:pPr>
          </w:p>
        </w:tc>
        <w:tc>
          <w:tcPr>
            <w:tcW w:w="700" w:type="dxa"/>
            <w:vAlign w:val="bottom"/>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900" w:type="dxa"/>
            <w:vAlign w:val="bottom"/>
            <w:gridSpan w:val="2"/>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60" w:type="dxa"/>
            <w:vAlign w:val="bottom"/>
          </w:tcPr>
          <w:p>
            <w:pPr>
              <w:spacing w:after="0"/>
              <w:rPr>
                <w:sz w:val="12"/>
                <w:szCs w:val="12"/>
                <w:color w:val="auto"/>
              </w:rPr>
            </w:pPr>
          </w:p>
        </w:tc>
        <w:tc>
          <w:tcPr>
            <w:tcW w:w="64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36"/>
        </w:trPr>
        <w:tc>
          <w:tcPr>
            <w:tcW w:w="17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6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September 30, 2025</w:t>
            </w:r>
          </w:p>
        </w:tc>
        <w:tc>
          <w:tcPr>
            <w:tcW w:w="9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2"/>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8"/>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39,762,255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647,403</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(343,389)</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2,133,838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(1,115,663)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1,667,774</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144,967</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144,967</w:t>
            </w:r>
          </w:p>
        </w:tc>
      </w:t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67,138</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67,138</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11,680</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11,680</w:t>
            </w:r>
          </w:p>
        </w:tc>
      </w:tr>
      <w:tr>
        <w:trPr>
          <w:trHeight w:val="176"/>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Issued under</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Purchase and Equity</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Plans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78,817</w:t>
            </w:r>
          </w:p>
        </w:tc>
        <w:tc>
          <w:tcPr>
            <w:tcW w:w="14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839</w:t>
            </w:r>
          </w:p>
        </w:tc>
        <w:tc>
          <w:tcPr>
            <w:tcW w:w="12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3,060</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3,901</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Repurchased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(55,871)</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(3,735)</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(3,735)</w:t>
            </w:r>
          </w:p>
        </w:tc>
      </w:tr>
      <w:tr>
        <w:trPr>
          <w:trHeight w:val="176"/>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($2.10 per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4"/>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(84,735)</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(84,735)</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7"/>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(15,807)</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(15,807)</w:t>
            </w:r>
          </w:p>
        </w:tc>
      </w:tr>
      <w:tr>
        <w:trPr>
          <w:trHeight w:val="166"/>
        </w:trPr>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w:t>
            </w: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r>
      <w:tr>
        <w:trPr>
          <w:trHeight w:val="178"/>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2025</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39,785,201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659,922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(276,251)</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2,178,263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(1,116,338)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1,791,183</w:t>
            </w:r>
          </w:p>
        </w:tc>
      </w:tr>
      <w:tr>
        <w:trPr>
          <w:trHeight w:val="28"/>
        </w:trPr>
        <w:tc>
          <w:tcPr>
            <w:tcW w:w="1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1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6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9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2"/>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8"/>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2023</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39,753,138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583</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636,422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(396,688)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2,107,569</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(1,113,644)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1,414,242</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110,832</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110,832</w:t>
            </w:r>
          </w:p>
        </w:tc>
      </w:t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61,328</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61,328</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96"/>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11,051</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11,051</w:t>
            </w:r>
          </w:p>
        </w:tc>
      </w:t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Issued, Net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(4,386)</w:t>
            </w:r>
          </w:p>
        </w:tc>
        <w:tc>
          <w:tcPr>
            <w:tcW w:w="12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160,614</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Issued under</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and Equity</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 Plans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78,753</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533</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768</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2,829</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4,132</w:t>
            </w:r>
          </w:p>
        </w:tc>
      </w:t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Repurchased</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(83,587)</w:t>
            </w:r>
          </w:p>
        </w:tc>
        <w:tc>
          <w:tcPr>
            <w:tcW w:w="14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(5,141)</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(5,141)</w:t>
            </w:r>
          </w:p>
        </w:tc>
      </w:tr>
      <w:tr>
        <w:trPr>
          <w:trHeight w:val="28"/>
        </w:trPr>
        <w:tc>
          <w:tcPr>
            <w:tcW w:w="1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7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2"/>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($2.10 per</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(84,209)</w:t>
            </w: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(84,209)</w:t>
            </w:r>
          </w:p>
        </w:tc>
      </w:tr>
      <w:tr>
        <w:trPr>
          <w:trHeight w:val="176"/>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Cash Dividends Declared</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4"/>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(7,375)</w:t>
            </w:r>
          </w:p>
        </w:tc>
        <w:tc>
          <w:tcPr>
            <w:tcW w:w="180" w:type="dxa"/>
            <w:vAlign w:val="bottom"/>
          </w:tcPr>
          <w:p>
            <w:pPr>
              <w:spacing w:after="0"/>
              <w:rPr>
                <w:sz w:val="15"/>
                <w:szCs w:val="15"/>
                <w:color w:val="auto"/>
              </w:rPr>
            </w:pPr>
          </w:p>
        </w:tc>
        <w:tc>
          <w:tcPr>
            <w:tcW w:w="72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(7,375)</w:t>
            </w:r>
          </w:p>
        </w:tc>
      </w:tr>
      <w:tr>
        <w:trPr>
          <w:trHeight w:val="28"/>
        </w:trPr>
        <w:tc>
          <w:tcPr>
            <w:tcW w:w="17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6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September 30,</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231"/>
        </w:trPr>
        <w:tc>
          <w:tcPr>
            <w:tcW w:w="1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180,000</w:t>
            </w:r>
          </w:p>
        </w:tc>
        <w:tc>
          <w:tcPr>
            <w:tcW w:w="2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180,000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165,000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39,748,304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585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643,620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(335,360)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2,127,585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(1,115,956)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1,665,474</w:t>
            </w: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320" w:type="dxa"/>
            <w:vAlign w:val="bottom"/>
            <w:gridSpan w:val="3"/>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7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4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440" w:type="dxa"/>
            <w:vAlign w:val="bottom"/>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4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144,967</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110,832</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7,400</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14,219</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15,441</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Deferred Loan and Lease Fees, Net</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Amortization and Accretion of Premiums/Discounts on Investment Securities, Net</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9,257</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8,659</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8,699</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Share-Based Compensation</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11,680</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11,051</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Benefit Plan Contributions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Gains on Sales of Loans and Leases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Sales of Loans Held for Sale</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17,585</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42,356</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Originations of Loans Held for Sale</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(16,536)</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(43,927)</w:t>
            </w: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Change in Other Assets and Other Liabilities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(55,498)</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(76,828)</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138,490</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80,735</w:t>
            </w:r>
          </w:p>
        </w:tc>
        <w:tc>
          <w:tcPr>
            <w:tcW w:w="0" w:type="dxa"/>
            <w:vAlign w:val="bottom"/>
          </w:tcPr>
          <w:p>
            <w:pPr>
              <w:spacing w:after="0"/>
              <w:rPr>
                <w:sz w:val="1"/>
                <w:szCs w:val="1"/>
                <w:color w:val="auto"/>
              </w:rPr>
            </w:pPr>
          </w:p>
        </w:tc>
      </w:tr>
      <w:tr>
        <w:trPr>
          <w:trHeight w:val="186"/>
        </w:trPr>
        <w:tc>
          <w:tcPr>
            <w:tcW w:w="7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4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Prepayments and Maturities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221,883</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158,981</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(738,122)</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(237,059)</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Prepayments and Maturities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290,191</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299,561</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Loans and Leases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37,859</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40,884</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Premises and Equipment</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(25,832)</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(12,486)</w:t>
            </w:r>
          </w:p>
        </w:tc>
        <w:tc>
          <w:tcPr>
            <w:tcW w:w="0" w:type="dxa"/>
            <w:vAlign w:val="bottom"/>
          </w:tcPr>
          <w:p>
            <w:pPr>
              <w:spacing w:after="0"/>
              <w:rPr>
                <w:sz w:val="1"/>
                <w:szCs w:val="1"/>
                <w:color w:val="auto"/>
              </w:rPr>
            </w:pPr>
          </w:p>
        </w:tc>
      </w:tr>
      <w:tr>
        <w:trPr>
          <w:trHeight w:val="186"/>
        </w:trPr>
        <w:tc>
          <w:tcPr>
            <w:tcW w:w="74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4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(214,021)</w:t>
            </w:r>
          </w:p>
        </w:tc>
        <w:tc>
          <w:tcPr>
            <w:tcW w:w="4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249,881</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4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Deposits</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447,632</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(76,723)</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(50,073)</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(50,081)</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Issuance of Preferred Stock</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160,614</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3,901</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(5,141)</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Dividends Paid on Common Stock</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(84,735)</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(84,209)</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Dividends Paid on Preferred Stock</w:t>
            </w:r>
          </w:p>
        </w:tc>
        <w:tc>
          <w:tcPr>
            <w:tcW w:w="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(15,807)</w:t>
            </w:r>
          </w:p>
        </w:tc>
        <w:tc>
          <w:tcPr>
            <w:tcW w:w="4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(7,375)</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297,183</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(58,797)</w:t>
            </w:r>
          </w:p>
        </w:tc>
        <w:tc>
          <w:tcPr>
            <w:tcW w:w="0" w:type="dxa"/>
            <w:vAlign w:val="bottom"/>
          </w:tcPr>
          <w:p>
            <w:pPr>
              <w:spacing w:after="0"/>
              <w:rPr>
                <w:sz w:val="1"/>
                <w:szCs w:val="1"/>
                <w:color w:val="auto"/>
              </w:rPr>
            </w:pPr>
          </w:p>
        </w:tc>
      </w:tr>
      <w:tr>
        <w:trPr>
          <w:trHeight w:val="186"/>
        </w:trPr>
        <w:tc>
          <w:tcPr>
            <w:tcW w:w="7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4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221,652</w:t>
            </w:r>
          </w:p>
        </w:tc>
        <w:tc>
          <w:tcPr>
            <w:tcW w:w="4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271,819</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763,571</w:t>
            </w:r>
          </w:p>
        </w:tc>
        <w:tc>
          <w:tcPr>
            <w:tcW w:w="4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1,000,944</w:t>
            </w:r>
          </w:p>
        </w:tc>
        <w:tc>
          <w:tcPr>
            <w:tcW w:w="0" w:type="dxa"/>
            <w:vAlign w:val="bottom"/>
          </w:tcPr>
          <w:p>
            <w:pPr>
              <w:spacing w:after="0"/>
              <w:rPr>
                <w:sz w:val="1"/>
                <w:szCs w:val="1"/>
                <w:color w:val="auto"/>
              </w:rPr>
            </w:pPr>
          </w:p>
        </w:tc>
      </w:tr>
      <w:tr>
        <w:trPr>
          <w:trHeight w:val="186"/>
        </w:trPr>
        <w:tc>
          <w:tcPr>
            <w:tcW w:w="7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46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985,223</w:t>
            </w:r>
          </w:p>
        </w:tc>
        <w:tc>
          <w:tcPr>
            <w:tcW w:w="440" w:type="dxa"/>
            <w:vAlign w:val="bottom"/>
            <w:tcBorders>
              <w:top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1,272,763</w:t>
            </w:r>
          </w:p>
        </w:tc>
        <w:tc>
          <w:tcPr>
            <w:tcW w:w="0" w:type="dxa"/>
            <w:vAlign w:val="bottom"/>
          </w:tcPr>
          <w:p>
            <w:pPr>
              <w:spacing w:after="0"/>
              <w:rPr>
                <w:sz w:val="1"/>
                <w:szCs w:val="1"/>
                <w:color w:val="auto"/>
              </w:rPr>
            </w:pPr>
          </w:p>
        </w:tc>
      </w:tr>
      <w:tr>
        <w:trPr>
          <w:trHeight w:val="37"/>
        </w:trPr>
        <w:tc>
          <w:tcPr>
            <w:tcW w:w="7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4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Interest</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275,583</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298,722</w:t>
            </w: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4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21,190</w:t>
            </w:r>
          </w:p>
        </w:tc>
        <w:tc>
          <w:tcPr>
            <w:tcW w:w="4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23,832</w:t>
            </w:r>
          </w:p>
        </w:tc>
        <w:tc>
          <w:tcPr>
            <w:tcW w:w="0" w:type="dxa"/>
            <w:vAlign w:val="bottom"/>
          </w:tcPr>
          <w:p>
            <w:pPr>
              <w:spacing w:after="0"/>
              <w:rPr>
                <w:sz w:val="1"/>
                <w:szCs w:val="1"/>
                <w:color w:val="auto"/>
              </w:rPr>
            </w:pPr>
          </w:p>
        </w:tc>
      </w:tr>
      <w:tr>
        <w:trPr>
          <w:trHeight w:val="193"/>
        </w:trPr>
        <w:tc>
          <w:tcPr>
            <w:tcW w:w="7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4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Transfer from Loans to Foreclosed Real Estate</w:t>
            </w: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4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0" w:type="dxa"/>
            <w:vAlign w:val="bottom"/>
          </w:tcPr>
          <w:p>
            <w:pPr>
              <w:spacing w:after="0"/>
              <w:rPr>
                <w:sz w:val="1"/>
                <w:szCs w:val="1"/>
                <w:color w:val="auto"/>
              </w:rPr>
            </w:pPr>
          </w:p>
        </w:tc>
      </w:tr>
      <w:tr>
        <w:trPr>
          <w:trHeight w:val="37"/>
        </w:trPr>
        <w:tc>
          <w:tcPr>
            <w:tcW w:w="74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Bank of Hawaii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7"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majority of the Company’s operations consist of customary commercial and consumer banking services including, but not limited to, lending, leasing, deposit services, trust and investment activities, brokerage services, and trade financing. The accompanying Unaudited Consolidated Financial Statements include the accounts of the Parent and its subsidiaries. The Parent’s principal operating subsidiary is Bank of Hawai‘i (the “Bank”).</w:t>
      </w:r>
    </w:p>
    <w:p>
      <w:pPr>
        <w:spacing w:after="0" w:line="14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any future period.</w:t>
      </w:r>
    </w:p>
    <w:p>
      <w:pPr>
        <w:spacing w:after="0" w:line="1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2024. Significant changes to accounting policies from those disclosed in our audited Consolidated Financial Statements and related notes included in the Company’s Annual Report on Form 10-K are presented below.</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information has been reclassified to conform to the current year presentation.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1, 2025, the Company sold the economic interests of its merchant services portfolio. As a result of this transaction, the Company will recognize a one-time gain of approximately $18 million during the quarter ending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 Securities</w:t>
      </w:r>
    </w:p>
    <w:p>
      <w:pPr>
        <w:spacing w:after="0" w:line="20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and fair value of the Company’s investment securities as of September 30, 2025 and December 31, 2024,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9"/>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245,946</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241,841</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72,434</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66,041</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U.S. Government-Sponsored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752,393</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(21,477)</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732,927</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1,295,644</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1,210,591</w:t>
            </w:r>
          </w:p>
        </w:tc>
      </w:tr>
      <w:tr>
        <w:trPr>
          <w:trHeight w:val="25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351,102</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(21,461)</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330,185</w:t>
            </w:r>
          </w:p>
        </w:tc>
      </w:tr>
      <w:tr>
        <w:trPr>
          <w:trHeight w:val="237"/>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 Non-Agency</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60,644</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60,599</w:t>
            </w: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1,707,390</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(108,831)</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1,601,375</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6"/>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681,396</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(47,127)</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637,235</w:t>
            </w:r>
          </w:p>
        </w:tc>
      </w:tr>
      <w:tr>
        <w:trPr>
          <w:trHeight w:val="237"/>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681,396</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2,966</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(47,127)</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637,235</w:t>
            </w:r>
          </w:p>
        </w:tc>
      </w:tr>
      <w:tr>
        <w:trPr>
          <w:trHeight w:val="262"/>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3,460,563</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7,969</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(188,122)</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3,280,410</w:t>
            </w: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129,463</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(9,696)</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119,767</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10,286</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8,548</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2,041,489</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(291,372)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1,750,121</w:t>
            </w:r>
          </w:p>
        </w:tc>
      </w:tr>
      <w:tr>
        <w:trPr>
          <w:trHeight w:val="246"/>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409,775</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(80,542)</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329,233</w:t>
            </w:r>
          </w:p>
        </w:tc>
      </w:tr>
      <w:tr>
        <w:trPr>
          <w:trHeight w:val="240"/>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2,451,264</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(371,914)</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2,079,354</w:t>
            </w:r>
          </w:p>
        </w:tc>
      </w:tr>
      <w:tr>
        <w:trPr>
          <w:trHeight w:val="24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1,739,033</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(237,717)</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1,501,644</w:t>
            </w:r>
          </w:p>
        </w:tc>
      </w:tr>
      <w:tr>
        <w:trPr>
          <w:trHeight w:val="246"/>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w:t>
            </w:r>
          </w:p>
        </w:tc>
      </w:tr>
      <w:tr>
        <w:trPr>
          <w:trHeight w:val="236"/>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1,749,019</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(239,443)</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1,509,904</w:t>
            </w:r>
          </w:p>
        </w:tc>
      </w:tr>
      <w:tr>
        <w:trPr>
          <w:trHeight w:val="262"/>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4,340,032</w:t>
            </w:r>
          </w:p>
        </w:tc>
        <w:tc>
          <w:tcPr>
            <w:tcW w:w="3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(622,791)</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3,717,573</w:t>
            </w:r>
          </w:p>
        </w:tc>
      </w:tr>
      <w:tr>
        <w:trPr>
          <w:trHeight w:val="20"/>
        </w:trPr>
        <w:tc>
          <w:tcPr>
            <w:tcW w:w="5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Gross Unrealized</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5"/>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Amortized Cost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257,036</w:t>
            </w:r>
          </w:p>
        </w:tc>
        <w:tc>
          <w:tcPr>
            <w:tcW w:w="3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(8,185)</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249,072</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States and Political Subdivisions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73,208</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63,859</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U.S. Government-Sponsored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703,579</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671,675</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1,050,299</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(115,401)</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935,220</w:t>
            </w:r>
          </w:p>
        </w:tc>
      </w:tr>
      <w:tr>
        <w:trPr>
          <w:trHeight w:val="246"/>
        </w:trPr>
        <w:tc>
          <w:tcPr>
            <w:tcW w:w="53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306,696</w:t>
            </w: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(23,421)</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283,474</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1,356,995</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(138,822)</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1,218,694</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6"/>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555,092</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(70,458)</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484,764</w:t>
            </w:r>
          </w:p>
        </w:tc>
      </w:tr>
      <w:tr>
        <w:trPr>
          <w:trHeight w:val="237"/>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555,092</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(70,458)</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484,764</w:t>
            </w:r>
          </w:p>
        </w:tc>
      </w:tr>
      <w:tr>
        <w:trPr>
          <w:trHeight w:val="237"/>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2,947,415</w:t>
            </w:r>
          </w:p>
        </w:tc>
        <w:tc>
          <w:tcPr>
            <w:tcW w:w="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(259,135)</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2,689,528</w:t>
            </w: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the U.S. Treasury and Government Agencies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131,868</w:t>
            </w:r>
          </w:p>
        </w:tc>
        <w:tc>
          <w:tcPr>
            <w:tcW w:w="3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(14,927)</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116,941</w:t>
            </w:r>
          </w:p>
        </w:tc>
      </w:tr>
      <w:tr>
        <w:trPr>
          <w:trHeight w:val="25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Securities Issued by Corporations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10,490</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8,334</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2,185,210</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(377,149)</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1,808,064</w:t>
            </w:r>
          </w:p>
        </w:tc>
      </w:tr>
      <w:tr>
        <w:trPr>
          <w:trHeight w:val="237"/>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416,389</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(92,211)</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324,178</w:t>
            </w:r>
          </w:p>
        </w:tc>
      </w:tr>
      <w:tr>
        <w:trPr>
          <w:trHeight w:val="24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2,601,599</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(469,360)</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2,132,242</w:t>
            </w:r>
          </w:p>
        </w:tc>
      </w:tr>
      <w:tr>
        <w:trPr>
          <w:trHeight w:val="233"/>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7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1,864,591</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(309,093)</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1,555,535</w:t>
            </w:r>
          </w:p>
        </w:tc>
      </w:tr>
      <w:tr>
        <w:trPr>
          <w:trHeight w:val="236"/>
        </w:trPr>
        <w:tc>
          <w:tcPr>
            <w:tcW w:w="5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Enterprises</w:t>
            </w:r>
          </w:p>
        </w:tc>
        <w:tc>
          <w:tcPr>
            <w:tcW w:w="7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9,995</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7,830</w:t>
            </w:r>
          </w:p>
        </w:tc>
      </w:tr>
      <w:tr>
        <w:trPr>
          <w:trHeight w:val="237"/>
        </w:trPr>
        <w:tc>
          <w:tcPr>
            <w:tcW w:w="5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7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1,874,586</w:t>
            </w: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(311,258)</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1,563,365</w:t>
            </w:r>
          </w:p>
        </w:tc>
      </w:tr>
      <w:tr>
        <w:trPr>
          <w:trHeight w:val="236"/>
        </w:trPr>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4,618,543</w:t>
            </w:r>
          </w:p>
        </w:tc>
        <w:tc>
          <w:tcPr>
            <w:tcW w:w="3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(797,701)</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3,820,882</w:t>
            </w:r>
          </w:p>
        </w:tc>
      </w:tr>
      <w:tr>
        <w:trPr>
          <w:trHeight w:val="27"/>
        </w:trPr>
        <w:tc>
          <w:tcPr>
            <w:tcW w:w="5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elected to exclude accrued interest receivable (“AIR”) from the amortized cost basis of debt securities disclosed throughout this footnote. For AFS debt securities, AIR totaled $11.3 million and $9.0 million as of September 30, 2025 and December 31, 2024, respectively. For held-to-maturity (“HTM”) debt securities, AIR totaled $8.3 million and $8.6 million as of September 30, 2025 and December 31, 2024, respectively.</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an analysis of the contractual maturities of the Company’s investment securities as of September 30, 2025. Debt securities issued by government agencies (such as Small Business Administration securities), collateralized mortgage obligations, and mortgage-backed securities are disclosed separately in the following table as these investment securities may prepay prior to their scheduled contractual maturity dates.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980" w:type="dxa"/>
            <w:vAlign w:val="bottom"/>
          </w:tcPr>
          <w:p>
            <w:pPr>
              <w:spacing w:after="0"/>
              <w:rPr>
                <w:sz w:val="16"/>
                <w:szCs w:val="16"/>
                <w:color w:val="auto"/>
              </w:rPr>
            </w:pPr>
          </w:p>
        </w:tc>
        <w:tc>
          <w:tcPr>
            <w:tcW w:w="15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6"/>
                <w:szCs w:val="16"/>
                <w:color w:val="auto"/>
              </w:rPr>
            </w:pPr>
          </w:p>
        </w:tc>
        <w:tc>
          <w:tcPr>
            <w:tcW w:w="14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594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Available-for-Sale:</w:t>
            </w:r>
          </w:p>
        </w:tc>
        <w:tc>
          <w:tcPr>
            <w:tcW w:w="19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Due in One Year or Less</w:t>
            </w:r>
          </w:p>
        </w:tc>
        <w:tc>
          <w:tcPr>
            <w:tcW w:w="1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126,490</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125,203</w:t>
            </w: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690,513</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672,931</w:t>
            </w:r>
          </w:p>
        </w:tc>
      </w:tr>
      <w:tr>
        <w:trPr>
          <w:trHeight w:val="23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1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150,762</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139,926</w:t>
            </w:r>
          </w:p>
        </w:tc>
      </w:tr>
      <w:tr>
        <w:trPr>
          <w:trHeight w:val="243"/>
        </w:trPr>
        <w:tc>
          <w:tcPr>
            <w:tcW w:w="59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967,765</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938,060</w:t>
            </w: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Securities Issued by Government Agencies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104,012</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103,740</w:t>
            </w: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3"/>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1,295,644</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1,210,591</w:t>
            </w:r>
          </w:p>
        </w:tc>
      </w:tr>
      <w:tr>
        <w:trPr>
          <w:trHeight w:val="253"/>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 Government Agencies or Sponsored Agencies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351,102</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330,185</w:t>
            </w:r>
          </w:p>
        </w:tc>
      </w:tr>
      <w:tr>
        <w:trPr>
          <w:trHeight w:val="237"/>
        </w:trPr>
        <w:tc>
          <w:tcPr>
            <w:tcW w:w="5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Commercial - Non-Agency</w:t>
            </w:r>
          </w:p>
        </w:tc>
        <w:tc>
          <w:tcPr>
            <w:tcW w:w="1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60,644</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60,599</w:t>
            </w: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1,707,390</w:t>
            </w: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1,601,375</w:t>
            </w: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6"/>
        </w:trPr>
        <w:tc>
          <w:tcPr>
            <w:tcW w:w="5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681,396</w:t>
            </w: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637,235</w:t>
            </w:r>
          </w:p>
        </w:tc>
      </w:tr>
      <w:tr>
        <w:trPr>
          <w:trHeight w:val="237"/>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1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681,396</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637,235</w:t>
            </w:r>
          </w:p>
        </w:tc>
      </w:tr>
      <w:tr>
        <w:trPr>
          <w:trHeight w:val="262"/>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3,460,563</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3,280,410</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Held-to-Maturity:</w:t>
            </w:r>
          </w:p>
        </w:tc>
        <w:tc>
          <w:tcPr>
            <w:tcW w:w="1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in One Year or Less</w:t>
            </w:r>
          </w:p>
        </w:tc>
        <w:tc>
          <w:tcPr>
            <w:tcW w:w="19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4,970</w:t>
            </w:r>
          </w:p>
        </w:tc>
      </w:tr>
      <w:tr>
        <w:trPr>
          <w:trHeight w:val="23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74,857</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70,682</w:t>
            </w:r>
          </w:p>
        </w:tc>
      </w:tr>
      <w:tr>
        <w:trPr>
          <w:trHeight w:val="246"/>
        </w:trPr>
        <w:tc>
          <w:tcPr>
            <w:tcW w:w="5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Due After Five Year Through Ten Years</w:t>
            </w:r>
          </w:p>
        </w:tc>
        <w:tc>
          <w:tcPr>
            <w:tcW w:w="19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59,892</w:t>
            </w: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52,663</w:t>
            </w:r>
          </w:p>
        </w:tc>
      </w:tr>
      <w:tr>
        <w:trPr>
          <w:trHeight w:val="233"/>
        </w:trPr>
        <w:tc>
          <w:tcPr>
            <w:tcW w:w="59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139,749</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128,315</w:t>
            </w: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3"/>
        </w:trPr>
        <w:tc>
          <w:tcPr>
            <w:tcW w:w="5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2,041,489</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1,750,121</w:t>
            </w:r>
          </w:p>
        </w:tc>
      </w:tr>
      <w:tr>
        <w:trPr>
          <w:trHeight w:val="246"/>
        </w:trPr>
        <w:tc>
          <w:tcPr>
            <w:tcW w:w="5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Commercial - Government Agencies or Sponsored Agencies</w:t>
            </w:r>
          </w:p>
        </w:tc>
        <w:tc>
          <w:tcPr>
            <w:tcW w:w="19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409,775</w:t>
            </w: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329,233</w:t>
            </w:r>
          </w:p>
        </w:tc>
      </w:tr>
      <w:tr>
        <w:trPr>
          <w:trHeight w:val="23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Collateralized Mortgage Obligations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2,451,264</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2,079,354</w:t>
            </w:r>
          </w:p>
        </w:tc>
      </w:tr>
      <w:tr>
        <w:trPr>
          <w:trHeight w:val="25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9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33"/>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Agencies</w:t>
            </w:r>
          </w:p>
        </w:tc>
        <w:tc>
          <w:tcPr>
            <w:tcW w:w="19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1,739,033</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1,501,644</w:t>
            </w:r>
          </w:p>
        </w:tc>
      </w:tr>
      <w:tr>
        <w:trPr>
          <w:trHeight w:val="246"/>
        </w:trPr>
        <w:tc>
          <w:tcPr>
            <w:tcW w:w="59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 Government Agencies or Sponsored Agencies</w:t>
            </w:r>
          </w:p>
        </w:tc>
        <w:tc>
          <w:tcPr>
            <w:tcW w:w="198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3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w:t>
            </w:r>
          </w:p>
        </w:tc>
      </w:tr>
      <w:tr>
        <w:trPr>
          <w:trHeight w:val="237"/>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Mortgage-Backed Securities</w:t>
            </w:r>
          </w:p>
        </w:tc>
        <w:tc>
          <w:tcPr>
            <w:tcW w:w="1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1,749,019</w:t>
            </w:r>
          </w:p>
        </w:tc>
        <w:tc>
          <w:tcPr>
            <w:tcW w:w="3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1,509,904</w:t>
            </w:r>
          </w:p>
        </w:tc>
      </w:tr>
      <w:tr>
        <w:trPr>
          <w:trHeight w:val="261"/>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9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4,340,032</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3,717,573</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Investment securities with carrying values of $7.5 billion and $7.2 billion as of September 30, 2025 and December 31, 2024, respectively, were pledged to secure deposits of governmental entities, securities sold under agreements to repurchase, support the Company's borrowing capacity with the Federal Reserve Bank, and secure derivative transactions.</w:t>
      </w:r>
    </w:p>
    <w:p>
      <w:pPr>
        <w:spacing w:after="0" w:line="14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and 2024, the Company recognized net realized losses on sales of investments of $1.9 million and $1.1 million, respectively. During the nine months ended September 30, 2025 and 2024, the Company recognized net realized losses on sales of investments of $4.7 million and $4.2 million, respectively. The losses on sales of investment securities were due to fees paid to the counterparties of the Company's prior Visa Class B share sale transactions, which are expensed as incurred.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AFS debt securities in an unrealized loss position for which an allowance for credit losses was not deemed necessary, aggregated by major security type and length of time in a continuous unrealized loss position: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60" w:type="dxa"/>
            <w:vAlign w:val="bottom"/>
          </w:tcPr>
          <w:p>
            <w:pPr>
              <w:spacing w:after="0"/>
              <w:rPr>
                <w:sz w:val="16"/>
                <w:szCs w:val="16"/>
                <w:color w:val="auto"/>
              </w:rPr>
            </w:pPr>
          </w:p>
        </w:tc>
        <w:tc>
          <w:tcPr>
            <w:tcW w:w="1220" w:type="dxa"/>
            <w:vAlign w:val="bottom"/>
            <w:gridSpan w:val="2"/>
          </w:tcPr>
          <w:p>
            <w:pPr>
              <w:ind w:lef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tcPr>
          <w:p>
            <w:pPr>
              <w:spacing w:after="0"/>
              <w:rPr>
                <w:sz w:val="16"/>
                <w:szCs w:val="16"/>
                <w:color w:val="auto"/>
              </w:rPr>
            </w:pPr>
          </w:p>
        </w:tc>
      </w:tr>
      <w:tr>
        <w:trPr>
          <w:trHeight w:val="37"/>
        </w:trPr>
        <w:tc>
          <w:tcPr>
            <w:tcW w:w="45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r>
      <w:tr>
        <w:trPr>
          <w:trHeight w:val="158"/>
        </w:trPr>
        <w:tc>
          <w:tcPr>
            <w:tcW w:w="4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r>
      <w:tr>
        <w:trPr>
          <w:trHeight w:val="204"/>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7"/>
                <w:szCs w:val="17"/>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7"/>
                <w:szCs w:val="17"/>
                <w:color w:val="auto"/>
              </w:rPr>
            </w:pPr>
          </w:p>
        </w:tc>
        <w:tc>
          <w:tcPr>
            <w:tcW w:w="90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0" w:type="dxa"/>
            <w:vAlign w:val="bottom"/>
          </w:tcPr>
          <w:p>
            <w:pPr>
              <w:spacing w:after="0"/>
              <w:rPr>
                <w:sz w:val="17"/>
                <w:szCs w:val="17"/>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7"/>
                <w:szCs w:val="17"/>
                <w:color w:val="auto"/>
              </w:rPr>
            </w:pPr>
          </w:p>
        </w:tc>
        <w:tc>
          <w:tcPr>
            <w:tcW w:w="860" w:type="dxa"/>
            <w:vAlign w:val="bottom"/>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37"/>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2025</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Available-for-Sale: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the U.S. Treasury and Government Agencies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61,949</w:t>
            </w:r>
          </w:p>
        </w:tc>
        <w:tc>
          <w:tcPr>
            <w:tcW w:w="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(248)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142,395</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204,344</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(4,281)</w:t>
            </w: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States and Political Subdivisions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65,905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(6,393)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65,905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(6,393)</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U.S. Government- Sponsored Enterprises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Corporations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74,824</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(176)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555,825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(21,301)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630,649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(21,477)</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Collateralized Mortgage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08"/>
        </w:trPr>
        <w:tc>
          <w:tcPr>
            <w:tcW w:w="4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83,117</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(227)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624,852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(87,016)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707,969</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(87,243)</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Commercial - Government Agencies or Sponsored Enterprises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76,777</w:t>
            </w:r>
          </w:p>
        </w:tc>
        <w:tc>
          <w:tcPr>
            <w:tcW w:w="7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173,115</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(21,383)</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249,892</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(21,461)</w:t>
            </w:r>
          </w:p>
        </w:tc>
      </w:tr>
      <w:tr>
        <w:trPr>
          <w:trHeight w:val="208"/>
        </w:trPr>
        <w:tc>
          <w:tcPr>
            <w:tcW w:w="4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Commercial - Non-Agency</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29,548</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(127)</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29,548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w:t>
            </w:r>
          </w:p>
        </w:tc>
      </w:tr>
      <w:tr>
        <w:trPr>
          <w:trHeight w:val="35"/>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7"/>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Collateralized Mortgage Obligations</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189,442</w:t>
            </w:r>
          </w:p>
        </w:tc>
        <w:tc>
          <w:tcPr>
            <w:tcW w:w="7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(432)</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797,967</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(108,399)</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987,409</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(108,831)</w:t>
            </w: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Mortgage-Backed Securities: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48"/>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444,626</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(47,127)</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444,626</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(47,127)</w:t>
            </w:r>
          </w:p>
        </w:tc>
      </w:tr>
      <w:tr>
        <w:trPr>
          <w:trHeight w:val="202"/>
        </w:trPr>
        <w:tc>
          <w:tcPr>
            <w:tcW w:w="4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Mortgage-Backed Securities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444,626</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(47,127)</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444,626</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(47,127)</w:t>
            </w:r>
          </w:p>
        </w:tc>
      </w:tr>
      <w:tr>
        <w:trPr>
          <w:trHeight w:val="35"/>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61"/>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326,215</w:t>
            </w:r>
          </w:p>
        </w:tc>
        <w:tc>
          <w:tcPr>
            <w:tcW w:w="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(856)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2,007,710</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(187,266)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2,333,925</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(188,122)</w:t>
            </w:r>
          </w:p>
        </w:tc>
      </w:tr>
      <w:tr>
        <w:trPr>
          <w:trHeight w:val="20"/>
        </w:trPr>
        <w:tc>
          <w:tcPr>
            <w:tcW w:w="4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82"/>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Available-for-Sale:</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the U.S. Treasury and Government Agencies</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38,854</w:t>
            </w:r>
          </w:p>
        </w:tc>
        <w:tc>
          <w:tcPr>
            <w:tcW w:w="7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(288)</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157,456</w:t>
            </w:r>
          </w:p>
        </w:tc>
        <w:tc>
          <w:tcPr>
            <w:tcW w:w="2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(7,897)</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196,310</w:t>
            </w:r>
          </w:p>
        </w:tc>
        <w:tc>
          <w:tcPr>
            <w:tcW w:w="2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(8,185)</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States and Political Subdivisions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63,644</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(9,349)</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63,644</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(9,349)</w:t>
            </w: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Debt Securities Issued by U.S. Government-Sponsored Enterprises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Securities Issued by Corporations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24,892</w:t>
            </w:r>
          </w:p>
        </w:tc>
        <w:tc>
          <w:tcPr>
            <w:tcW w:w="7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(108)</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546,407</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(32,172)</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571,299</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(32,280)</w:t>
            </w: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Collateralized Mortgage Obligations: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23"/>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153,104</w:t>
            </w:r>
          </w:p>
        </w:tc>
        <w:tc>
          <w:tcPr>
            <w:tcW w:w="7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(275)</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673,141</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(115,126)</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826,245</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(115,401)</w:t>
            </w:r>
          </w:p>
        </w:tc>
      </w:tr>
      <w:tr>
        <w:trPr>
          <w:trHeight w:val="208"/>
        </w:trPr>
        <w:tc>
          <w:tcPr>
            <w:tcW w:w="45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Commercial - Government Agencies or Sponsored Enterprises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92,485</w:t>
            </w: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128,430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(23,416)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220,915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(23,421)</w:t>
            </w:r>
          </w:p>
        </w:tc>
      </w:tr>
      <w:tr>
        <w:trPr>
          <w:trHeight w:val="35"/>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6"/>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Collateralized Mortgage Obligations</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245,589</w:t>
            </w:r>
          </w:p>
        </w:tc>
        <w:tc>
          <w:tcPr>
            <w:tcW w:w="7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(280)</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801,571</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(138,542)</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1,047,160</w:t>
            </w: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(138,822)</w:t>
            </w:r>
          </w:p>
        </w:tc>
      </w:tr>
      <w:tr>
        <w:trPr>
          <w:trHeight w:val="208"/>
        </w:trPr>
        <w:tc>
          <w:tcPr>
            <w:tcW w:w="45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Mortgage-Backed Securities: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5"/>
        </w:trPr>
        <w:tc>
          <w:tcPr>
            <w:tcW w:w="4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48"/>
        </w:trPr>
        <w:tc>
          <w:tcPr>
            <w:tcW w:w="45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Residential - Government Agencies or Sponsored Enterprises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480,189</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(70,458)</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480,324</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(70,458)</w:t>
            </w:r>
          </w:p>
        </w:tc>
      </w:tr>
      <w:tr>
        <w:trPr>
          <w:trHeight w:val="201"/>
        </w:trPr>
        <w:tc>
          <w:tcPr>
            <w:tcW w:w="4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Total Mortgage-Backed Securities</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135</w:t>
            </w: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480,189</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(70,458)</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480,324</w:t>
            </w: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(70,458)</w:t>
            </w:r>
          </w:p>
        </w:tc>
      </w:tr>
      <w:tr>
        <w:trPr>
          <w:trHeight w:val="35"/>
        </w:trPr>
        <w:tc>
          <w:tcPr>
            <w:tcW w:w="4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62"/>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309,470</w:t>
            </w:r>
          </w:p>
        </w:tc>
        <w:tc>
          <w:tcPr>
            <w:tcW w:w="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(676)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2,050,731</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(258,459)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2,360,201</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(259,135)</w:t>
            </w:r>
          </w:p>
        </w:tc>
      </w:tr>
      <w:tr>
        <w:trPr>
          <w:trHeight w:val="20"/>
        </w:trPr>
        <w:tc>
          <w:tcPr>
            <w:tcW w:w="4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does not believe the AFS debt securities that were in an unrealized loss position represent a credit loss impairment. As of September 30, 2025 and December 31, 2024, the Company's unrealized losses from AFS debt securities were generated from 355 positions and 386 positions, respectively. As of September 30, 2025 and December 31, 2024, total gross unrealized losses were attributable to changes in interest rates, relative to when the investment securities were purchased, and not due to the credit quality of the investment securities. Mortgage-backed securities issued by U.S. government agencies or U.S. government-sponsored enterprises carry the explicit and/or implicit guarantee of the U.S.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government and have a long history of zero credit loss. Debt securities issued by corporations and non-agency commercial mortgage-backed securities are of high credit quality and the issuers continue to make timely principal and interest payments. As of September 30, 2025, the Company did not have any plans to sell the investment securities that were in an unrealized loss position and it is more likely than not that the Company will not be required to sell the investment securities before recovery of their amortized cost basis, which may be at maturity. In October 2025, the Company initiated the process of repositioning a portion of its AFS securities. As a result, the Company expects to realize a loss on the sale of certain securities during the quarter ending December 31, 2025 that is expected to range from $16 million to $17 million.</w:t>
      </w:r>
    </w:p>
    <w:p>
      <w:pPr>
        <w:spacing w:after="0" w:line="16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HTM debt securities are issued by U.S. government agencies or U.S. government-sponsored enterprises. These securities carry the explicit and/or implicit guarantee of the U.S. government and have a long history of zero credit loss. Therefore, the Company did not record an allowance for credit losses for these securities as of September 30, 2025 and December 31,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from taxable and non-taxable investment securities for the three and nine months ended September 30, 2025 and 2024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60" w:type="dxa"/>
            <w:vAlign w:val="bottom"/>
            <w:gridSpan w:val="3"/>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48,511</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139,175</w:t>
            </w:r>
          </w:p>
        </w:tc>
        <w:tc>
          <w:tcPr>
            <w:tcW w:w="3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130,724</w:t>
            </w:r>
          </w:p>
        </w:tc>
        <w:tc>
          <w:tcPr>
            <w:tcW w:w="0" w:type="dxa"/>
            <w:vAlign w:val="bottom"/>
          </w:tcPr>
          <w:p>
            <w:pPr>
              <w:spacing w:after="0"/>
              <w:rPr>
                <w:sz w:val="1"/>
                <w:szCs w:val="1"/>
                <w:color w:val="auto"/>
              </w:rPr>
            </w:pPr>
          </w:p>
        </w:tc>
      </w:tr>
      <w:tr>
        <w:trPr>
          <w:trHeight w:val="237"/>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Non-Taxable</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0" w:type="dxa"/>
            <w:vAlign w:val="bottom"/>
          </w:tcPr>
          <w:p>
            <w:pPr>
              <w:spacing w:after="0"/>
              <w:rPr>
                <w:sz w:val="1"/>
                <w:szCs w:val="1"/>
                <w:color w:val="auto"/>
              </w:rPr>
            </w:pPr>
          </w:p>
        </w:tc>
      </w:tr>
      <w:tr>
        <w:trPr>
          <w:trHeight w:val="261"/>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Income from Investment Securities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49,034</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44,364</w:t>
            </w: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140,535</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131,320</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Loans and Leases and the Allowance for Credit Losses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loan and lease portfolio was comprised of the following as of September 30, 2025 and December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980" w:type="dxa"/>
            <w:vAlign w:val="bottom"/>
          </w:tcPr>
          <w:p>
            <w:pPr>
              <w:spacing w:after="0"/>
              <w:rPr>
                <w:sz w:val="16"/>
                <w:szCs w:val="16"/>
                <w:color w:val="auto"/>
              </w:rPr>
            </w:pPr>
          </w:p>
        </w:tc>
        <w:tc>
          <w:tcPr>
            <w:tcW w:w="16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16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470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3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29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2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4,040,711</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4,020,622</w:t>
            </w:r>
          </w:p>
        </w:tc>
      </w:tr>
      <w:tr>
        <w:trPr>
          <w:trHeight w:val="25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9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1,581,232</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1,705,133</w:t>
            </w: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29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380,944</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308,898</w:t>
            </w:r>
          </w:p>
        </w:tc>
      </w:tr>
      <w:tr>
        <w:trPr>
          <w:trHeight w:val="246"/>
        </w:trPr>
        <w:tc>
          <w:tcPr>
            <w:tcW w:w="4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29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92,213</w:t>
            </w:r>
          </w:p>
        </w:tc>
        <w:tc>
          <w:tcPr>
            <w:tcW w:w="2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90,756</w:t>
            </w:r>
          </w:p>
        </w:tc>
      </w:tr>
      <w:tr>
        <w:trPr>
          <w:trHeight w:val="236"/>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2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6,095,100</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6,125,409</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9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29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4,685,214</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4,628,283</w:t>
            </w:r>
          </w:p>
        </w:tc>
      </w:tr>
      <w:tr>
        <w:trPr>
          <w:trHeight w:val="253"/>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298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2,129,599</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2,165,514</w:t>
            </w:r>
          </w:p>
        </w:tc>
      </w:tr>
      <w:tr>
        <w:trPr>
          <w:trHeight w:val="233"/>
        </w:trPr>
        <w:tc>
          <w:tcPr>
            <w:tcW w:w="4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29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699,244</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764,146</w:t>
            </w:r>
          </w:p>
        </w:tc>
      </w:tr>
      <w:tr>
        <w:trPr>
          <w:trHeight w:val="246"/>
        </w:trPr>
        <w:tc>
          <w:tcPr>
            <w:tcW w:w="4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9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412,422</w:t>
            </w:r>
          </w:p>
        </w:tc>
        <w:tc>
          <w:tcPr>
            <w:tcW w:w="2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392,628</w:t>
            </w:r>
          </w:p>
        </w:tc>
      </w:tr>
      <w:tr>
        <w:trPr>
          <w:trHeight w:val="237"/>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29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7,926,479</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7,950,571</w:t>
            </w:r>
          </w:p>
        </w:tc>
      </w:tr>
      <w:tr>
        <w:trPr>
          <w:trHeight w:val="261"/>
        </w:trPr>
        <w:tc>
          <w:tcPr>
            <w:tcW w:w="4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29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14,021,579</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14,075,980</w:t>
            </w:r>
          </w:p>
        </w:tc>
      </w:tr>
      <w:tr>
        <w:trPr>
          <w:trHeight w:val="20"/>
        </w:trPr>
        <w:tc>
          <w:tcPr>
            <w:tcW w:w="470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majority of the Company’s lending activity is with customers located within the State of Hawai‘i. A substantial portion of the Company’s real estate loans are secured by real estate located within the State of Hawai‘i.</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elected to exclude AIR from the amortized cost basis of loans and leases disclosed throughout this footnote. As of September 30, 2025 and December 31, 2024, AIR for loans totaled $48.3 million and $48.4 million,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(the “Allowance”)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by portfolio segment, the activity in the Allowance for the three and nine months ended September 30, 2025 and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78,902</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69,641</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148,543</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(3,788)</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w:t>
            </w:r>
          </w:p>
        </w:tc>
      </w:tr>
      <w:tr>
        <w:trPr>
          <w:trHeight w:val="237"/>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78,295</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70,483</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148,778</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83,900</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64,628</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148,528</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(11,903)</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(13,679)</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(8,075)</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(9,598)</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(4,082)</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13,930</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9,848</w:t>
            </w:r>
          </w:p>
        </w:tc>
      </w:tr>
      <w:tr>
        <w:trPr>
          <w:trHeight w:val="237"/>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78,295</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70,483</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148,778</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1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80,085</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67,392</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147,477</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(4,315)</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(5,336)</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w:t>
            </w:r>
          </w:p>
        </w:tc>
      </w:tr>
      <w:tr>
        <w:trPr>
          <w:trHeight w:val="236"/>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81,955</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65,376</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147,331</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4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Balance at Beginning of Period</w:t>
            </w:r>
          </w:p>
        </w:tc>
        <w:tc>
          <w:tcPr>
            <w:tcW w:w="14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74,074</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72,329</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146,403</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(11,665)</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(13,921)</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Recoveries on Loans and Leases Previously Charged-Off</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4,417</w:t>
            </w:r>
          </w:p>
        </w:tc>
      </w:tr>
      <w:tr>
        <w:trPr>
          <w:trHeight w:val="233"/>
        </w:trPr>
        <w:tc>
          <w:tcPr>
            <w:tcW w:w="54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Net Loans and Leases Charged-Off</w:t>
            </w:r>
          </w:p>
        </w:tc>
        <w:tc>
          <w:tcPr>
            <w:tcW w:w="14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(7,693)</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(9,504)</w:t>
            </w:r>
          </w:p>
        </w:tc>
      </w:tr>
      <w:tr>
        <w:trPr>
          <w:trHeight w:val="246"/>
        </w:trPr>
        <w:tc>
          <w:tcPr>
            <w:tcW w:w="54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w:t>
            </w:r>
          </w:p>
        </w:tc>
        <w:tc>
          <w:tcPr>
            <w:tcW w:w="2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10,432</w:t>
            </w:r>
          </w:p>
        </w:tc>
      </w:tr>
      <w:tr>
        <w:trPr>
          <w:trHeight w:val="236"/>
        </w:trPr>
        <w:tc>
          <w:tcPr>
            <w:tcW w:w="5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Balance at End of Period</w:t>
            </w: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81,955</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65,376</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147,331</w:t>
            </w:r>
          </w:p>
        </w:tc>
      </w:tr>
      <w:tr>
        <w:trPr>
          <w:trHeight w:val="27"/>
        </w:trPr>
        <w:tc>
          <w:tcPr>
            <w:tcW w:w="5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are typically monitored and risk-rated collectively. These are typically loans and leases to individuals in the classes which comprise the consumer portfolio segment.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definitions of the Company’s credit quality indicators: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Pass:</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and leases in all classes within the commercial and consumer portfolio segments that are not</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adversely rated, are generally contractually current as to principal and interest, and are otherwise in</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the contractual terms of the loan or lease agreement. Residential mortgage loans</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that are past due 90 days or more as to principal or interest may be considered Pass if the current</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loan-to-value ratio is 60% or less. Home equity loans that are past due 90 days or more as to</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or interest may be considered Pass if: a) the home equity loan is in first lien position and</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current loan-to-value ratio is 60% or less; or b) the first mortgage is with the Company and the</w:t>
            </w:r>
          </w:p>
        </w:tc>
      </w:tr>
      <w:tr>
        <w:trPr>
          <w:trHeight w:val="234"/>
        </w:trPr>
        <w:tc>
          <w:tcPr>
            <w:tcW w:w="2460" w:type="dxa"/>
            <w:vAlign w:val="bottom"/>
          </w:tcPr>
          <w:p>
            <w:pPr>
              <w:spacing w:after="0"/>
              <w:rPr>
                <w:sz w:val="20"/>
                <w:szCs w:val="20"/>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combined loan-to-value ratio is 60% or less.</w:t>
            </w:r>
          </w:p>
        </w:tc>
      </w:tr>
      <w:tr>
        <w:trPr>
          <w:trHeight w:val="468"/>
        </w:trPr>
        <w:tc>
          <w:tcPr>
            <w:tcW w:w="2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Special Mention:</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and leases in the classes within the commercial portfolio segment that have potential</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weaknesses that warrant management’s close attention. If not addressed, these potential weaknesses</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result in deterioration of the repayment prospects for the loan or lease. The Special Mention</w:t>
            </w:r>
          </w:p>
        </w:tc>
      </w:tr>
      <w:tr>
        <w:trPr>
          <w:trHeight w:val="234"/>
        </w:trPr>
        <w:tc>
          <w:tcPr>
            <w:tcW w:w="2460" w:type="dxa"/>
            <w:vAlign w:val="bottom"/>
          </w:tcPr>
          <w:p>
            <w:pPr>
              <w:spacing w:after="0"/>
              <w:rPr>
                <w:sz w:val="20"/>
                <w:szCs w:val="20"/>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quality indicator is not used for the consumer portfolio segment.</w:t>
            </w:r>
          </w:p>
        </w:tc>
      </w:tr>
      <w:tr>
        <w:trPr>
          <w:trHeight w:val="468"/>
        </w:trPr>
        <w:tc>
          <w:tcPr>
            <w:tcW w:w="24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Classified:</w:t>
            </w: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and leases in the classes within the commercial portfolio segment that have a well-defined</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weakness or weaknesses and are inadequately protected by the sound worth and paying capacity of</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borrower or applicable collateral, if any. Classified loans and leases are also those in the classes</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within the consumer portfolio segment that are past due 90 days or more as to principal or interest</w:t>
            </w:r>
          </w:p>
        </w:tc>
      </w:tr>
      <w:tr>
        <w:trPr>
          <w:trHeight w:val="216"/>
        </w:trPr>
        <w:tc>
          <w:tcPr>
            <w:tcW w:w="2460" w:type="dxa"/>
            <w:vAlign w:val="bottom"/>
          </w:tcPr>
          <w:p>
            <w:pPr>
              <w:spacing w:after="0"/>
              <w:rPr>
                <w:sz w:val="18"/>
                <w:szCs w:val="18"/>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(excluding residential mortgage and home equity loans which meet the criteria for being considered</w:t>
            </w:r>
          </w:p>
        </w:tc>
      </w:tr>
      <w:tr>
        <w:trPr>
          <w:trHeight w:val="234"/>
        </w:trPr>
        <w:tc>
          <w:tcPr>
            <w:tcW w:w="2460" w:type="dxa"/>
            <w:vAlign w:val="bottom"/>
          </w:tcPr>
          <w:p>
            <w:pPr>
              <w:spacing w:after="0"/>
              <w:rPr>
                <w:sz w:val="20"/>
                <w:szCs w:val="20"/>
                <w:color w:val="auto"/>
              </w:rPr>
            </w:pPr>
          </w:p>
        </w:tc>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Pass).</w:t>
            </w:r>
          </w:p>
        </w:tc>
      </w:tr>
      <w:tr>
        <w:trPr>
          <w:trHeight w:val="918"/>
        </w:trPr>
        <w:tc>
          <w:tcPr>
            <w:tcW w:w="2460" w:type="dxa"/>
            <w:vAlign w:val="bottom"/>
          </w:tcPr>
          <w:p>
            <w:pPr>
              <w:spacing w:after="0"/>
              <w:rPr>
                <w:sz w:val="24"/>
                <w:szCs w:val="24"/>
                <w:color w:val="auto"/>
              </w:rPr>
            </w:pPr>
          </w:p>
        </w:tc>
        <w:tc>
          <w:tcPr>
            <w:tcW w:w="878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15</w:t>
            </w:r>
          </w:p>
        </w:tc>
      </w:tr>
      <w:tr>
        <w:trPr>
          <w:trHeight w:val="304"/>
        </w:trPr>
        <w:tc>
          <w:tcPr>
            <w:tcW w:w="2460" w:type="dxa"/>
            <w:vAlign w:val="bottom"/>
            <w:tcBorders>
              <w:bottom w:val="single" w:sz="8" w:color="9A9A9A"/>
            </w:tcBorders>
          </w:tcPr>
          <w:p>
            <w:pPr>
              <w:spacing w:after="0"/>
              <w:rPr>
                <w:sz w:val="24"/>
                <w:szCs w:val="24"/>
                <w:color w:val="auto"/>
              </w:rPr>
            </w:pPr>
          </w:p>
        </w:tc>
        <w:tc>
          <w:tcPr>
            <w:tcW w:w="8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For Pass rated credits in the commercial portfolio, most risk ratings are certified at a minimum annually. For Special Mention or Classified credits in the commercial portfolio, risk ratings are reviewed for appropriateness on an ongoing basis, monthly, or at a minimum, quarterly. The following presents by credit quality indicator, loan class, and year of origination, the amortized cost basis of the Company’s loans and leases as of September 30,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6"/>
              </w:rPr>
              <w:t>Term Loans by Origination Year</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8"/>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Revolving Loans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22"/>
              <w:spacing w:after="0" w:line="135" w:lineRule="exact"/>
              <w:rPr>
                <w:sz w:val="20"/>
                <w:szCs w:val="20"/>
                <w:color w:val="auto"/>
              </w:rPr>
            </w:pPr>
            <w:r>
              <w:rPr>
                <w:rFonts w:ascii="Times New Roman" w:cs="Times New Roman" w:eastAsia="Times New Roman" w:hAnsi="Times New Roman"/>
                <w:sz w:val="12"/>
                <w:szCs w:val="12"/>
                <w:b w:val="1"/>
                <w:bCs w:val="1"/>
                <w:color w:val="auto"/>
                <w:w w:val="98"/>
              </w:rPr>
              <w:t>Converted to</w:t>
            </w:r>
          </w:p>
        </w:tc>
        <w:tc>
          <w:tcPr>
            <w:tcW w:w="94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b w:val="1"/>
                <w:bCs w:val="1"/>
                <w:color w:val="auto"/>
              </w:rPr>
              <w:t>Total Loans and</w:t>
            </w:r>
          </w:p>
        </w:tc>
      </w:tr>
      <w:tr>
        <w:trPr>
          <w:trHeight w:val="18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(dollars in thousands)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2025</w:t>
            </w:r>
            <w:r>
              <w:rPr>
                <w:rFonts w:ascii="Times New Roman" w:cs="Times New Roman" w:eastAsia="Times New Roman" w:hAnsi="Times New Roman"/>
                <w:sz w:val="15"/>
                <w:szCs w:val="15"/>
                <w:b w:val="1"/>
                <w:bCs w:val="1"/>
                <w:color w:val="auto"/>
                <w:vertAlign w:val="superscript"/>
              </w:rPr>
              <w:t>1</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2023</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2"/>
                <w:szCs w:val="12"/>
                <w:b w:val="1"/>
                <w:bCs w:val="1"/>
                <w:color w:val="auto"/>
                <w:w w:val="98"/>
              </w:rPr>
              <w:t>Term Loans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Leases</w:t>
            </w:r>
          </w:p>
        </w:tc>
      </w:tr>
      <w:tr>
        <w:trPr>
          <w:trHeight w:val="16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Commercial</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Commercial Mortgage</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489,190</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305,933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662,439</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881,134</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567,451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893,704</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35,551</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3,835,402</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Special Mention</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32,500</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32,500</w:t>
            </w:r>
          </w:p>
        </w:tc>
      </w:tr>
      <w:tr>
        <w:trPr>
          <w:trHeight w:val="183"/>
        </w:trPr>
        <w:tc>
          <w:tcPr>
            <w:tcW w:w="2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3,406</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36,528</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13,575</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85,377</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3,042</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30,881</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172,809</w:t>
            </w:r>
          </w:p>
        </w:tc>
      </w:tr>
      <w:tr>
        <w:trPr>
          <w:trHeight w:val="183"/>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Commercial Mortgage</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525,096</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342,461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676,014</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966,511</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570,493</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924,585</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35,551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4,040,711</w:t>
            </w:r>
          </w:p>
        </w:tc>
      </w:tr>
      <w:tr>
        <w:trPr>
          <w:trHeight w:val="17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7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169,766</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314,312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246,977</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209,943</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134,594</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141,025</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307,852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1,524,654</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Special Mention</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23,898</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24,284</w:t>
            </w:r>
          </w:p>
        </w:tc>
      </w:tr>
      <w:tr>
        <w:trPr>
          <w:trHeight w:val="183"/>
        </w:trPr>
        <w:tc>
          <w:tcPr>
            <w:tcW w:w="2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553</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14,461</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2,084</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2,044</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3,247</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9,520</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32,294</w:t>
            </w:r>
          </w:p>
        </w:tc>
      </w:tr>
      <w:tr>
        <w:trPr>
          <w:trHeight w:val="183"/>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Commercial and Industrial</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170,151</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315,251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261,438</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212,027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136,638</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144,272</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341,270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1,581,232</w:t>
            </w:r>
          </w:p>
        </w:tc>
      </w:tr>
      <w:tr>
        <w:trPr>
          <w:trHeight w:val="17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1,322</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1,776</w:t>
            </w:r>
          </w:p>
        </w:tc>
      </w:tr>
      <w:tr>
        <w:trPr>
          <w:trHeight w:val="17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Construction</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25,868</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137,884</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139,098</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49,742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7,722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363,480</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Special Mention</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14,614</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14,614</w:t>
            </w:r>
          </w:p>
        </w:tc>
      </w:tr>
      <w:tr>
        <w:trPr>
          <w:trHeight w:val="183"/>
        </w:trPr>
        <w:tc>
          <w:tcPr>
            <w:tcW w:w="2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2,850</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2,850</w:t>
            </w:r>
          </w:p>
        </w:tc>
      </w:tr>
      <w:tr>
        <w:trPr>
          <w:trHeight w:val="183"/>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Construction</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25,868</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137,884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139,098</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67,206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3,166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380,944</w:t>
            </w: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Lease Financing</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r>
      <w:tr>
        <w:trPr>
          <w:trHeight w:val="17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15,271</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46,779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6,830</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6,958</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6,486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9,365</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91,689</w:t>
            </w:r>
          </w:p>
        </w:tc>
      </w:tr>
      <w:tr>
        <w:trPr>
          <w:trHeight w:val="193"/>
        </w:trPr>
        <w:tc>
          <w:tcPr>
            <w:tcW w:w="2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w:t>
            </w: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524</w:t>
            </w:r>
          </w:p>
        </w:tc>
      </w:tr>
      <w:tr>
        <w:trPr>
          <w:trHeight w:val="183"/>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Total Lease Financing</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15,271</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46,779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7,232</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6,984</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6,543</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9,404</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92,213</w:t>
            </w:r>
          </w:p>
        </w:tc>
      </w:tr>
      <w:tr>
        <w:trPr>
          <w:trHeight w:val="183"/>
        </w:trPr>
        <w:tc>
          <w:tcPr>
            <w:tcW w:w="2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Commercial</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736,386</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842,375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1,083,782</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1,252,728</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716,840</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1,078,261</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384,543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6,095,100</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Commercial Gross Charge-Offs</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1,322</w:t>
            </w: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1,776</w:t>
            </w:r>
          </w:p>
        </w:tc>
      </w:tr>
      <w:tr>
        <w:trPr>
          <w:trHeight w:val="17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Consumer</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Residential Mortgage</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339,885</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242,793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244,336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715,635</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1,135,044</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2,004,188</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4,681,881</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1,825</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1,508</w:t>
            </w: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3,333</w:t>
            </w:r>
          </w:p>
        </w:tc>
      </w:tr>
      <w:tr>
        <w:trPr>
          <w:trHeight w:val="183"/>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Total Residential Mortgage</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339,885</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242,793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244,336</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717,460</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1,135,044</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2,005,696</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4,685,214</w:t>
            </w:r>
          </w:p>
        </w:tc>
      </w:tr>
      <w:tr>
        <w:trPr>
          <w:trHeight w:val="16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2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Home Equity</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2,052,721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73,142</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2,125,901</w:t>
            </w:r>
          </w:p>
        </w:tc>
      </w:tr>
      <w:tr>
        <w:trPr>
          <w:trHeight w:val="183"/>
        </w:trPr>
        <w:tc>
          <w:tcPr>
            <w:tcW w:w="2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3,319</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3,698</w:t>
            </w:r>
          </w:p>
        </w:tc>
      </w:tr>
      <w:tr>
        <w:trPr>
          <w:trHeight w:val="183"/>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Home Equity</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2,056,040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73,521</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2,129,599</w:t>
            </w: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0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258</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Automobile</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149,021</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169,276</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141,130</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150,162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59,792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29,319</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698,700</w:t>
            </w: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110</w:t>
            </w:r>
          </w:p>
        </w:tc>
        <w:tc>
          <w:tcPr>
            <w:tcW w:w="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544</w:t>
            </w:r>
          </w:p>
        </w:tc>
      </w:tr>
      <w:tr>
        <w:trPr>
          <w:trHeight w:val="183"/>
        </w:trPr>
        <w:tc>
          <w:tcPr>
            <w:tcW w:w="2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color w:val="auto"/>
              </w:rPr>
              <w:t>Total Automobile</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149,041</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169,498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141,219</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150,221</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59,836</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29,429</w:t>
            </w:r>
          </w:p>
        </w:tc>
        <w:tc>
          <w:tcPr>
            <w:tcW w:w="2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699,244</w:t>
            </w:r>
          </w:p>
        </w:tc>
      </w:tr>
      <w:tr>
        <w:trPr>
          <w:trHeight w:val="18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1,030</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1,303</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w:t>
            </w: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681</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4,372</w:t>
            </w:r>
          </w:p>
        </w:tc>
      </w:tr>
      <w:tr>
        <w:trPr>
          <w:trHeight w:val="169"/>
        </w:trPr>
        <w:tc>
          <w:tcPr>
            <w:tcW w:w="27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Pass</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123,246</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107,285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55,314</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63,902</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32,353</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29,215</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411,825</w:t>
            </w:r>
          </w:p>
        </w:tc>
      </w:tr>
      <w:tr>
        <w:trPr>
          <w:trHeight w:val="183"/>
        </w:trPr>
        <w:tc>
          <w:tcPr>
            <w:tcW w:w="2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Classified</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71</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597</w:t>
            </w:r>
          </w:p>
        </w:tc>
      </w:tr>
      <w:tr>
        <w:trPr>
          <w:trHeight w:val="183"/>
        </w:trPr>
        <w:tc>
          <w:tcPr>
            <w:tcW w:w="2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Other</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123,275</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107,473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55,465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64,036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32,377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29,286</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412,422</w:t>
            </w:r>
          </w:p>
        </w:tc>
      </w:tr>
      <w:tr>
        <w:trPr>
          <w:trHeight w:val="183"/>
        </w:trPr>
        <w:tc>
          <w:tcPr>
            <w:tcW w:w="2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Gross Charge-Offs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717</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1,572</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1,461</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1,796</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995</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732</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7,273</w:t>
            </w:r>
          </w:p>
        </w:tc>
      </w:tr>
      <w:tr>
        <w:trPr>
          <w:trHeight w:val="208"/>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Consumer</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612,201</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519,764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441,020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931,717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1,227,257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2,064,449</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2,056,550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73,521</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7,926,479</w:t>
            </w:r>
          </w:p>
        </w:tc>
      </w:tr>
      <w:tr>
        <w:trPr>
          <w:trHeight w:val="20"/>
        </w:trPr>
        <w:tc>
          <w:tcPr>
            <w:tcW w:w="2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Total Consumer Gross Charge-Offs</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781</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2,602</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2,764</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2,776</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1,309</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1,413</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11,903</w:t>
            </w:r>
          </w:p>
        </w:tc>
      </w:tr>
      <w:tr>
        <w:trPr>
          <w:trHeight w:val="208"/>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Loans and Leases</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1,348,587</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1,362,139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1,524,802</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2,184,445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1,944,097</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3,142,710</w:t>
            </w:r>
          </w:p>
        </w:tc>
        <w:tc>
          <w:tcPr>
            <w:tcW w:w="24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2,441,093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73,706</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14,021,579</w:t>
            </w:r>
          </w:p>
        </w:tc>
      </w:tr>
      <w:tr>
        <w:trPr>
          <w:trHeight w:val="20"/>
        </w:trPr>
        <w:tc>
          <w:tcPr>
            <w:tcW w:w="27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Total Gross Charge-Offs</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1,096</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2,741</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2,764</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2,776</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1,309</w:t>
            </w:r>
          </w:p>
        </w:tc>
        <w:tc>
          <w:tcPr>
            <w:tcW w:w="24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2,735</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c>
          <w:tcPr>
            <w:tcW w:w="20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13,679</w:t>
            </w:r>
          </w:p>
        </w:tc>
      </w:tr>
    </w:tbl>
    <w:p>
      <w:pPr>
        <w:spacing w:after="0" w:line="78"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Loans reported as Special Mention and Classified in the 2025 column represent amendment of loans that originated in an earlier period.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$18.4 million of revolving loans were converted to term loans.</w:t>
      </w:r>
    </w:p>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presents by credit quality indicator, loan class, and year of origination, the amortized cost basis of the Company’s loans and leases as of December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w w:val="96"/>
              </w:rPr>
              <w:t>Term Loans by Origination Year</w:t>
            </w: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8"/>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Revolving Loans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35"/>
        </w:trPr>
        <w:tc>
          <w:tcPr>
            <w:tcW w:w="2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42"/>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Converted to</w:t>
            </w:r>
          </w:p>
        </w:tc>
        <w:tc>
          <w:tcPr>
            <w:tcW w:w="960" w:type="dxa"/>
            <w:vAlign w:val="bottom"/>
            <w:gridSpan w:val="2"/>
          </w:tcPr>
          <w:p>
            <w:pPr>
              <w:jc w:val="right"/>
              <w:ind w:right="2"/>
              <w:spacing w:after="0" w:line="135" w:lineRule="exact"/>
              <w:rPr>
                <w:sz w:val="20"/>
                <w:szCs w:val="20"/>
                <w:color w:val="auto"/>
              </w:rPr>
            </w:pPr>
            <w:r>
              <w:rPr>
                <w:rFonts w:ascii="Times New Roman" w:cs="Times New Roman" w:eastAsia="Times New Roman" w:hAnsi="Times New Roman"/>
                <w:sz w:val="12"/>
                <w:szCs w:val="12"/>
                <w:b w:val="1"/>
                <w:bCs w:val="1"/>
                <w:color w:val="auto"/>
              </w:rPr>
              <w:t>Total Loans and</w:t>
            </w:r>
          </w:p>
        </w:tc>
      </w:tr>
      <w:tr>
        <w:trPr>
          <w:trHeight w:val="186"/>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(dollars in thousands)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2"/>
                <w:szCs w:val="12"/>
                <w:b w:val="1"/>
                <w:bCs w:val="1"/>
                <w:color w:val="auto"/>
              </w:rPr>
              <w:t>2024</w:t>
            </w:r>
            <w:r>
              <w:rPr>
                <w:rFonts w:ascii="Times New Roman" w:cs="Times New Roman" w:eastAsia="Times New Roman" w:hAnsi="Times New Roman"/>
                <w:sz w:val="15"/>
                <w:szCs w:val="15"/>
                <w:b w:val="1"/>
                <w:bCs w:val="1"/>
                <w:color w:val="auto"/>
                <w:vertAlign w:val="superscript"/>
              </w:rPr>
              <w:t>1</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2022</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2021</w:t>
            </w: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2"/>
                <w:szCs w:val="12"/>
                <w:b w:val="1"/>
                <w:bCs w:val="1"/>
                <w:color w:val="auto"/>
              </w:rPr>
              <w:t>Prior</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Revolving Loans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5"/>
              </w:rPr>
              <w:t>Term Loans</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2"/>
                <w:szCs w:val="12"/>
                <w:b w:val="1"/>
                <w:bCs w:val="1"/>
                <w:color w:val="auto"/>
              </w:rPr>
              <w:t>Leases</w:t>
            </w:r>
          </w:p>
        </w:tc>
      </w:tr>
      <w:tr>
        <w:trPr>
          <w:trHeight w:val="16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r>
      <w:tr>
        <w:trPr>
          <w:trHeight w:val="17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7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Commercial Mortgage</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401,415</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687,580</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1,091,627</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596,386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405,244</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600,386</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48,655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3,831,293</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47,773</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1,918</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3,348</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2,911</w:t>
            </w: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15,148</w:t>
            </w: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71,098</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35,770</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14,491</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24,420</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3,136</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19,609</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20,805</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118,231</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Mortgage</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437,185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749,844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1,117,965</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602,870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427,764</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636,339</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48,655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4,020,622</w:t>
            </w: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Commercial and Industrial</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356,831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281,168</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236,802</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146,458</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135,158</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79,258</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375,135</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276</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1,611,086</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467</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38,587</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39,054</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15,614</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3,483</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4,831</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6,590</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6,427</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17,716</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54,993</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Commercial and Industrial</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357,623</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296,782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240,285</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151,289</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141,748</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85,685</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431,438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1,705,133</w:t>
            </w: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1,438</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22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399</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2,609</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Construction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89,334</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110,153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87,006</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1,689</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1,279</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16,766</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306,227</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Special Mention</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2,671</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2,671</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Construction</w:t>
            </w: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89,334</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110,153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89,677</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1,689</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1,279</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16,766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308,898</w:t>
            </w:r>
          </w:p>
        </w:tc>
      </w:tr>
      <w:tr>
        <w:trPr>
          <w:trHeight w:val="169"/>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Lease Financing</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49,360</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8,174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9,568</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9,751</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5,244</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7,602</w:t>
            </w:r>
          </w:p>
        </w:tc>
        <w:tc>
          <w:tcPr>
            <w:tcW w:w="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89,699</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491</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386</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1,057</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Lease Financing</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49,360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9,605</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9,832</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5,306</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7,988</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90,756</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208"/>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Commercial</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933,502</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1,165,444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1,457,532</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765,680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576,097</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730,012</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496,859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6,125,409</w:t>
            </w:r>
          </w:p>
        </w:tc>
      </w:tr>
      <w:tr>
        <w:trPr>
          <w:trHeight w:val="20"/>
        </w:trPr>
        <w:tc>
          <w:tcPr>
            <w:tcW w:w="27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Commercial Gross Charge-Offs</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1,438</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22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399</w:t>
            </w: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2,609</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Consumer</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Residential Mortgage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268,330</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271,985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751,920</w:t>
            </w:r>
          </w:p>
        </w:tc>
        <w:tc>
          <w:tcPr>
            <w:tcW w:w="2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1,180,191</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919,280</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1,232,582</w:t>
            </w:r>
          </w:p>
        </w:tc>
        <w:tc>
          <w:tcPr>
            <w:tcW w:w="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4,624,288</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858</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474</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735</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1,928</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3,995</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Residential Mortgage</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268,330</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271,985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752,778</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1,180,665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920,015</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1,234,510</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4,628,283</w:t>
            </w: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48</w:t>
            </w: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385</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9"/>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Home Equity</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6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2,105,833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55,963</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2,161,836</w:t>
            </w: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3,092</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3,678</w:t>
            </w:r>
          </w:p>
        </w:tc>
      </w:tr>
      <w:tr>
        <w:trPr>
          <w:trHeight w:val="183"/>
        </w:trPr>
        <w:tc>
          <w:tcPr>
            <w:tcW w:w="2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Home Equity</w:t>
            </w:r>
          </w:p>
        </w:tc>
        <w:tc>
          <w:tcPr>
            <w:tcW w:w="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40</w:t>
            </w:r>
          </w:p>
        </w:tc>
        <w:tc>
          <w:tcPr>
            <w:tcW w:w="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2,108,925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56,549</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2,165,514</w:t>
            </w:r>
          </w:p>
        </w:tc>
      </w:tr>
      <w:tr>
        <w:trPr>
          <w:trHeight w:val="169"/>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2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701</w:t>
            </w:r>
          </w:p>
        </w:tc>
      </w:tr>
      <w:tr>
        <w:trPr>
          <w:trHeight w:val="169"/>
        </w:trPr>
        <w:tc>
          <w:tcPr>
            <w:tcW w:w="27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Automobile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
        </w:trPr>
        <w:tc>
          <w:tcPr>
            <w:tcW w:w="2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9"/>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210,145</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187,136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210,207</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94,492</w:t>
            </w:r>
          </w:p>
        </w:tc>
        <w:tc>
          <w:tcPr>
            <w:tcW w:w="24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34,614</w:t>
            </w:r>
          </w:p>
        </w:tc>
        <w:tc>
          <w:tcPr>
            <w:tcW w:w="22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26,777</w:t>
            </w:r>
          </w:p>
        </w:tc>
        <w:tc>
          <w:tcPr>
            <w:tcW w:w="260" w:type="dxa"/>
            <w:vAlign w:val="bottom"/>
            <w:tcBorders>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763,371</w:t>
            </w:r>
          </w:p>
        </w:tc>
      </w:tr>
      <w:tr>
        <w:trPr>
          <w:trHeight w:val="183"/>
        </w:trPr>
        <w:tc>
          <w:tcPr>
            <w:tcW w:w="27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59</w:t>
            </w: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775</w:t>
            </w: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Automobile</w:t>
            </w: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210,235</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187,327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210,431</w:t>
            </w:r>
          </w:p>
        </w:tc>
        <w:tc>
          <w:tcPr>
            <w:tcW w:w="2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94,646</w:t>
            </w: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34,671</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26,836</w:t>
            </w:r>
          </w:p>
        </w:tc>
        <w:tc>
          <w:tcPr>
            <w:tcW w:w="26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764,146</w:t>
            </w:r>
          </w:p>
        </w:tc>
      </w:tr>
      <w:tr>
        <w:trPr>
          <w:trHeight w:val="17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1,578</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1,340</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w:t>
            </w:r>
          </w:p>
        </w:tc>
        <w:tc>
          <w:tcPr>
            <w:tcW w:w="2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w:t>
            </w:r>
          </w:p>
        </w:tc>
        <w:tc>
          <w:tcPr>
            <w:tcW w:w="22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821</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5,342</w:t>
            </w:r>
          </w:p>
        </w:tc>
      </w:tr>
      <w:tr>
        <w:trPr>
          <w:trHeight w:val="179"/>
        </w:trPr>
        <w:tc>
          <w:tcPr>
            <w:tcW w:w="2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179"/>
        </w:trPr>
        <w:tc>
          <w:tcPr>
            <w:tcW w:w="27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Pass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133,093</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74,068</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96,376</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52,152</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5,149</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30,580</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391,951</w:t>
            </w:r>
          </w:p>
        </w:tc>
      </w:tr>
      <w:tr>
        <w:trPr>
          <w:trHeight w:val="204"/>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Classified</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2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68</w:t>
            </w:r>
          </w:p>
        </w:tc>
        <w:tc>
          <w:tcPr>
            <w:tcW w:w="2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677</w:t>
            </w:r>
          </w:p>
        </w:tc>
      </w:tr>
      <w:tr>
        <w:trPr>
          <w:trHeight w:val="162"/>
        </w:trPr>
        <w:tc>
          <w:tcPr>
            <w:tcW w:w="2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Total Other</w:t>
            </w:r>
          </w:p>
        </w:tc>
        <w:tc>
          <w:tcPr>
            <w:tcW w:w="20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133,144</w:t>
            </w:r>
          </w:p>
        </w:tc>
        <w:tc>
          <w:tcPr>
            <w:tcW w:w="2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74,297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96,622</w:t>
            </w:r>
          </w:p>
        </w:tc>
        <w:tc>
          <w:tcPr>
            <w:tcW w:w="22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52,235</w:t>
            </w:r>
          </w:p>
        </w:tc>
        <w:tc>
          <w:tcPr>
            <w:tcW w:w="2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5,149</w:t>
            </w:r>
          </w:p>
        </w:tc>
        <w:tc>
          <w:tcPr>
            <w:tcW w:w="22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30,648</w:t>
            </w:r>
          </w:p>
        </w:tc>
        <w:tc>
          <w:tcPr>
            <w:tcW w:w="26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392,628</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8"/>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Charge-Offs</w:t>
            </w: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1,431</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2,151</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2,901</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1,869</w:t>
            </w:r>
          </w:p>
        </w:tc>
        <w:tc>
          <w:tcPr>
            <w:tcW w:w="2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1,421</w:t>
            </w: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10,099</w:t>
            </w:r>
          </w:p>
        </w:tc>
      </w:tr>
      <w:tr>
        <w:trPr>
          <w:trHeight w:val="176"/>
        </w:trPr>
        <w:tc>
          <w:tcPr>
            <w:tcW w:w="27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Total Consumer</w:t>
            </w: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611,709</w:t>
            </w: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533,609</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1,059,831</w:t>
            </w: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1,327,546</w:t>
            </w: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959,835</w:t>
            </w: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1,292,034</w:t>
            </w:r>
          </w:p>
        </w:tc>
        <w:tc>
          <w:tcPr>
            <w:tcW w:w="26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2,109,458</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56,549</w:t>
            </w: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7,950,571</w:t>
            </w:r>
          </w:p>
        </w:tc>
      </w:tr>
      <w:tr>
        <w:trPr>
          <w:trHeight w:val="21"/>
        </w:trPr>
        <w:tc>
          <w:tcPr>
            <w:tcW w:w="2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2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Consumer Gross Charge-Offs</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1,658</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3,729</w:t>
            </w: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4,241</w:t>
            </w: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3,289</w:t>
            </w: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w:t>
            </w: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2,290</w:t>
            </w: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16,527</w:t>
            </w:r>
          </w:p>
        </w:tc>
      </w:tr>
      <w:tr>
        <w:trPr>
          <w:trHeight w:val="169"/>
        </w:trPr>
        <w:tc>
          <w:tcPr>
            <w:tcW w:w="2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Loans and Leases</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1,545,211</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1,699,053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2,517,363</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2,093,226</w:t>
            </w: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1,535,932</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2,022,046</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2,606,317</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56,832</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14,075,980</w:t>
            </w: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6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Gross Charge-Offs</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4,011</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4,241</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4,727</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747</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2,689</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19,136</w:t>
            </w:r>
          </w:p>
        </w:tc>
      </w:tr>
      <w:tr>
        <w:trPr>
          <w:trHeight w:val="20"/>
        </w:trPr>
        <w:tc>
          <w:tcPr>
            <w:tcW w:w="27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bl>
    <w:p>
      <w:pPr>
        <w:spacing w:after="0" w:line="42"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Loans reported as Special Mention and Classified in the 2024 column represent amendment of loans that originated in an earlier period.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2024, $12.7 million of revolving loans were converted to term loans.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Aging Analysis</w:t>
      </w:r>
    </w:p>
    <w:p>
      <w:pPr>
        <w:spacing w:after="0" w:line="187"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Loans and leases are considered to be past due once becoming 30 days delinquent. For the consumer portfolio, this generally represents two missed monthly payments. The following presents by class, an aging analysis of the Company’s loan and lease portfolio as of September 30, 2025 and December 31, 2024.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30 - 59 Days</w:t>
            </w:r>
          </w:p>
        </w:tc>
        <w:tc>
          <w:tcPr>
            <w:tcW w:w="180" w:type="dxa"/>
            <w:vAlign w:val="bottom"/>
          </w:tcPr>
          <w:p>
            <w:pPr>
              <w:spacing w:after="0"/>
              <w:rPr>
                <w:sz w:val="15"/>
                <w:szCs w:val="15"/>
                <w:color w:val="auto"/>
              </w:rPr>
            </w:pPr>
          </w:p>
        </w:tc>
        <w:tc>
          <w:tcPr>
            <w:tcW w:w="9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60 - 89 Days</w:t>
            </w:r>
          </w:p>
        </w:tc>
        <w:tc>
          <w:tcPr>
            <w:tcW w:w="180" w:type="dxa"/>
            <w:vAlign w:val="bottom"/>
          </w:tcPr>
          <w:p>
            <w:pPr>
              <w:spacing w:after="0"/>
              <w:rPr>
                <w:sz w:val="15"/>
                <w:szCs w:val="15"/>
                <w:color w:val="auto"/>
              </w:rPr>
            </w:pPr>
          </w:p>
        </w:tc>
        <w:tc>
          <w:tcPr>
            <w:tcW w:w="9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Past Due 90</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Past Due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Loans and</w:t>
            </w:r>
          </w:p>
        </w:tc>
        <w:tc>
          <w:tcPr>
            <w:tcW w:w="160" w:type="dxa"/>
            <w:vAlign w:val="bottom"/>
          </w:tcPr>
          <w:p>
            <w:pPr>
              <w:spacing w:after="0"/>
              <w:rPr>
                <w:sz w:val="15"/>
                <w:szCs w:val="15"/>
                <w:color w:val="auto"/>
              </w:rPr>
            </w:pP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Loans and</w:t>
            </w:r>
          </w:p>
        </w:tc>
        <w:tc>
          <w:tcPr>
            <w:tcW w:w="0" w:type="dxa"/>
            <w:vAlign w:val="bottom"/>
          </w:tcPr>
          <w:p>
            <w:pPr>
              <w:spacing w:after="0"/>
              <w:rPr>
                <w:sz w:val="1"/>
                <w:szCs w:val="1"/>
                <w:color w:val="auto"/>
              </w:rPr>
            </w:pPr>
          </w:p>
        </w:tc>
      </w:tr>
      <w:tr>
        <w:trPr>
          <w:trHeight w:val="162"/>
        </w:trPr>
        <w:tc>
          <w:tcPr>
            <w:tcW w:w="2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and Non-</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Leases that are</w:t>
            </w:r>
          </w:p>
        </w:tc>
        <w:tc>
          <w:tcPr>
            <w:tcW w:w="0" w:type="dxa"/>
            <w:vAlign w:val="bottom"/>
          </w:tcPr>
          <w:p>
            <w:pPr>
              <w:spacing w:after="0"/>
              <w:rPr>
                <w:sz w:val="1"/>
                <w:szCs w:val="1"/>
                <w:color w:val="auto"/>
              </w:rPr>
            </w:pPr>
          </w:p>
        </w:tc>
      </w:tr>
      <w:tr>
        <w:trPr>
          <w:trHeight w:val="204"/>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80" w:type="dxa"/>
            <w:vAlign w:val="bottom"/>
          </w:tcPr>
          <w:p>
            <w:pPr>
              <w:spacing w:after="0"/>
              <w:rPr>
                <w:sz w:val="17"/>
                <w:szCs w:val="17"/>
                <w:color w:val="auto"/>
              </w:rPr>
            </w:pPr>
          </w:p>
        </w:tc>
        <w:tc>
          <w:tcPr>
            <w:tcW w:w="92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80" w:type="dxa"/>
            <w:vAlign w:val="bottom"/>
          </w:tcPr>
          <w:p>
            <w:pPr>
              <w:spacing w:after="0"/>
              <w:rPr>
                <w:sz w:val="17"/>
                <w:szCs w:val="17"/>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1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Days or More</w:t>
            </w:r>
          </w:p>
        </w:tc>
        <w:tc>
          <w:tcPr>
            <w:tcW w:w="18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40" w:type="dxa"/>
            <w:vAlign w:val="bottom"/>
          </w:tcPr>
          <w:p>
            <w:pPr>
              <w:spacing w:after="0"/>
              <w:rPr>
                <w:sz w:val="17"/>
                <w:szCs w:val="17"/>
                <w:color w:val="auto"/>
              </w:rPr>
            </w:pPr>
          </w:p>
        </w:tc>
        <w:tc>
          <w:tcPr>
            <w:tcW w:w="8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Accrual</w:t>
            </w:r>
          </w:p>
        </w:tc>
        <w:tc>
          <w:tcPr>
            <w:tcW w:w="260" w:type="dxa"/>
            <w:vAlign w:val="bottom"/>
          </w:tcPr>
          <w:p>
            <w:pPr>
              <w:spacing w:after="0"/>
              <w:rPr>
                <w:sz w:val="17"/>
                <w:szCs w:val="17"/>
                <w:color w:val="auto"/>
              </w:rPr>
            </w:pPr>
          </w:p>
        </w:tc>
        <w:tc>
          <w:tcPr>
            <w:tcW w:w="9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00" w:type="dxa"/>
            <w:vAlign w:val="bottom"/>
          </w:tcPr>
          <w:p>
            <w:pPr>
              <w:spacing w:after="0"/>
              <w:rPr>
                <w:sz w:val="17"/>
                <w:szCs w:val="17"/>
                <w:color w:val="auto"/>
              </w:rPr>
            </w:pPr>
          </w:p>
        </w:tc>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7"/>
                <w:szCs w:val="17"/>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23"/>
        </w:trPr>
        <w:tc>
          <w:tcPr>
            <w:tcW w:w="2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Mortgage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2,498</w:t>
            </w:r>
          </w:p>
        </w:tc>
        <w:tc>
          <w:tcPr>
            <w:tcW w:w="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2,498</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4,038,213</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4,040,711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3,506</w:t>
            </w: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3,572</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1,577,660</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1,581,232</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380,944</w:t>
            </w: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380,944</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Financing</w:t>
            </w: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92,213</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92,213</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3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6,004</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6,070</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6,089,030</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6,095,100</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2,417</w:t>
            </w:r>
          </w:p>
        </w:tc>
        <w:tc>
          <w:tcPr>
            <w:tcW w:w="0" w:type="dxa"/>
            <w:vAlign w:val="bottom"/>
          </w:tcPr>
          <w:p>
            <w:pPr>
              <w:spacing w:after="0"/>
              <w:rPr>
                <w:sz w:val="1"/>
                <w:szCs w:val="1"/>
                <w:color w:val="auto"/>
              </w:rPr>
            </w:pPr>
          </w:p>
        </w:tc>
      </w:tr>
      <w:tr>
        <w:trPr>
          <w:trHeight w:val="186"/>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3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1,934</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1,495</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7,456</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5,628</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16,513</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4,668,701</w:t>
            </w: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4,685,214</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4,803</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934</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2,765</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5,107</w:t>
            </w: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13,609</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2,115,990</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2,129,599</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1,427</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15,810</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1,828</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18,163</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681,081</w:t>
            </w: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699,244</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1,799</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1,044</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579</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3,422</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409,000</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412,422</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3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24,346</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5,301</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11,325</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10,735</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51,707</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7,874,772</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7,926,479</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2,858</w:t>
            </w:r>
          </w:p>
        </w:tc>
        <w:tc>
          <w:tcPr>
            <w:tcW w:w="0" w:type="dxa"/>
            <w:vAlign w:val="bottom"/>
          </w:tcPr>
          <w:p>
            <w:pPr>
              <w:spacing w:after="0"/>
              <w:rPr>
                <w:sz w:val="1"/>
                <w:szCs w:val="1"/>
                <w:color w:val="auto"/>
              </w:rPr>
            </w:pPr>
          </w:p>
        </w:tc>
      </w:tr>
      <w:tr>
        <w:trPr>
          <w:trHeight w:val="186"/>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24,391</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5,322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11,325</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16,739</w:t>
            </w:r>
          </w:p>
        </w:tc>
        <w:tc>
          <w:tcPr>
            <w:tcW w:w="2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57,777</w:t>
            </w:r>
          </w:p>
        </w:tc>
        <w:tc>
          <w:tcPr>
            <w:tcW w:w="2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13,963,802</w:t>
            </w:r>
          </w:p>
        </w:tc>
        <w:tc>
          <w:tcPr>
            <w:tcW w:w="3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14,021,579</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5,275</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Mortgage</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2,450</w:t>
            </w:r>
          </w:p>
        </w:tc>
        <w:tc>
          <w:tcPr>
            <w:tcW w:w="2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2,450</w:t>
            </w:r>
          </w:p>
        </w:tc>
        <w:tc>
          <w:tcPr>
            <w:tcW w:w="2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4,018,172</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4,020,622</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4,627</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4,834</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1,700,299</w:t>
            </w: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1,705,133</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Construction</w:t>
            </w: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308,898</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308,898</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Financing</w:t>
            </w:r>
          </w:p>
        </w:tc>
        <w:tc>
          <w:tcPr>
            <w:tcW w:w="3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90,756</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90,756</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3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90</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117</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7,077</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7,284</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6,118,125</w:t>
            </w:r>
          </w:p>
        </w:tc>
        <w:tc>
          <w:tcPr>
            <w:tcW w:w="3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6,125,409</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5,184</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4,174</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3,984</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5,052</w:t>
            </w: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18,394</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4,609,889</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4,628,283</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6,109</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2,753</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2,845</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4,514</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16,221</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2,149,293</w:t>
            </w:r>
          </w:p>
        </w:tc>
        <w:tc>
          <w:tcPr>
            <w:tcW w:w="3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2,165,514</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193"/>
        </w:trPr>
        <w:tc>
          <w:tcPr>
            <w:tcW w:w="20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3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16,443</w:t>
            </w:r>
          </w:p>
        </w:tc>
        <w:tc>
          <w:tcPr>
            <w:tcW w:w="1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1,661</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776</w:t>
            </w:r>
          </w:p>
        </w:tc>
        <w:tc>
          <w:tcPr>
            <w:tcW w:w="1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18,880</w:t>
            </w:r>
          </w:p>
        </w:tc>
        <w:tc>
          <w:tcPr>
            <w:tcW w:w="26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745,266</w:t>
            </w:r>
          </w:p>
        </w:tc>
        <w:tc>
          <w:tcPr>
            <w:tcW w:w="30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764,146</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0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2,565</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1,076</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677</w:t>
            </w: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4,318</w:t>
            </w: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388,310</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392,628</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2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3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30,301</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9,664</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8,282</w:t>
            </w: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9,566</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57,813</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7,892,758</w:t>
            </w:r>
          </w:p>
        </w:tc>
        <w:tc>
          <w:tcPr>
            <w:tcW w:w="3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7,950,571</w:t>
            </w: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0" w:type="dxa"/>
            <w:vAlign w:val="bottom"/>
          </w:tcPr>
          <w:p>
            <w:pPr>
              <w:spacing w:after="0"/>
              <w:rPr>
                <w:sz w:val="1"/>
                <w:szCs w:val="1"/>
                <w:color w:val="auto"/>
              </w:rPr>
            </w:pPr>
          </w:p>
        </w:tc>
      </w:tr>
      <w:tr>
        <w:trPr>
          <w:trHeight w:val="37"/>
        </w:trPr>
        <w:tc>
          <w:tcPr>
            <w:tcW w:w="20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8,282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16,643</w:t>
            </w:r>
          </w:p>
        </w:tc>
        <w:tc>
          <w:tcPr>
            <w:tcW w:w="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65,097</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14,010,883</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14,075,980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w:t>
            </w:r>
          </w:p>
        </w:tc>
        <w:tc>
          <w:tcPr>
            <w:tcW w:w="0" w:type="dxa"/>
            <w:vAlign w:val="bottom"/>
          </w:tcPr>
          <w:p>
            <w:pPr>
              <w:spacing w:after="0"/>
              <w:rPr>
                <w:sz w:val="1"/>
                <w:szCs w:val="1"/>
                <w:color w:val="auto"/>
              </w:rPr>
            </w:pPr>
          </w:p>
        </w:tc>
      </w:tr>
      <w:tr>
        <w:trPr>
          <w:trHeight w:val="20"/>
        </w:trPr>
        <w:tc>
          <w:tcPr>
            <w:tcW w:w="2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 and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the non-accrual loans and leases as of September 30, 2025 and December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Loans Non-Accrual Loans</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Non-Accrual</w:t>
            </w:r>
          </w:p>
        </w:tc>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Non-Accrual Loans Non-Accrual Loans</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Non-Accrual</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with a Related</w:t>
            </w:r>
          </w:p>
        </w:tc>
        <w:tc>
          <w:tcPr>
            <w:tcW w:w="12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without a Related</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with a Related</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without a Related</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7"/>
                <w:szCs w:val="17"/>
                <w:color w:val="auto"/>
              </w:rPr>
            </w:pPr>
          </w:p>
        </w:tc>
        <w:tc>
          <w:tcPr>
            <w:tcW w:w="11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ACL</w:t>
            </w:r>
          </w:p>
        </w:tc>
        <w:tc>
          <w:tcPr>
            <w:tcW w:w="32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ACL</w:t>
            </w:r>
          </w:p>
        </w:tc>
        <w:tc>
          <w:tcPr>
            <w:tcW w:w="26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40" w:type="dxa"/>
            <w:vAlign w:val="bottom"/>
          </w:tcPr>
          <w:p>
            <w:pPr>
              <w:spacing w:after="0"/>
              <w:rPr>
                <w:sz w:val="17"/>
                <w:szCs w:val="17"/>
                <w:color w:val="auto"/>
              </w:rPr>
            </w:pPr>
          </w:p>
        </w:tc>
        <w:tc>
          <w:tcPr>
            <w:tcW w:w="10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ACL</w:t>
            </w:r>
          </w:p>
        </w:tc>
        <w:tc>
          <w:tcPr>
            <w:tcW w:w="320" w:type="dxa"/>
            <w:vAlign w:val="bottom"/>
          </w:tcPr>
          <w:p>
            <w:pPr>
              <w:spacing w:after="0"/>
              <w:rPr>
                <w:sz w:val="17"/>
                <w:szCs w:val="17"/>
                <w:color w:val="auto"/>
              </w:rPr>
            </w:pPr>
          </w:p>
        </w:tc>
        <w:tc>
          <w:tcPr>
            <w:tcW w:w="96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ACL</w:t>
            </w:r>
          </w:p>
        </w:tc>
        <w:tc>
          <w:tcPr>
            <w:tcW w:w="260" w:type="dxa"/>
            <w:vAlign w:val="bottom"/>
          </w:tcPr>
          <w:p>
            <w:pPr>
              <w:spacing w:after="0"/>
              <w:rPr>
                <w:sz w:val="17"/>
                <w:szCs w:val="17"/>
                <w:color w:val="auto"/>
              </w:rPr>
            </w:pPr>
          </w:p>
        </w:tc>
        <w:tc>
          <w:tcPr>
            <w:tcW w:w="100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23"/>
        </w:trPr>
        <w:tc>
          <w:tcPr>
            <w:tcW w:w="3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Mortgage</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0" w:type="dxa"/>
            <w:vAlign w:val="bottom"/>
          </w:tcPr>
          <w:p>
            <w:pPr>
              <w:spacing w:after="0"/>
              <w:rPr>
                <w:sz w:val="1"/>
                <w:szCs w:val="1"/>
                <w:color w:val="auto"/>
              </w:rPr>
            </w:pPr>
          </w:p>
        </w:tc>
      </w:tr>
      <w:tr>
        <w:trPr>
          <w:trHeight w:val="186"/>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3,605</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6,004</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3,695</w:t>
            </w: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7,077</w:t>
            </w:r>
          </w:p>
        </w:tc>
        <w:tc>
          <w:tcPr>
            <w:tcW w:w="0" w:type="dxa"/>
            <w:vAlign w:val="bottom"/>
          </w:tcPr>
          <w:p>
            <w:pPr>
              <w:spacing w:after="0"/>
              <w:rPr>
                <w:sz w:val="1"/>
                <w:szCs w:val="1"/>
                <w:color w:val="auto"/>
              </w:rPr>
            </w:pPr>
          </w:p>
        </w:tc>
      </w:tr>
      <w:tr>
        <w:trPr>
          <w:trHeight w:val="37"/>
        </w:trPr>
        <w:tc>
          <w:tcPr>
            <w:tcW w:w="3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5,187</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3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5,052</w:t>
            </w:r>
          </w:p>
        </w:tc>
        <w:tc>
          <w:tcPr>
            <w:tcW w:w="0" w:type="dxa"/>
            <w:vAlign w:val="bottom"/>
          </w:tcPr>
          <w:p>
            <w:pPr>
              <w:spacing w:after="0"/>
              <w:rPr>
                <w:sz w:val="1"/>
                <w:szCs w:val="1"/>
                <w:color w:val="auto"/>
              </w:rPr>
            </w:pPr>
          </w:p>
        </w:tc>
      </w:tr>
      <w:tr>
        <w:trPr>
          <w:trHeight w:val="37"/>
        </w:trPr>
        <w:tc>
          <w:tcPr>
            <w:tcW w:w="3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3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0" w:type="dxa"/>
            <w:vAlign w:val="bottom"/>
          </w:tcPr>
          <w:p>
            <w:pPr>
              <w:spacing w:after="0"/>
              <w:rPr>
                <w:sz w:val="1"/>
                <w:szCs w:val="1"/>
                <w:color w:val="auto"/>
              </w:rPr>
            </w:pPr>
          </w:p>
        </w:tc>
      </w:tr>
      <w:tr>
        <w:trPr>
          <w:trHeight w:val="186"/>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10,294</w:t>
            </w: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9,566</w:t>
            </w:r>
          </w:p>
        </w:tc>
        <w:tc>
          <w:tcPr>
            <w:tcW w:w="3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9,566</w:t>
            </w:r>
          </w:p>
        </w:tc>
        <w:tc>
          <w:tcPr>
            <w:tcW w:w="0" w:type="dxa"/>
            <w:vAlign w:val="bottom"/>
          </w:tcPr>
          <w:p>
            <w:pPr>
              <w:spacing w:after="0"/>
              <w:rPr>
                <w:sz w:val="1"/>
                <w:szCs w:val="1"/>
                <w:color w:val="auto"/>
              </w:rPr>
            </w:pPr>
          </w:p>
        </w:tc>
      </w:tr>
      <w:tr>
        <w:trPr>
          <w:trHeight w:val="37"/>
        </w:trPr>
        <w:tc>
          <w:tcPr>
            <w:tcW w:w="3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12,693</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4,046</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13,261</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16,643</w:t>
            </w:r>
          </w:p>
        </w:tc>
        <w:tc>
          <w:tcPr>
            <w:tcW w:w="0" w:type="dxa"/>
            <w:vAlign w:val="bottom"/>
          </w:tcPr>
          <w:p>
            <w:pPr>
              <w:spacing w:after="0"/>
              <w:rPr>
                <w:sz w:val="1"/>
                <w:szCs w:val="1"/>
                <w:color w:val="auto"/>
              </w:rPr>
            </w:pPr>
          </w:p>
        </w:tc>
      </w:tr>
      <w:tr>
        <w:trPr>
          <w:trHeight w:val="20"/>
        </w:trPr>
        <w:tc>
          <w:tcPr>
            <w:tcW w:w="3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Payments received while on non-accrual status are normally applied against the principal balance of the loan or lease. Payments may be recognized as income if the full collection of principal and interest is reasonably assured.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Modifications to Borrowers Experiencing Financial Difficulty</w:t>
      </w:r>
    </w:p>
    <w:p>
      <w:pPr>
        <w:spacing w:after="0" w:line="20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Modifications to borrowers experiencing financial difficulty may include interest rate reductions, principal or interest forgiveness, forbearances, term extensions, and other actions intended to minimize economic loss and to avoid foreclosure or repossession of collateral. The following illustrates the most common loan modifications by loan classes offered by the Company:</w:t>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226"/>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Loan Classes</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Modification Types</w:t>
            </w:r>
          </w:p>
        </w:tc>
      </w:tr>
      <w:tr>
        <w:trPr>
          <w:trHeight w:val="29"/>
        </w:trPr>
        <w:tc>
          <w:tcPr>
            <w:tcW w:w="1700" w:type="dxa"/>
            <w:vAlign w:val="bottom"/>
            <w:tcBorders>
              <w:bottom w:val="single" w:sz="8" w:color="auto"/>
            </w:tcBorders>
          </w:tcPr>
          <w:p>
            <w:pPr>
              <w:spacing w:after="0"/>
              <w:rPr>
                <w:sz w:val="2"/>
                <w:szCs w:val="2"/>
                <w:color w:val="auto"/>
              </w:rPr>
            </w:pPr>
          </w:p>
        </w:tc>
        <w:tc>
          <w:tcPr>
            <w:tcW w:w="7720" w:type="dxa"/>
            <w:vAlign w:val="bottom"/>
            <w:tcBorders>
              <w:bottom w:val="single" w:sz="8" w:color="auto"/>
            </w:tcBorders>
          </w:tcPr>
          <w:p>
            <w:pPr>
              <w:spacing w:after="0"/>
              <w:rPr>
                <w:sz w:val="2"/>
                <w:szCs w:val="2"/>
                <w:color w:val="auto"/>
              </w:rPr>
            </w:pPr>
          </w:p>
        </w:tc>
      </w:tr>
      <w:tr>
        <w:trPr>
          <w:trHeight w:val="201"/>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Commercial:</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Term extension, interest rate reductions, other-than-insignificant payment delay, or combination thereof.</w:t>
            </w:r>
          </w:p>
        </w:tc>
      </w:tr>
      <w:tr>
        <w:trPr>
          <w:trHeight w:val="203"/>
        </w:trPr>
        <w:tc>
          <w:tcPr>
            <w:tcW w:w="1700" w:type="dxa"/>
            <w:vAlign w:val="bottom"/>
          </w:tcPr>
          <w:p>
            <w:pPr>
              <w:spacing w:after="0"/>
              <w:rPr>
                <w:sz w:val="17"/>
                <w:szCs w:val="17"/>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These modifications extend the term of the loan, lower the payment amount, or result in an other-than-</w:t>
            </w:r>
          </w:p>
        </w:tc>
      </w:tr>
      <w:tr>
        <w:trPr>
          <w:trHeight w:val="216"/>
        </w:trPr>
        <w:tc>
          <w:tcPr>
            <w:tcW w:w="170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insignificant payment delay during a defined period for the purpose of providing borrowers additional time to</w:t>
            </w:r>
          </w:p>
        </w:tc>
      </w:tr>
      <w:tr>
        <w:trPr>
          <w:trHeight w:val="222"/>
        </w:trPr>
        <w:tc>
          <w:tcPr>
            <w:tcW w:w="1700" w:type="dxa"/>
            <w:vAlign w:val="bottom"/>
          </w:tcPr>
          <w:p>
            <w:pPr>
              <w:spacing w:after="0"/>
              <w:rPr>
                <w:sz w:val="19"/>
                <w:szCs w:val="19"/>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return to compliance with the original loan term.</w:t>
            </w:r>
          </w:p>
        </w:tc>
      </w:tr>
      <w:tr>
        <w:trPr>
          <w:trHeight w:val="399"/>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 Mortgage/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Forbearance period greater than six months. These modifications require reduced or no payments during the</w:t>
            </w:r>
          </w:p>
        </w:tc>
      </w:tr>
      <w:tr>
        <w:trPr>
          <w:trHeight w:val="203"/>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Equity:</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forbearance period for the purpose of providing borrowers additional time to return to compliance with the</w:t>
            </w:r>
          </w:p>
        </w:tc>
      </w:tr>
      <w:tr>
        <w:trPr>
          <w:trHeight w:val="222"/>
        </w:trPr>
        <w:tc>
          <w:tcPr>
            <w:tcW w:w="1700" w:type="dxa"/>
            <w:vAlign w:val="bottom"/>
          </w:tcPr>
          <w:p>
            <w:pPr>
              <w:spacing w:after="0"/>
              <w:rPr>
                <w:sz w:val="19"/>
                <w:szCs w:val="19"/>
                <w:color w:val="auto"/>
              </w:rPr>
            </w:pP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original loan term.</w:t>
            </w:r>
          </w:p>
        </w:tc>
      </w:tr>
      <w:tr>
        <w:trPr>
          <w:trHeight w:val="41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 Mortgage/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Term extension and rate adjustment. These modifications extend the term of the loan and provide for an</w:t>
            </w:r>
          </w:p>
        </w:tc>
      </w:tr>
      <w:tr>
        <w:trPr>
          <w:trHeight w:val="22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Home Equity:</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adjustment to the interest rate, which reduces the monthly payment requirement.</w:t>
            </w:r>
          </w:p>
        </w:tc>
      </w:tr>
      <w:tr>
        <w:trPr>
          <w:trHeight w:val="399"/>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Automobile/</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Term extension greater than three months. These modifications extend the term of the loan, which reduces the</w:t>
            </w:r>
          </w:p>
        </w:tc>
      </w:tr>
      <w:tr>
        <w:trPr>
          <w:trHeight w:val="222"/>
        </w:trPr>
        <w:tc>
          <w:tcPr>
            <w:tcW w:w="1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 Installment:</w:t>
            </w:r>
          </w:p>
        </w:tc>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monthly payment requirement.</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loan modifications made to borrowers experiencing financial difficulty during three and nine months ended September 30, 2025 and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Rate Reduction,</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1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1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8"/>
        </w:trPr>
        <w:tc>
          <w:tcPr>
            <w:tcW w:w="1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rPr>
              <w:t>and Term</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and Interest Rate</w:t>
            </w:r>
          </w:p>
        </w:tc>
        <w:tc>
          <w:tcPr>
            <w:tcW w:w="120" w:type="dxa"/>
            <w:vAlign w:val="bottom"/>
          </w:tcPr>
          <w:p>
            <w:pPr>
              <w:spacing w:after="0"/>
              <w:rPr>
                <w:sz w:val="13"/>
                <w:szCs w:val="13"/>
                <w:color w:val="auto"/>
              </w:rPr>
            </w:pPr>
          </w:p>
        </w:tc>
        <w:tc>
          <w:tcPr>
            <w:tcW w:w="100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and Term</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 of Total Class of</w:t>
            </w:r>
          </w:p>
        </w:tc>
      </w:tr>
      <w:tr>
        <w:trPr>
          <w:trHeight w:val="210"/>
        </w:trPr>
        <w:tc>
          <w:tcPr>
            <w:tcW w:w="2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Term Extension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8"/>
              </w:rPr>
              <w:t>Extension</w:t>
            </w:r>
            <w:r>
              <w:rPr>
                <w:rFonts w:ascii="Times New Roman" w:cs="Times New Roman" w:eastAsia="Times New Roman" w:hAnsi="Times New Roman"/>
                <w:sz w:val="17"/>
                <w:szCs w:val="17"/>
                <w:b w:val="1"/>
                <w:bCs w:val="1"/>
                <w:color w:val="auto"/>
                <w:w w:val="98"/>
                <w:vertAlign w:val="superscript"/>
              </w:rPr>
              <w:t>1</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Reduction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Extension</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Payment Delay</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Loans and Leases</w:t>
            </w:r>
          </w:p>
        </w:tc>
      </w:tr>
      <w:tr>
        <w:trPr>
          <w:trHeight w:val="203"/>
        </w:trPr>
        <w:tc>
          <w:tcPr>
            <w:tcW w:w="29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4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r>
      <w:tr>
        <w:trPr>
          <w:trHeight w:val="19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26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4"/>
        </w:trPr>
        <w:tc>
          <w:tcPr>
            <w:tcW w:w="140" w:type="dxa"/>
            <w:vAlign w:val="bottom"/>
            <w:tcBorders>
              <w:bottom w:val="single" w:sz="8" w:color="CFF0FC"/>
            </w:tcBorders>
            <w:shd w:val="clear" w:color="auto" w:fill="CFF0FC"/>
          </w:tcPr>
          <w:p>
            <w:pPr>
              <w:spacing w:after="0"/>
              <w:rPr>
                <w:sz w:val="19"/>
                <w:szCs w:val="19"/>
                <w:color w:val="auto"/>
              </w:rPr>
            </w:pPr>
          </w:p>
        </w:tc>
        <w:tc>
          <w:tcPr>
            <w:tcW w:w="28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FF0FC"/>
            </w:tcBorders>
            <w:gridSpan w:val="2"/>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FF0FC"/>
            </w:tcBorders>
            <w:gridSpan w:val="2"/>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FF0FC"/>
            </w:tcBorders>
            <w:gridSpan w:val="2"/>
            <w:shd w:val="clear" w:color="auto" w:fill="CFF0FC"/>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1220" w:type="dxa"/>
            <w:vAlign w:val="bottom"/>
            <w:tcBorders>
              <w:bottom w:val="single" w:sz="8" w:color="CFF0FC"/>
            </w:tcBorders>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0.01%</w:t>
            </w:r>
          </w:p>
        </w:tc>
      </w:tr>
      <w:tr>
        <w:trPr>
          <w:trHeight w:val="186"/>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136</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0.00</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3"/>
        </w:trPr>
        <w:tc>
          <w:tcPr>
            <w:tcW w:w="29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44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88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spacing w:after="0"/>
              <w:rPr>
                <w:sz w:val="17"/>
                <w:szCs w:val="17"/>
                <w:color w:val="auto"/>
              </w:rPr>
            </w:pPr>
          </w:p>
        </w:tc>
      </w:tr>
      <w:tr>
        <w:trPr>
          <w:trHeight w:val="193"/>
        </w:trPr>
        <w:tc>
          <w:tcPr>
            <w:tcW w:w="140" w:type="dxa"/>
            <w:vAlign w:val="bottom"/>
          </w:tcPr>
          <w:p>
            <w:pPr>
              <w:spacing w:after="0"/>
              <w:rPr>
                <w:sz w:val="16"/>
                <w:szCs w:val="16"/>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501</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0.01</w:t>
            </w: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9"/>
        </w:trPr>
        <w:tc>
          <w:tcPr>
            <w:tcW w:w="14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3,317</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3,317</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0.47</w:t>
            </w:r>
          </w:p>
        </w:tc>
      </w:tr>
      <w:tr>
        <w:trPr>
          <w:trHeight w:val="193"/>
        </w:trPr>
        <w:tc>
          <w:tcPr>
            <w:tcW w:w="140" w:type="dxa"/>
            <w:vAlign w:val="bottom"/>
          </w:tcPr>
          <w:p>
            <w:pPr>
              <w:spacing w:after="0"/>
              <w:rPr>
                <w:sz w:val="16"/>
                <w:szCs w:val="16"/>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613</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0.15</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8"/>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4,431</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4,431</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0.06</w:t>
            </w:r>
          </w:p>
        </w:tc>
      </w:tr>
      <w:tr>
        <w:trPr>
          <w:trHeight w:val="186"/>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top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top w:val="single" w:sz="8" w:color="auto"/>
            </w:tcBorders>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top w:val="single" w:sz="8" w:color="auto"/>
            </w:tcBorders>
            <w:gridSpan w:val="2"/>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4,567</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0.03%</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14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19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296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9"/>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3"/>
        </w:trPr>
        <w:tc>
          <w:tcPr>
            <w:tcW w:w="140" w:type="dxa"/>
            <w:vAlign w:val="bottom"/>
          </w:tcPr>
          <w:p>
            <w:pPr>
              <w:spacing w:after="0"/>
              <w:rPr>
                <w:sz w:val="16"/>
                <w:szCs w:val="16"/>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Commercial Mortgage</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2,085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2,085</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0.05%</w:t>
            </w: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5"/>
        </w:trPr>
        <w:tc>
          <w:tcPr>
            <w:tcW w:w="14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0.01</w:t>
            </w:r>
          </w:p>
        </w:tc>
      </w:tr>
      <w:tr>
        <w:trPr>
          <w:trHeight w:val="186"/>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2,085</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2,300</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0.04</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3"/>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4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3"/>
        </w:trPr>
        <w:tc>
          <w:tcPr>
            <w:tcW w:w="140" w:type="dxa"/>
            <w:vAlign w:val="bottom"/>
          </w:tcPr>
          <w:p>
            <w:pPr>
              <w:spacing w:after="0"/>
              <w:rPr>
                <w:sz w:val="16"/>
                <w:szCs w:val="16"/>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1,025</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0.02</w:t>
            </w: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9"/>
        </w:trPr>
        <w:tc>
          <w:tcPr>
            <w:tcW w:w="14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Equity</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0.01</w:t>
            </w:r>
          </w:p>
        </w:tc>
      </w:tr>
      <w:tr>
        <w:trPr>
          <w:trHeight w:val="193"/>
        </w:trPr>
        <w:tc>
          <w:tcPr>
            <w:tcW w:w="140" w:type="dxa"/>
            <w:vAlign w:val="bottom"/>
          </w:tcPr>
          <w:p>
            <w:pPr>
              <w:spacing w:after="0"/>
              <w:rPr>
                <w:sz w:val="16"/>
                <w:szCs w:val="16"/>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9,869</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9,869</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1.41</w:t>
            </w: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5"/>
        </w:trPr>
        <w:tc>
          <w:tcPr>
            <w:tcW w:w="14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1,496</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0.36</w:t>
            </w:r>
          </w:p>
        </w:tc>
      </w:tr>
      <w:tr>
        <w:trPr>
          <w:trHeight w:val="186"/>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12,319</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12,559</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0.16</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2,085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14,859</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0.11%</w:t>
            </w:r>
          </w:p>
        </w:tc>
      </w:tr>
      <w:tr>
        <w:trPr>
          <w:trHeight w:val="20"/>
        </w:trPr>
        <w:tc>
          <w:tcPr>
            <w:tcW w:w="29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296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26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5"/>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0.00%</w:t>
            </w:r>
          </w:p>
        </w:tc>
      </w:tr>
      <w:tr>
        <w:trPr>
          <w:trHeight w:val="186"/>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0.00</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3"/>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4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3"/>
        </w:trPr>
        <w:tc>
          <w:tcPr>
            <w:tcW w:w="140" w:type="dxa"/>
            <w:vAlign w:val="bottom"/>
          </w:tcPr>
          <w:p>
            <w:pPr>
              <w:spacing w:after="0"/>
              <w:rPr>
                <w:sz w:val="16"/>
                <w:szCs w:val="16"/>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3,862</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0.49</w:t>
            </w: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5"/>
        </w:trPr>
        <w:tc>
          <w:tcPr>
            <w:tcW w:w="14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635</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0.17</w:t>
            </w:r>
          </w:p>
        </w:tc>
      </w:tr>
      <w:tr>
        <w:trPr>
          <w:trHeight w:val="186"/>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4,497</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4,497</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0.06</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 $</w:t>
            </w:r>
          </w:p>
        </w:tc>
        <w:tc>
          <w:tcPr>
            <w:tcW w:w="12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 $</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4,508</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0.03%</w:t>
            </w:r>
          </w:p>
        </w:tc>
      </w:tr>
      <w:tr>
        <w:trPr>
          <w:trHeight w:val="20"/>
        </w:trPr>
        <w:tc>
          <w:tcPr>
            <w:tcW w:w="29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193"/>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4"/>
        </w:trPr>
        <w:tc>
          <w:tcPr>
            <w:tcW w:w="14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4,467</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0.27%</w:t>
            </w:r>
          </w:p>
        </w:tc>
      </w:tr>
      <w:tr>
        <w:trPr>
          <w:trHeight w:val="186"/>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Commercial</w:t>
            </w: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4,467</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0.08</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3"/>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4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193"/>
        </w:trPr>
        <w:tc>
          <w:tcPr>
            <w:tcW w:w="140" w:type="dxa"/>
            <w:vAlign w:val="bottom"/>
          </w:tcPr>
          <w:p>
            <w:pPr>
              <w:spacing w:after="0"/>
              <w:rPr>
                <w:sz w:val="16"/>
                <w:szCs w:val="16"/>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Residential Mortgage</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14,718</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14,718</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0.32</w:t>
            </w: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09"/>
        </w:trPr>
        <w:tc>
          <w:tcPr>
            <w:tcW w:w="140" w:type="dxa"/>
            <w:vAlign w:val="bottom"/>
            <w:tcBorders>
              <w:bottom w:val="single" w:sz="8" w:color="CCEEFF"/>
            </w:tcBorders>
            <w:shd w:val="clear" w:color="auto" w:fill="CCEEFF"/>
          </w:tcPr>
          <w:p>
            <w:pPr>
              <w:spacing w:after="0"/>
              <w:rPr>
                <w:sz w:val="18"/>
                <w:szCs w:val="18"/>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Home Equity</w:t>
            </w:r>
          </w:p>
        </w:tc>
        <w:tc>
          <w:tcPr>
            <w:tcW w:w="4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1,116</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0.05</w:t>
            </w:r>
          </w:p>
        </w:tc>
      </w:tr>
      <w:tr>
        <w:trPr>
          <w:trHeight w:val="193"/>
        </w:trPr>
        <w:tc>
          <w:tcPr>
            <w:tcW w:w="140" w:type="dxa"/>
            <w:vAlign w:val="bottom"/>
          </w:tcPr>
          <w:p>
            <w:pPr>
              <w:spacing w:after="0"/>
              <w:rPr>
                <w:sz w:val="16"/>
                <w:szCs w:val="16"/>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Automobile</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12,184</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13,101</w:t>
            </w: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1.66</w:t>
            </w:r>
          </w:p>
        </w:tc>
      </w:tr>
      <w:tr>
        <w:trPr>
          <w:trHeight w:val="37"/>
        </w:trPr>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4"/>
        </w:trPr>
        <w:tc>
          <w:tcPr>
            <w:tcW w:w="14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4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1,593</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0.42</w:t>
            </w:r>
          </w:p>
        </w:tc>
      </w:tr>
      <w:tr>
        <w:trPr>
          <w:trHeight w:val="186"/>
        </w:trPr>
        <w:tc>
          <w:tcPr>
            <w:tcW w:w="2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4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13,682</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15,834</w:t>
            </w: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30,528</w:t>
            </w:r>
          </w:p>
        </w:tc>
        <w:tc>
          <w:tcPr>
            <w:tcW w:w="12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4"/>
                <w:szCs w:val="14"/>
                <w:color w:val="auto"/>
              </w:rPr>
              <w:t>0.38</w:t>
            </w:r>
          </w:p>
        </w:tc>
      </w:tr>
      <w:tr>
        <w:trPr>
          <w:trHeight w:val="37"/>
        </w:trPr>
        <w:tc>
          <w:tcPr>
            <w:tcW w:w="296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8"/>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15,834</w:t>
            </w:r>
          </w:p>
        </w:tc>
        <w:tc>
          <w:tcPr>
            <w:tcW w:w="28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34,995</w:t>
            </w:r>
          </w:p>
        </w:tc>
        <w:tc>
          <w:tcPr>
            <w:tcW w:w="12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0.25%</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0"/>
        </w:trPr>
        <w:tc>
          <w:tcPr>
            <w:tcW w:w="14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2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Includes forbearance plans.</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financial effect of loan modifications made to borrowers experiencing financial difficulty during the three and nine months ended September 30,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Months</w:t>
            </w: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Payment</w:t>
            </w:r>
          </w:p>
        </w:tc>
        <w:tc>
          <w:tcPr>
            <w:tcW w:w="18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Weighted-Average Interest</w:t>
            </w:r>
          </w:p>
        </w:tc>
      </w:tr>
      <w:tr>
        <w:trPr>
          <w:trHeight w:val="204"/>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31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of Term Extension</w:t>
            </w:r>
          </w:p>
        </w:tc>
        <w:tc>
          <w:tcPr>
            <w:tcW w:w="360" w:type="dxa"/>
            <w:vAlign w:val="bottom"/>
          </w:tcPr>
          <w:p>
            <w:pPr>
              <w:spacing w:after="0"/>
              <w:rPr>
                <w:sz w:val="17"/>
                <w:szCs w:val="17"/>
                <w:color w:val="auto"/>
              </w:rPr>
            </w:pPr>
          </w:p>
        </w:tc>
        <w:tc>
          <w:tcPr>
            <w:tcW w:w="148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Deferral</w:t>
            </w:r>
            <w:r>
              <w:rPr>
                <w:rFonts w:ascii="Times New Roman" w:cs="Times New Roman" w:eastAsia="Times New Roman" w:hAnsi="Times New Roman"/>
                <w:sz w:val="9"/>
                <w:szCs w:val="9"/>
                <w:b w:val="1"/>
                <w:bCs w:val="1"/>
                <w:color w:val="auto"/>
              </w:rPr>
              <w:t>1</w:t>
            </w:r>
          </w:p>
        </w:tc>
        <w:tc>
          <w:tcPr>
            <w:tcW w:w="186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Rate Reduction</w:t>
            </w:r>
          </w:p>
        </w:tc>
      </w:tr>
      <w:tr>
        <w:trPr>
          <w:trHeight w:val="37"/>
        </w:trPr>
        <w:tc>
          <w:tcPr>
            <w:tcW w:w="436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r>
        <w:trPr>
          <w:trHeight w:val="23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3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3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436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r>
      <w:tr>
        <w:trPr>
          <w:trHeight w:val="23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3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3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1.88 %</w:t>
            </w:r>
          </w:p>
        </w:tc>
      </w:tr>
      <w:tr>
        <w:trPr>
          <w:trHeight w:val="233"/>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33"/>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3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0.37</w:t>
            </w:r>
          </w:p>
        </w:tc>
      </w:tr>
      <w:tr>
        <w:trPr>
          <w:trHeight w:val="253"/>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0.88</w:t>
            </w:r>
          </w:p>
        </w:tc>
      </w:tr>
      <w:tr>
        <w:trPr>
          <w:trHeight w:val="233"/>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4360" w:type="dxa"/>
            <w:vAlign w:val="bottom"/>
            <w:tcBorders>
              <w:bottom w:val="single" w:sz="8" w:color="auto"/>
            </w:tcBorders>
          </w:tcPr>
          <w:p>
            <w:pPr>
              <w:spacing w:after="0"/>
              <w:rPr>
                <w:sz w:val="22"/>
                <w:szCs w:val="22"/>
                <w:color w:val="auto"/>
              </w:rPr>
            </w:pPr>
          </w:p>
        </w:tc>
        <w:tc>
          <w:tcPr>
            <w:tcW w:w="31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spacing w:after="0"/>
              <w:rPr>
                <w:sz w:val="22"/>
                <w:szCs w:val="22"/>
                <w:color w:val="auto"/>
              </w:rPr>
            </w:pPr>
          </w:p>
        </w:tc>
      </w:tr>
      <w:tr>
        <w:trPr>
          <w:trHeight w:val="23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3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3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53"/>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6"/>
        </w:trPr>
        <w:tc>
          <w:tcPr>
            <w:tcW w:w="4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4360" w:type="dxa"/>
            <w:vAlign w:val="bottom"/>
            <w:tcBorders>
              <w:bottom w:val="single" w:sz="8" w:color="auto"/>
            </w:tcBorders>
            <w:shd w:val="clear" w:color="auto" w:fill="CCEEFF"/>
          </w:tcPr>
          <w:p>
            <w:pPr>
              <w:spacing w:after="0"/>
              <w:rPr>
                <w:sz w:val="22"/>
                <w:szCs w:val="22"/>
                <w:color w:val="auto"/>
              </w:rPr>
            </w:pPr>
          </w:p>
        </w:tc>
        <w:tc>
          <w:tcPr>
            <w:tcW w:w="318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spacing w:after="0"/>
              <w:rPr>
                <w:sz w:val="22"/>
                <w:szCs w:val="22"/>
                <w:color w:val="auto"/>
              </w:rPr>
            </w:pPr>
          </w:p>
        </w:tc>
      </w:t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3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5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3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33"/>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593</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53"/>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3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33"/>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8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4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8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43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8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58"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9"/>
          <w:szCs w:val="9"/>
          <w:color w:val="auto"/>
        </w:rPr>
        <w:t>1</w:t>
      </w:r>
      <w:r>
        <w:rPr>
          <w:sz w:val="20"/>
          <w:szCs w:val="20"/>
          <w:color w:val="auto"/>
        </w:rPr>
        <w:tab/>
      </w:r>
      <w:r>
        <w:rPr>
          <w:rFonts w:ascii="Times New Roman" w:cs="Times New Roman" w:eastAsia="Times New Roman" w:hAnsi="Times New Roman"/>
          <w:sz w:val="14"/>
          <w:szCs w:val="14"/>
          <w:color w:val="auto"/>
        </w:rPr>
        <w:t>Includes forbearance plans.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loan modifications made to borrowers experiencing financial difficulty that defaulted during the three and nine months ended September 30,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Term Extension and</w:t>
            </w:r>
          </w:p>
        </w:tc>
        <w:tc>
          <w:tcPr>
            <w:tcW w:w="120" w:type="dxa"/>
            <w:vAlign w:val="bottom"/>
          </w:tcPr>
          <w:p>
            <w:pPr>
              <w:spacing w:after="0"/>
              <w:rPr>
                <w:sz w:val="14"/>
                <w:szCs w:val="14"/>
                <w:color w:val="auto"/>
              </w:rPr>
            </w:pPr>
          </w:p>
        </w:tc>
        <w:tc>
          <w:tcPr>
            <w:tcW w:w="13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Rate Reduction,</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Payment Delay &amp;</w:t>
            </w:r>
          </w:p>
        </w:tc>
        <w:tc>
          <w:tcPr>
            <w:tcW w:w="120" w:type="dxa"/>
            <w:vAlign w:val="bottom"/>
          </w:tcPr>
          <w:p>
            <w:pPr>
              <w:spacing w:after="0"/>
              <w:rPr>
                <w:sz w:val="14"/>
                <w:szCs w:val="14"/>
                <w:color w:val="auto"/>
              </w:rPr>
            </w:pPr>
          </w:p>
        </w:tc>
        <w:tc>
          <w:tcPr>
            <w:tcW w:w="13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0" w:type="dxa"/>
            <w:vAlign w:val="bottom"/>
          </w:tcPr>
          <w:p>
            <w:pPr>
              <w:spacing w:after="0"/>
              <w:rPr>
                <w:sz w:val="14"/>
                <w:szCs w:val="14"/>
                <w:color w:val="auto"/>
              </w:rPr>
            </w:pPr>
          </w:p>
        </w:tc>
        <w:tc>
          <w:tcPr>
            <w:tcW w:w="13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Payment Delay, and</w:t>
            </w: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4"/>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800" w:type="dxa"/>
            <w:vAlign w:val="bottom"/>
          </w:tcPr>
          <w:p>
            <w:pPr>
              <w:spacing w:after="0"/>
              <w:rPr>
                <w:sz w:val="17"/>
                <w:szCs w:val="17"/>
                <w:color w:val="auto"/>
              </w:rPr>
            </w:pPr>
          </w:p>
        </w:tc>
        <w:tc>
          <w:tcPr>
            <w:tcW w:w="124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Term Extension</w:t>
            </w:r>
          </w:p>
        </w:tc>
        <w:tc>
          <w:tcPr>
            <w:tcW w:w="160" w:type="dxa"/>
            <w:vAlign w:val="bottom"/>
          </w:tcPr>
          <w:p>
            <w:pPr>
              <w:spacing w:after="0"/>
              <w:rPr>
                <w:sz w:val="17"/>
                <w:szCs w:val="17"/>
                <w:color w:val="auto"/>
              </w:rPr>
            </w:pPr>
          </w:p>
        </w:tc>
        <w:tc>
          <w:tcPr>
            <w:tcW w:w="126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Term Extension</w:t>
            </w:r>
            <w:r>
              <w:rPr>
                <w:rFonts w:ascii="Times New Roman" w:cs="Times New Roman" w:eastAsia="Times New Roman" w:hAnsi="Times New Roman"/>
                <w:sz w:val="9"/>
                <w:szCs w:val="9"/>
                <w:b w:val="1"/>
                <w:bCs w:val="1"/>
                <w:color w:val="auto"/>
              </w:rPr>
              <w:t>1</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Reduction</w:t>
            </w:r>
          </w:p>
        </w:tc>
        <w:tc>
          <w:tcPr>
            <w:tcW w:w="120" w:type="dxa"/>
            <w:vAlign w:val="bottom"/>
          </w:tcPr>
          <w:p>
            <w:pPr>
              <w:spacing w:after="0"/>
              <w:rPr>
                <w:sz w:val="17"/>
                <w:szCs w:val="17"/>
                <w:color w:val="auto"/>
              </w:rPr>
            </w:pPr>
          </w:p>
        </w:tc>
        <w:tc>
          <w:tcPr>
            <w:tcW w:w="13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9"/>
              </w:rPr>
              <w:t>Term Extension</w:t>
            </w:r>
          </w:p>
        </w:tc>
        <w:tc>
          <w:tcPr>
            <w:tcW w:w="340" w:type="dxa"/>
            <w:vAlign w:val="bottom"/>
          </w:tcPr>
          <w:p>
            <w:pPr>
              <w:spacing w:after="0"/>
              <w:rPr>
                <w:sz w:val="17"/>
                <w:szCs w:val="17"/>
                <w:color w:val="auto"/>
              </w:rPr>
            </w:pPr>
          </w:p>
        </w:tc>
        <w:tc>
          <w:tcPr>
            <w:tcW w:w="110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40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7"/>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September 30, 2025</w:t>
            </w:r>
          </w:p>
        </w:tc>
        <w:tc>
          <w:tcPr>
            <w:tcW w:w="8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Commercial</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5"/>
        </w:trPr>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1380" w:type="dxa"/>
            <w:vAlign w:val="bottom"/>
            <w:gridSpan w:val="2"/>
          </w:tcPr>
          <w:p>
            <w:pPr>
              <w:spacing w:after="0"/>
              <w:rPr>
                <w:sz w:val="3"/>
                <w:szCs w:val="3"/>
                <w:color w:val="auto"/>
              </w:rPr>
            </w:pPr>
          </w:p>
        </w:tc>
        <w:tc>
          <w:tcPr>
            <w:tcW w:w="144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8"/>
        </w:trPr>
        <w:tc>
          <w:tcPr>
            <w:tcW w:w="10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Commercial Mortgage</w:t>
            </w: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4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2,085</w:t>
            </w:r>
          </w:p>
        </w:tc>
        <w:tc>
          <w:tcPr>
            <w:tcW w:w="34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2,085</w:t>
            </w:r>
          </w:p>
        </w:tc>
      </w:tr>
      <w:tr>
        <w:trPr>
          <w:trHeight w:val="202"/>
        </w:trPr>
        <w:tc>
          <w:tcPr>
            <w:tcW w:w="3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Total Commercial</w:t>
            </w:r>
          </w:p>
        </w:tc>
        <w:tc>
          <w:tcPr>
            <w:tcW w:w="8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2,085</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2,085</w:t>
            </w:r>
          </w:p>
        </w:tc>
      </w:tr>
      <w:tr>
        <w:trPr>
          <w:trHeight w:val="35"/>
        </w:trPr>
        <w:tc>
          <w:tcPr>
            <w:tcW w:w="340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7"/>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Consumer</w:t>
            </w:r>
          </w:p>
        </w:tc>
        <w:tc>
          <w:tcPr>
            <w:tcW w:w="8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08"/>
        </w:trPr>
        <w:tc>
          <w:tcPr>
            <w:tcW w:w="10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Residential Mortgage</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5"/>
                <w:szCs w:val="15"/>
                <w:color w:val="auto"/>
              </w:rPr>
              <w:t>— $</w:t>
            </w:r>
          </w:p>
        </w:tc>
        <w:tc>
          <w:tcPr>
            <w:tcW w:w="16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5"/>
        </w:trPr>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3"/>
        </w:trPr>
        <w:tc>
          <w:tcPr>
            <w:tcW w:w="100" w:type="dxa"/>
            <w:vAlign w:val="bottom"/>
            <w:tcBorders>
              <w:bottom w:val="single" w:sz="8" w:color="CCEEFF"/>
            </w:tcBorders>
            <w:shd w:val="clear" w:color="auto" w:fill="CCEEFF"/>
          </w:tcPr>
          <w:p>
            <w:pPr>
              <w:spacing w:after="0"/>
              <w:rPr>
                <w:sz w:val="19"/>
                <w:szCs w:val="19"/>
                <w:color w:val="auto"/>
              </w:rPr>
            </w:pPr>
          </w:p>
        </w:tc>
        <w:tc>
          <w:tcPr>
            <w:tcW w:w="3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Automobile</w:t>
            </w:r>
          </w:p>
        </w:tc>
        <w:tc>
          <w:tcPr>
            <w:tcW w:w="8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431</w:t>
            </w:r>
          </w:p>
        </w:tc>
      </w:tr>
      <w:tr>
        <w:trPr>
          <w:trHeight w:val="208"/>
        </w:trPr>
        <w:tc>
          <w:tcPr>
            <w:tcW w:w="10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8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w:t>
            </w:r>
          </w:p>
        </w:tc>
      </w:tr>
      <w:tr>
        <w:trPr>
          <w:trHeight w:val="35"/>
        </w:trPr>
        <w:tc>
          <w:tcPr>
            <w:tcW w:w="340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2"/>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Consumer</w:t>
            </w:r>
          </w:p>
        </w:tc>
        <w:tc>
          <w:tcPr>
            <w:tcW w:w="8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563</w:t>
            </w:r>
          </w:p>
        </w:tc>
      </w:tr>
      <w:tr>
        <w:trPr>
          <w:trHeight w:val="202"/>
        </w:trPr>
        <w:tc>
          <w:tcPr>
            <w:tcW w:w="10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Total Loans and Leases</w:t>
            </w:r>
          </w:p>
        </w:tc>
        <w:tc>
          <w:tcPr>
            <w:tcW w:w="8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563</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2,085</w:t>
            </w:r>
          </w:p>
        </w:tc>
        <w:tc>
          <w:tcPr>
            <w:tcW w:w="340" w:type="dxa"/>
            <w:vAlign w:val="bottom"/>
            <w:tcBorders>
              <w:top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2,648</w:t>
            </w:r>
          </w:p>
        </w:tc>
      </w:tr>
      <w:tr>
        <w:trPr>
          <w:trHeight w:val="35"/>
        </w:trPr>
        <w:tc>
          <w:tcPr>
            <w:tcW w:w="340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10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Nine Months Ended September 30, 2025</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5"/>
        </w:trPr>
        <w:tc>
          <w:tcPr>
            <w:tcW w:w="340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3"/>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Commercial</w:t>
            </w:r>
          </w:p>
        </w:tc>
        <w:tc>
          <w:tcPr>
            <w:tcW w:w="8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08"/>
        </w:trPr>
        <w:tc>
          <w:tcPr>
            <w:tcW w:w="10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Commercial Mortgage</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5"/>
                <w:szCs w:val="15"/>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2,085</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2,085</w:t>
            </w:r>
          </w:p>
        </w:tc>
      </w:tr>
      <w:tr>
        <w:trPr>
          <w:trHeight w:val="35"/>
        </w:trPr>
        <w:tc>
          <w:tcPr>
            <w:tcW w:w="340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2"/>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Commercial</w:t>
            </w:r>
          </w:p>
        </w:tc>
        <w:tc>
          <w:tcPr>
            <w:tcW w:w="8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2,085</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2,085</w:t>
            </w:r>
          </w:p>
        </w:tc>
      </w:tr>
      <w:tr>
        <w:trPr>
          <w:trHeight w:val="201"/>
        </w:trPr>
        <w:tc>
          <w:tcPr>
            <w:tcW w:w="3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Consumer</w:t>
            </w:r>
          </w:p>
        </w:tc>
        <w:tc>
          <w:tcPr>
            <w:tcW w:w="8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35"/>
        </w:trPr>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0" w:type="dxa"/>
            <w:vAlign w:val="bottom"/>
            <w:gridSpan w:val="2"/>
          </w:tcPr>
          <w:p>
            <w:pPr>
              <w:spacing w:after="0"/>
              <w:rPr>
                <w:sz w:val="3"/>
                <w:szCs w:val="3"/>
                <w:color w:val="auto"/>
              </w:rPr>
            </w:pPr>
          </w:p>
        </w:tc>
        <w:tc>
          <w:tcPr>
            <w:tcW w:w="138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6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r>
      <w:tr>
        <w:trPr>
          <w:trHeight w:val="223"/>
        </w:trPr>
        <w:tc>
          <w:tcPr>
            <w:tcW w:w="100" w:type="dxa"/>
            <w:vAlign w:val="bottom"/>
            <w:tcBorders>
              <w:bottom w:val="single" w:sz="8" w:color="CCEEFF"/>
            </w:tcBorders>
            <w:shd w:val="clear" w:color="auto" w:fill="CCEEFF"/>
          </w:tcPr>
          <w:p>
            <w:pPr>
              <w:spacing w:after="0"/>
              <w:rPr>
                <w:sz w:val="19"/>
                <w:szCs w:val="19"/>
                <w:color w:val="auto"/>
              </w:rPr>
            </w:pPr>
          </w:p>
        </w:tc>
        <w:tc>
          <w:tcPr>
            <w:tcW w:w="3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Residential Mortgage</w:t>
            </w: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3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CCEEFF"/>
            </w:tcBorders>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208"/>
        </w:trPr>
        <w:tc>
          <w:tcPr>
            <w:tcW w:w="10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Automobile</w:t>
            </w:r>
          </w:p>
        </w:tc>
        <w:tc>
          <w:tcPr>
            <w:tcW w:w="8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w:t>
            </w:r>
          </w:p>
        </w:tc>
      </w:tr>
      <w:tr>
        <w:trPr>
          <w:trHeight w:val="35"/>
        </w:trPr>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8"/>
        </w:trPr>
        <w:tc>
          <w:tcPr>
            <w:tcW w:w="10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w:t>
            </w:r>
          </w:p>
        </w:tc>
      </w:tr>
      <w:tr>
        <w:trPr>
          <w:trHeight w:val="201"/>
        </w:trPr>
        <w:tc>
          <w:tcPr>
            <w:tcW w:w="3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Total Consumer</w:t>
            </w:r>
          </w:p>
        </w:tc>
        <w:tc>
          <w:tcPr>
            <w:tcW w:w="8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921</w:t>
            </w:r>
          </w:p>
        </w:tc>
      </w:tr>
      <w:tr>
        <w:trPr>
          <w:trHeight w:val="35"/>
        </w:trPr>
        <w:tc>
          <w:tcPr>
            <w:tcW w:w="10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2"/>
        </w:trPr>
        <w:tc>
          <w:tcPr>
            <w:tcW w:w="10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Total Loans and Leases</w:t>
            </w: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2,085</w:t>
            </w:r>
          </w:p>
        </w:tc>
        <w:tc>
          <w:tcPr>
            <w:tcW w:w="34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3,006</w:t>
            </w:r>
          </w:p>
        </w:tc>
      </w:tr>
      <w:tr>
        <w:trPr>
          <w:trHeight w:val="20"/>
        </w:trPr>
        <w:tc>
          <w:tcPr>
            <w:tcW w:w="340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1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3"/>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Three Months Ended September 30, 2024</w:t>
            </w:r>
          </w:p>
        </w:tc>
        <w:tc>
          <w:tcPr>
            <w:tcW w:w="8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Consumer</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5"/>
        </w:trPr>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gridSpan w:val="2"/>
          </w:tcPr>
          <w:p>
            <w:pPr>
              <w:spacing w:after="0"/>
              <w:rPr>
                <w:sz w:val="3"/>
                <w:szCs w:val="3"/>
                <w:color w:val="auto"/>
              </w:rPr>
            </w:pPr>
          </w:p>
        </w:tc>
        <w:tc>
          <w:tcPr>
            <w:tcW w:w="166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r>
      <w:tr>
        <w:trPr>
          <w:trHeight w:val="223"/>
        </w:trPr>
        <w:tc>
          <w:tcPr>
            <w:tcW w:w="100" w:type="dxa"/>
            <w:vAlign w:val="bottom"/>
            <w:tcBorders>
              <w:bottom w:val="single" w:sz="8" w:color="CCEEFF"/>
            </w:tcBorders>
            <w:shd w:val="clear" w:color="auto" w:fill="CCEEFF"/>
          </w:tcPr>
          <w:p>
            <w:pPr>
              <w:spacing w:after="0"/>
              <w:rPr>
                <w:sz w:val="19"/>
                <w:szCs w:val="19"/>
                <w:color w:val="auto"/>
              </w:rPr>
            </w:pPr>
          </w:p>
        </w:tc>
        <w:tc>
          <w:tcPr>
            <w:tcW w:w="3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Automobile</w:t>
            </w: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bottom w:val="single" w:sz="8" w:color="CCEEFF"/>
            </w:tcBorders>
            <w:gridSpan w:val="2"/>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 $</w:t>
            </w:r>
          </w:p>
        </w:tc>
        <w:tc>
          <w:tcPr>
            <w:tcW w:w="1660" w:type="dxa"/>
            <w:vAlign w:val="bottom"/>
            <w:tcBorders>
              <w:bottom w:val="single" w:sz="8" w:color="CCEEFF"/>
            </w:tcBorders>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w:t>
            </w:r>
          </w:p>
        </w:tc>
      </w:tr>
      <w:tr>
        <w:trPr>
          <w:trHeight w:val="208"/>
        </w:trPr>
        <w:tc>
          <w:tcPr>
            <w:tcW w:w="10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8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w:t>
            </w:r>
          </w:p>
        </w:tc>
      </w:tr>
      <w:tr>
        <w:trPr>
          <w:trHeight w:val="35"/>
        </w:trPr>
        <w:tc>
          <w:tcPr>
            <w:tcW w:w="340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2"/>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Consumer</w:t>
            </w:r>
          </w:p>
        </w:tc>
        <w:tc>
          <w:tcPr>
            <w:tcW w:w="8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745</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858</w:t>
            </w:r>
          </w:p>
        </w:tc>
      </w:tr>
      <w:tr>
        <w:trPr>
          <w:trHeight w:val="201"/>
        </w:trPr>
        <w:tc>
          <w:tcPr>
            <w:tcW w:w="10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Total Loans and Leases</w:t>
            </w:r>
          </w:p>
        </w:tc>
        <w:tc>
          <w:tcPr>
            <w:tcW w:w="8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745</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top w:val="single" w:sz="8" w:color="auto"/>
            </w:tcBorders>
            <w:gridSpan w:val="2"/>
          </w:tcPr>
          <w:p>
            <w:pPr>
              <w:ind w:left="1120"/>
              <w:spacing w:after="0"/>
              <w:rPr>
                <w:sz w:val="20"/>
                <w:szCs w:val="20"/>
                <w:color w:val="auto"/>
              </w:rPr>
            </w:pPr>
            <w:r>
              <w:rPr>
                <w:rFonts w:ascii="Times New Roman" w:cs="Times New Roman" w:eastAsia="Times New Roman" w:hAnsi="Times New Roman"/>
                <w:sz w:val="15"/>
                <w:szCs w:val="15"/>
                <w:color w:val="auto"/>
              </w:rPr>
              <w:t>— $</w:t>
            </w:r>
          </w:p>
        </w:tc>
        <w:tc>
          <w:tcPr>
            <w:tcW w:w="1660" w:type="dxa"/>
            <w:vAlign w:val="bottom"/>
            <w:tcBorders>
              <w:top w:val="single" w:sz="8" w:color="auto"/>
            </w:tcBorders>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 $</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858</w:t>
            </w:r>
          </w:p>
        </w:tc>
      </w:tr>
      <w:tr>
        <w:trPr>
          <w:trHeight w:val="35"/>
        </w:trPr>
        <w:tc>
          <w:tcPr>
            <w:tcW w:w="340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10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Nine Months Ended September 30, 2024</w:t>
            </w: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5"/>
        </w:trPr>
        <w:tc>
          <w:tcPr>
            <w:tcW w:w="340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3"/>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Commercial</w:t>
            </w:r>
          </w:p>
        </w:tc>
        <w:tc>
          <w:tcPr>
            <w:tcW w:w="8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08"/>
        </w:trPr>
        <w:tc>
          <w:tcPr>
            <w:tcW w:w="100" w:type="dxa"/>
            <w:vAlign w:val="bottom"/>
          </w:tcPr>
          <w:p>
            <w:pPr>
              <w:spacing w:after="0"/>
              <w:rPr>
                <w:sz w:val="18"/>
                <w:szCs w:val="18"/>
                <w:color w:val="auto"/>
              </w:rPr>
            </w:pPr>
          </w:p>
        </w:tc>
        <w:tc>
          <w:tcPr>
            <w:tcW w:w="33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Commercial and Industrial</w:t>
            </w: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5"/>
                <w:szCs w:val="15"/>
                <w:color w:val="auto"/>
              </w:rPr>
              <w:t>— $</w:t>
            </w:r>
          </w:p>
        </w:tc>
        <w:tc>
          <w:tcPr>
            <w:tcW w:w="16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35"/>
        </w:trPr>
        <w:tc>
          <w:tcPr>
            <w:tcW w:w="340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2"/>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Commercial</w:t>
            </w:r>
          </w:p>
        </w:tc>
        <w:tc>
          <w:tcPr>
            <w:tcW w:w="8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1"/>
        </w:trPr>
        <w:tc>
          <w:tcPr>
            <w:tcW w:w="34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5"/>
                <w:szCs w:val="15"/>
                <w:color w:val="auto"/>
              </w:rPr>
              <w:t>Consumer</w:t>
            </w:r>
          </w:p>
        </w:tc>
        <w:tc>
          <w:tcPr>
            <w:tcW w:w="8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35"/>
        </w:trPr>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23"/>
        </w:trPr>
        <w:tc>
          <w:tcPr>
            <w:tcW w:w="100" w:type="dxa"/>
            <w:vAlign w:val="bottom"/>
            <w:tcBorders>
              <w:bottom w:val="single" w:sz="8" w:color="CCEEFF"/>
            </w:tcBorders>
            <w:shd w:val="clear" w:color="auto" w:fill="CCEEFF"/>
          </w:tcPr>
          <w:p>
            <w:pPr>
              <w:spacing w:after="0"/>
              <w:rPr>
                <w:sz w:val="19"/>
                <w:szCs w:val="19"/>
                <w:color w:val="auto"/>
              </w:rPr>
            </w:pPr>
          </w:p>
        </w:tc>
        <w:tc>
          <w:tcPr>
            <w:tcW w:w="33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Automobile</w:t>
            </w:r>
          </w:p>
        </w:tc>
        <w:tc>
          <w:tcPr>
            <w:tcW w:w="8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1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w:t>
            </w:r>
          </w:p>
        </w:tc>
      </w:tr>
      <w:tr>
        <w:trPr>
          <w:trHeight w:val="208"/>
        </w:trPr>
        <w:tc>
          <w:tcPr>
            <w:tcW w:w="10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Other</w:t>
            </w:r>
          </w:p>
        </w:tc>
        <w:tc>
          <w:tcPr>
            <w:tcW w:w="8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8"/>
                <w:szCs w:val="18"/>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218</w:t>
            </w:r>
          </w:p>
        </w:tc>
      </w:tr>
      <w:tr>
        <w:trPr>
          <w:trHeight w:val="35"/>
        </w:trPr>
        <w:tc>
          <w:tcPr>
            <w:tcW w:w="340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1"/>
        </w:trPr>
        <w:tc>
          <w:tcPr>
            <w:tcW w:w="3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Consumer</w:t>
            </w:r>
          </w:p>
        </w:tc>
        <w:tc>
          <w:tcPr>
            <w:tcW w:w="8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921</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1,041</w:t>
            </w:r>
          </w:p>
        </w:tc>
      </w:tr>
      <w:tr>
        <w:trPr>
          <w:trHeight w:val="202"/>
        </w:trPr>
        <w:tc>
          <w:tcPr>
            <w:tcW w:w="10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Total Loans and Leases</w:t>
            </w:r>
          </w:p>
        </w:tc>
        <w:tc>
          <w:tcPr>
            <w:tcW w:w="8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921</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tcBorders>
              <w:top w:val="single" w:sz="8" w:color="auto"/>
            </w:tcBorders>
            <w:gridSpan w:val="2"/>
          </w:tcPr>
          <w:p>
            <w:pPr>
              <w:ind w:left="1120"/>
              <w:spacing w:after="0"/>
              <w:rPr>
                <w:sz w:val="20"/>
                <w:szCs w:val="20"/>
                <w:color w:val="auto"/>
              </w:rPr>
            </w:pPr>
            <w:r>
              <w:rPr>
                <w:rFonts w:ascii="Times New Roman" w:cs="Times New Roman" w:eastAsia="Times New Roman" w:hAnsi="Times New Roman"/>
                <w:sz w:val="15"/>
                <w:szCs w:val="15"/>
                <w:color w:val="auto"/>
              </w:rPr>
              <w:t>— $</w:t>
            </w:r>
          </w:p>
        </w:tc>
        <w:tc>
          <w:tcPr>
            <w:tcW w:w="1660" w:type="dxa"/>
            <w:vAlign w:val="bottom"/>
            <w:tcBorders>
              <w:top w:val="single" w:sz="8" w:color="auto"/>
            </w:tcBorders>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 $</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1,073</w:t>
            </w:r>
          </w:p>
        </w:tc>
      </w:tr>
      <w:tr>
        <w:trPr>
          <w:trHeight w:val="35"/>
        </w:trPr>
        <w:tc>
          <w:tcPr>
            <w:tcW w:w="10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3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Includes forbearance plans.</w:t>
            </w: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aging analysis of loans that have been modified in the last 12 months made to borrowers experiencing financial difficulty as of September 30, 2025 and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3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30 - 59 Days Past 60 - 89 Days Past Past Due 90 Days</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4"/>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00" w:type="dxa"/>
            <w:vAlign w:val="bottom"/>
          </w:tcPr>
          <w:p>
            <w:pPr>
              <w:spacing w:after="0"/>
              <w:rPr>
                <w:sz w:val="17"/>
                <w:szCs w:val="17"/>
                <w:color w:val="auto"/>
              </w:rPr>
            </w:pPr>
          </w:p>
        </w:tc>
        <w:tc>
          <w:tcPr>
            <w:tcW w:w="9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80" w:type="dxa"/>
            <w:vAlign w:val="bottom"/>
          </w:tcPr>
          <w:p>
            <w:pPr>
              <w:spacing w:after="0"/>
              <w:rPr>
                <w:sz w:val="17"/>
                <w:szCs w:val="17"/>
                <w:color w:val="auto"/>
              </w:rPr>
            </w:pPr>
          </w:p>
        </w:tc>
        <w:tc>
          <w:tcPr>
            <w:tcW w:w="84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Due</w:t>
            </w:r>
          </w:p>
        </w:tc>
        <w:tc>
          <w:tcPr>
            <w:tcW w:w="280" w:type="dxa"/>
            <w:vAlign w:val="bottom"/>
          </w:tcPr>
          <w:p>
            <w:pPr>
              <w:spacing w:after="0"/>
              <w:rPr>
                <w:sz w:val="17"/>
                <w:szCs w:val="17"/>
                <w:color w:val="auto"/>
              </w:rPr>
            </w:pPr>
          </w:p>
        </w:tc>
        <w:tc>
          <w:tcPr>
            <w:tcW w:w="84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Due</w:t>
            </w:r>
          </w:p>
        </w:tc>
        <w:tc>
          <w:tcPr>
            <w:tcW w:w="220" w:type="dxa"/>
            <w:vAlign w:val="bottom"/>
          </w:tcPr>
          <w:p>
            <w:pPr>
              <w:spacing w:after="0"/>
              <w:rPr>
                <w:sz w:val="17"/>
                <w:szCs w:val="17"/>
                <w:color w:val="auto"/>
              </w:rPr>
            </w:pPr>
          </w:p>
        </w:tc>
        <w:tc>
          <w:tcPr>
            <w:tcW w:w="92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or More</w:t>
            </w:r>
          </w:p>
        </w:tc>
        <w:tc>
          <w:tcPr>
            <w:tcW w:w="140" w:type="dxa"/>
            <w:vAlign w:val="bottom"/>
          </w:tcPr>
          <w:p>
            <w:pPr>
              <w:spacing w:after="0"/>
              <w:rPr>
                <w:sz w:val="17"/>
                <w:szCs w:val="17"/>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280" w:type="dxa"/>
            <w:vAlign w:val="bottom"/>
          </w:tcPr>
          <w:p>
            <w:pPr>
              <w:spacing w:after="0"/>
              <w:rPr>
                <w:sz w:val="17"/>
                <w:szCs w:val="17"/>
                <w:color w:val="auto"/>
              </w:rPr>
            </w:pPr>
          </w:p>
        </w:tc>
        <w:tc>
          <w:tcPr>
            <w:tcW w:w="86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1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2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r>
      <w:tr>
        <w:trPr>
          <w:trHeight w:val="237"/>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36"/>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1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w:t>
            </w:r>
          </w:p>
        </w:tc>
      </w:tr>
      <w:tr>
        <w:trPr>
          <w:trHeight w:val="23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r>
      <w:tr>
        <w:trPr>
          <w:trHeight w:val="233"/>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1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10,119</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12,301</w:t>
            </w:r>
          </w:p>
        </w:tc>
      </w:tr>
      <w:tr>
        <w:trPr>
          <w:trHeight w:val="236"/>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1,841</w:t>
            </w:r>
          </w:p>
        </w:tc>
      </w:tr>
      <w:tr>
        <w:trPr>
          <w:trHeight w:val="237"/>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1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13,342</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16,230</w:t>
            </w:r>
          </w:p>
        </w:tc>
      </w:tr>
      <w:tr>
        <w:trPr>
          <w:trHeight w:val="237"/>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13,557</w:t>
            </w: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2,538</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18,555</w:t>
            </w:r>
          </w:p>
        </w:tc>
      </w:tr>
      <w:tr>
        <w:trPr>
          <w:trHeight w:val="21"/>
        </w:trPr>
        <w:tc>
          <w:tcPr>
            <w:tcW w:w="3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3"/>
        </w:trPr>
        <w:tc>
          <w:tcPr>
            <w:tcW w:w="3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2024</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7"/>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4,467</w:t>
            </w: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4,467</w:t>
            </w:r>
          </w:p>
        </w:tc>
      </w:tr>
      <w:tr>
        <w:trPr>
          <w:trHeight w:val="237"/>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1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4,467</w:t>
            </w:r>
          </w:p>
        </w:tc>
      </w:tr>
      <w:tr>
        <w:trPr>
          <w:trHeight w:val="23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14,718</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14,718</w:t>
            </w:r>
          </w:p>
        </w:tc>
      </w:tr>
      <w:tr>
        <w:trPr>
          <w:trHeight w:val="233"/>
        </w:trPr>
        <w:tc>
          <w:tcPr>
            <w:tcW w:w="3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1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r>
      <w:tr>
        <w:trPr>
          <w:trHeight w:val="253"/>
        </w:trPr>
        <w:tc>
          <w:tcPr>
            <w:tcW w:w="3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1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10,977</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13,101</w:t>
            </w:r>
          </w:p>
        </w:tc>
      </w:tr>
      <w:tr>
        <w:trPr>
          <w:trHeight w:val="237"/>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r>
      <w:tr>
        <w:trPr>
          <w:trHeight w:val="236"/>
        </w:trPr>
        <w:tc>
          <w:tcPr>
            <w:tcW w:w="3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1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28,076</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30,528</w:t>
            </w:r>
          </w:p>
        </w:tc>
      </w:tr>
      <w:tr>
        <w:trPr>
          <w:trHeight w:val="237"/>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32,543</w:t>
            </w: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34,995</w:t>
            </w:r>
          </w:p>
        </w:tc>
      </w:tr>
      <w:tr>
        <w:trPr>
          <w:trHeight w:val="27"/>
        </w:trPr>
        <w:tc>
          <w:tcPr>
            <w:tcW w:w="3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Foreclosure Proceedings</w:t>
      </w:r>
    </w:p>
    <w:p>
      <w:pPr>
        <w:spacing w:after="0" w:line="20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Consumer mortgage loans collateralized by residential real estate property (residential mortgage and home equity) that are in the process of foreclosure totaled $10.6 million and $9.6 million as of September 30, 2025 and December 31,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Mortgage Servicing Rights</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The Company’s portfolio of residential mortgage loans serviced for third parties was $2.4 billion as of September 30, 2025 and $2.5 billion as of December 31, 2024. Substantially all of these loans were originated by the Company and sold to third parties on a non-recourse basis with servicing rights retained. These retained servicing rights are recorded as a servicing asset and are initially recorded at fair value (see Note 12 </w:t>
      </w:r>
      <w:r>
        <w:rPr>
          <w:rFonts w:ascii="Times New Roman" w:cs="Times New Roman" w:eastAsia="Times New Roman" w:hAnsi="Times New Roman"/>
          <w:sz w:val="18"/>
          <w:szCs w:val="18"/>
          <w:i w:val="1"/>
          <w:iCs w:val="1"/>
          <w:color w:val="auto"/>
        </w:rPr>
        <w:t>Fair Value of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more information). Changes to the balance of mortgage servicing rights are recorded in noninterest income under Mortgage Banking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unaudited consolidated statements of income.</w:t>
      </w:r>
    </w:p>
    <w:p>
      <w:pPr>
        <w:spacing w:after="0" w:line="1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$1.3 million and $1.4 million for the three months ended September 30, 2025 and 2024, respectively, and $3.9 million and $4.1 million for the nine months ended September 30, 2025 and 2024, respectively. Servicing income is recorded in noninterest income under Mortgage Banking in the Company’s unaudited consolidated statements of income. The Company’s residential mortgage investor loan servicing portfolio is primarily comprised of fixed rate loans concentrated in Hawai‘i.</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change in the carrying value of the Company’s mortgage servicing rights accounted for under the fair value measurement method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1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647</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678</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Change in Fair Value Due to Payoffs</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(36)</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62"/>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611</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change in the carrying value of the Company’s mortgage servicing rights accounted for under the amortization method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10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6"/>
                <w:szCs w:val="16"/>
                <w:color w:val="auto"/>
              </w:rPr>
            </w:pPr>
          </w:p>
        </w:tc>
        <w:tc>
          <w:tcPr>
            <w:tcW w:w="112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17,743</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18,552</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20,201</w:t>
            </w:r>
          </w:p>
        </w:tc>
        <w:tc>
          <w:tcPr>
            <w:tcW w:w="0" w:type="dxa"/>
            <w:vAlign w:val="bottom"/>
          </w:tcPr>
          <w:p>
            <w:pPr>
              <w:spacing w:after="0"/>
              <w:rPr>
                <w:sz w:val="1"/>
                <w:szCs w:val="1"/>
                <w:color w:val="auto"/>
              </w:rPr>
            </w:pPr>
          </w:p>
        </w:tc>
      </w:tr>
      <w:tr>
        <w:trPr>
          <w:trHeight w:val="233"/>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Servicing Rights that Resulted From Asset Transfers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46"/>
        </w:trPr>
        <w:tc>
          <w:tcPr>
            <w:tcW w:w="5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17,316</w:t>
            </w:r>
          </w:p>
        </w:tc>
        <w:tc>
          <w:tcPr>
            <w:tcW w:w="3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18,911</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17,316</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18,911</w:t>
            </w:r>
          </w:p>
        </w:tc>
        <w:tc>
          <w:tcPr>
            <w:tcW w:w="0" w:type="dxa"/>
            <w:vAlign w:val="bottom"/>
          </w:tcPr>
          <w:p>
            <w:pPr>
              <w:spacing w:after="0"/>
              <w:rPr>
                <w:sz w:val="1"/>
                <w:szCs w:val="1"/>
                <w:color w:val="auto"/>
              </w:rPr>
            </w:pP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of Mortgage Servicing Rights Accounted for Under the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 Method</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24,218</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24,989</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26,173</w:t>
            </w:r>
          </w:p>
        </w:tc>
        <w:tc>
          <w:tcPr>
            <w:tcW w:w="0" w:type="dxa"/>
            <w:vAlign w:val="bottom"/>
          </w:tcPr>
          <w:p>
            <w:pPr>
              <w:spacing w:after="0"/>
              <w:rPr>
                <w:sz w:val="1"/>
                <w:szCs w:val="1"/>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23,872</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23,872</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25,265</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key data and assumptions used in estimating the fair value of the Company’s mortgage servicing rights as of September 30, 2025 and December 31, 2024,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408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7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544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36"/>
        </w:trPr>
        <w:tc>
          <w:tcPr>
            <w:tcW w:w="544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Weighted-Average Constant Prepayment Rate </w:t>
            </w:r>
            <w:r>
              <w:rPr>
                <w:rFonts w:ascii="Times New Roman" w:cs="Times New Roman" w:eastAsia="Times New Roman" w:hAnsi="Times New Roman"/>
                <w:sz w:val="21"/>
                <w:szCs w:val="21"/>
                <w:color w:val="auto"/>
                <w:vertAlign w:val="superscript"/>
              </w:rPr>
              <w:t>1</w:t>
            </w:r>
          </w:p>
        </w:tc>
        <w:tc>
          <w:tcPr>
            <w:tcW w:w="40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4.10%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3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Life (in years)</w:t>
            </w:r>
          </w:p>
        </w:tc>
        <w:tc>
          <w:tcPr>
            <w:tcW w:w="40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9.05</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w:t>
            </w:r>
          </w:p>
        </w:tc>
      </w:tr>
      <w:tr>
        <w:trPr>
          <w:trHeight w:val="25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Note Rate</w:t>
            </w:r>
          </w:p>
        </w:tc>
        <w:tc>
          <w:tcPr>
            <w:tcW w:w="40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3.76%</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94"/>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2</w:t>
            </w:r>
          </w:p>
        </w:tc>
        <w:tc>
          <w:tcPr>
            <w:tcW w:w="40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9.49%</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r>
    </w:tbl>
    <w:p>
      <w:pPr>
        <w:ind w:left="80" w:hanging="72"/>
        <w:spacing w:after="0" w:line="222" w:lineRule="auto"/>
        <w:tabs>
          <w:tab w:leader="none" w:pos="8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annualized loan prepayment rate assumption.</w:t>
      </w:r>
    </w:p>
    <w:p>
      <w:pPr>
        <w:ind w:left="80" w:hanging="72"/>
        <w:spacing w:after="0" w:line="200" w:lineRule="auto"/>
        <w:tabs>
          <w:tab w:leader="none" w:pos="8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Derived from multiple interest rate scenarios that incorporate a spread to a market yield curve and market volatilities.</w:t>
      </w:r>
    </w:p>
    <w:p>
      <w:pPr>
        <w:spacing w:after="0" w:line="16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sensitivity analysis of the Company’s fair value of mortgage servicing rights to changes in certain key assumptions as of September 30, 2025 and December 31, 2024, is presented in the following table.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740" w:type="dxa"/>
            <w:vAlign w:val="bottom"/>
          </w:tcPr>
          <w:p>
            <w:pPr>
              <w:spacing w:after="0"/>
              <w:rPr>
                <w:sz w:val="16"/>
                <w:szCs w:val="16"/>
                <w:color w:val="auto"/>
              </w:rPr>
            </w:pPr>
          </w:p>
        </w:tc>
        <w:tc>
          <w:tcPr>
            <w:tcW w:w="16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6"/>
                <w:szCs w:val="16"/>
                <w:color w:val="auto"/>
              </w:rPr>
            </w:pPr>
          </w:p>
        </w:tc>
        <w:tc>
          <w:tcPr>
            <w:tcW w:w="158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61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Constant Prepayment Rate</w:t>
            </w:r>
          </w:p>
        </w:tc>
        <w:tc>
          <w:tcPr>
            <w:tcW w:w="17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33"/>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25 basis points (“bps”) adverse change</w:t>
            </w: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r>
      <w:tr>
        <w:trPr>
          <w:trHeight w:val="253"/>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17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r>
      <w:tr>
        <w:trPr>
          <w:trHeight w:val="23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3"/>
        </w:trPr>
        <w:tc>
          <w:tcPr>
            <w:tcW w:w="6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25 bps adverse change</w:t>
            </w:r>
          </w:p>
        </w:tc>
        <w:tc>
          <w:tcPr>
            <w:tcW w:w="17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2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23"/>
        </w:trPr>
        <w:tc>
          <w:tcPr>
            <w:tcW w:w="6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from 50 bps adverse change</w:t>
            </w:r>
          </w:p>
        </w:tc>
        <w:tc>
          <w:tcPr>
            <w:tcW w:w="17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r>
    </w:tbl>
    <w:p>
      <w:pPr>
        <w:spacing w:after="0" w:line="27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Affordable Housing Projects Tax Credit Partnerships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makes equity investments in various limited partnerships or limited liability companies that sponsor affordable housing projects utilizing the Low-Income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of these entities include the identification, development, and operation of multi-family housing that is leased to qualifying residential tenants.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Generally, these types of investments are funded through a combination of debt and equity.</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is a limited partner or non-managing member in each LIHTC limited partnership or limited liability company, respectively. Each of these entities is managed by an unrelated third-party general partner or managing member who exercises significant control over the affairs of the entity. The general partner or managing member has all the rights, powers and authority granted or permitted to be granted to a general partner of a limited partnership or managing member of a limited liability company. Duties entrusted to the general partner or managing member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or non-managing member(s) relating to the approval of certain transactions, the limited partner(s) and non-managing member(s) may not participate in the operation, management, or control of the entity’s business, transact any business in the entity’s name or have any power to sign documents for or otherwise bind the entity. In addition, the general partner or managing member may only be removed by the limited partner(s) or managing member(s) in the event of a failure to comply with the terms of the agreement or negligence in performing its duties.</w:t>
      </w:r>
    </w:p>
    <w:p>
      <w:pPr>
        <w:spacing w:after="0" w:line="1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general partner or managing member of each entity has both the power to direct the activities which most significantly affect the performance of each entity and the obligation to absorb losses or the right to receive benefits that could be significant to the entities. Therefore, the Company has determined that it is not the primary beneficiary of any LIHTC entity. The Company uses the effective yield method to account for its pre-2015 investments in these entities. Beginning January 1, 2015, any new investments that meet the requirements of the proportional amortization method are recognized using the proportional amortization method. The Company’s net affordable housing tax credit investments including the related unfunded commitments were $216.3 million and $233.2 million as of September 30, 2025 and December 31, 2024, respectively, and are included in Other Assets in the unaudited consolidated statements of condition.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expected payments for unfunded affordable housing commitments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39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4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9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22,573</w:t>
            </w:r>
          </w:p>
        </w:tc>
      </w:tr>
      <w:tr>
        <w:trPr>
          <w:trHeight w:val="23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9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53,843</w:t>
            </w:r>
          </w:p>
        </w:tc>
      </w:tr>
      <w:tr>
        <w:trPr>
          <w:trHeight w:val="2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9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11,462</w:t>
            </w:r>
          </w:p>
        </w:tc>
      </w:tr>
      <w:tr>
        <w:trPr>
          <w:trHeight w:val="233"/>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9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5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39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37"/>
        </w:trPr>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9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16,241</w:t>
            </w:r>
          </w:p>
        </w:tc>
      </w:tr>
      <w:tr>
        <w:trPr>
          <w:trHeight w:val="262"/>
        </w:trPr>
        <w:tc>
          <w:tcPr>
            <w:tcW w:w="5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Unfunded Commitments</w:t>
            </w:r>
          </w:p>
        </w:tc>
        <w:tc>
          <w:tcPr>
            <w:tcW w:w="39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104,621</w:t>
            </w:r>
          </w:p>
        </w:tc>
      </w:tr>
      <w:tr>
        <w:trPr>
          <w:trHeight w:val="20"/>
        </w:trPr>
        <w:tc>
          <w:tcPr>
            <w:tcW w:w="5760" w:type="dxa"/>
            <w:vAlign w:val="bottom"/>
            <w:tcBorders>
              <w:top w:val="single" w:sz="8" w:color="CCEEFF"/>
              <w:bottom w:val="single" w:sz="8" w:color="auto"/>
            </w:tcBorders>
          </w:tcPr>
          <w:p>
            <w:pPr>
              <w:spacing w:after="0" w:line="20" w:lineRule="exact"/>
              <w:rPr>
                <w:sz w:val="1"/>
                <w:szCs w:val="1"/>
                <w:color w:val="auto"/>
              </w:rPr>
            </w:pPr>
          </w:p>
        </w:tc>
        <w:tc>
          <w:tcPr>
            <w:tcW w:w="39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tax credits and other tax benefits recognized and amortization expense related to affordable housing for the three and nine months ended September 30, 2025 and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9"/>
                <w:szCs w:val="19"/>
                <w:color w:val="auto"/>
              </w:rPr>
            </w:pPr>
          </w:p>
        </w:tc>
        <w:tc>
          <w:tcPr>
            <w:tcW w:w="27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Yield Method</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3"/>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w:t>
            </w:r>
          </w:p>
        </w:tc>
      </w:tr>
      <w:tr>
        <w:trPr>
          <w:trHeight w:val="25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w:t>
            </w: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Proportional Amortization Method</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 Credits and Other Tax Benefits Recognized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8,844</w:t>
            </w:r>
          </w:p>
        </w:tc>
        <w:tc>
          <w:tcPr>
            <w:tcW w:w="3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26,532</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18,631</w:t>
            </w:r>
          </w:p>
        </w:tc>
      </w:tr>
      <w:tr>
        <w:trPr>
          <w:trHeight w:val="223"/>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Expense in Provision for Income Taxes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7,491</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22,473</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16,044</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 losses related to LIHTC investments during the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Securities Sold Under Agreements to Repurchase</w:t>
      </w:r>
    </w:p>
    <w:p>
      <w:pPr>
        <w:spacing w:after="0" w:line="20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contractual maturities of the Company’s repurchase agreements as of September 30, 2025 and December 31, 2024, by collateral pledged.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140" w:type="dxa"/>
            <w:vAlign w:val="bottom"/>
            <w:tcBorders>
              <w:bottom w:val="single" w:sz="8" w:color="auto"/>
            </w:tcBorders>
            <w:gridSpan w:val="8"/>
          </w:tcPr>
          <w:p>
            <w:pPr>
              <w:ind w:left="840"/>
              <w:spacing w:after="0"/>
              <w:rPr>
                <w:sz w:val="20"/>
                <w:szCs w:val="20"/>
                <w:color w:val="auto"/>
              </w:rPr>
            </w:pPr>
            <w:r>
              <w:rPr>
                <w:rFonts w:ascii="Times New Roman" w:cs="Times New Roman" w:eastAsia="Times New Roman" w:hAnsi="Times New Roman"/>
                <w:sz w:val="16"/>
                <w:szCs w:val="16"/>
                <w:b w:val="1"/>
                <w:bCs w:val="1"/>
                <w:color w:val="auto"/>
              </w:rPr>
              <w:t>Remaining Contractual Maturity of Repurchase Agreements</w:t>
            </w:r>
          </w:p>
        </w:tc>
        <w:tc>
          <w:tcPr>
            <w:tcW w:w="880" w:type="dxa"/>
            <w:vAlign w:val="bottom"/>
            <w:tcBorders>
              <w:bottom w:val="single" w:sz="8" w:color="auto"/>
            </w:tcBorders>
          </w:tcPr>
          <w:p>
            <w:pPr>
              <w:spacing w:after="0"/>
              <w:rPr>
                <w:sz w:val="19"/>
                <w:szCs w:val="19"/>
                <w:color w:val="auto"/>
              </w:rPr>
            </w:pPr>
          </w:p>
        </w:tc>
      </w:tr>
      <w:tr>
        <w:trPr>
          <w:trHeight w:val="237"/>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Up to 90 days</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91-365 days</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After 3 Years</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3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38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3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4"/>
        </w:trPr>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 Government Agencies or Sponsored Enterprises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bl>
    <w:p>
      <w:pPr>
        <w:spacing w:after="0" w:line="2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presents the assets and liabilities subject to an enforceable master netting arrangement, or repurchase agreements as of September 30, 2025 and December 31, 2024. The Company has swap agreements with commercial banking customers that are not subject to an enforceable master netting arrangement and therefore are excluded from this table. Interest rate swaps that are designated as fair value hedges between the Company and institutional counterparties are also excluded from this table. See Note 10.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 on swap agreements.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(ii)</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(iii) = (i)-(ii)</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rPr>
              <w:t>(iv)</w:t>
            </w:r>
          </w:p>
        </w:tc>
        <w:tc>
          <w:tcPr>
            <w:tcW w:w="1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(v) = (iii)-(iv)</w:t>
            </w:r>
          </w:p>
        </w:tc>
        <w:tc>
          <w:tcPr>
            <w:tcW w:w="0" w:type="dxa"/>
            <w:vAlign w:val="bottom"/>
          </w:tcPr>
          <w:p>
            <w:pPr>
              <w:spacing w:after="0"/>
              <w:rPr>
                <w:sz w:val="1"/>
                <w:szCs w:val="1"/>
                <w:color w:val="auto"/>
              </w:rPr>
            </w:pPr>
          </w:p>
        </w:tc>
      </w:tr>
      <w:tr>
        <w:trPr>
          <w:trHeight w:val="195"/>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Gross Amounts Not Offset in</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40" w:type="dxa"/>
            <w:vAlign w:val="bottom"/>
            <w:gridSpan w:val="3"/>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the Statements of Condition</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Gross Amounts</w:t>
            </w:r>
          </w:p>
        </w:tc>
        <w:tc>
          <w:tcPr>
            <w:tcW w:w="160" w:type="dxa"/>
            <w:vAlign w:val="bottom"/>
          </w:tcPr>
          <w:p>
            <w:pPr>
              <w:spacing w:after="0"/>
              <w:rPr>
                <w:sz w:val="16"/>
                <w:szCs w:val="16"/>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Gross Amounts</w:t>
            </w:r>
          </w:p>
        </w:tc>
        <w:tc>
          <w:tcPr>
            <w:tcW w:w="140" w:type="dxa"/>
            <w:vAlign w:val="bottom"/>
          </w:tcPr>
          <w:p>
            <w:pPr>
              <w:spacing w:after="0"/>
              <w:rPr>
                <w:sz w:val="16"/>
                <w:szCs w:val="16"/>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Net Amounts</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Netting</w:t>
            </w:r>
          </w:p>
        </w:tc>
        <w:tc>
          <w:tcPr>
            <w:tcW w:w="220" w:type="dxa"/>
            <w:vAlign w:val="bottom"/>
          </w:tcPr>
          <w:p>
            <w:pPr>
              <w:spacing w:after="0"/>
              <w:rPr>
                <w:sz w:val="16"/>
                <w:szCs w:val="16"/>
                <w:color w:val="auto"/>
              </w:rPr>
            </w:pPr>
          </w:p>
        </w:tc>
        <w:tc>
          <w:tcPr>
            <w:tcW w:w="1140" w:type="dxa"/>
            <w:vAlign w:val="bottom"/>
            <w:vMerge w:val="restart"/>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Fair Value of</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Recognized in the</w:t>
            </w:r>
          </w:p>
        </w:tc>
        <w:tc>
          <w:tcPr>
            <w:tcW w:w="160" w:type="dxa"/>
            <w:vAlign w:val="bottom"/>
          </w:tcPr>
          <w:p>
            <w:pPr>
              <w:spacing w:after="0"/>
              <w:rPr>
                <w:sz w:val="15"/>
                <w:szCs w:val="15"/>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Offset in the</w:t>
            </w:r>
          </w:p>
        </w:tc>
        <w:tc>
          <w:tcPr>
            <w:tcW w:w="140" w:type="dxa"/>
            <w:vAlign w:val="bottom"/>
          </w:tcPr>
          <w:p>
            <w:pPr>
              <w:spacing w:after="0"/>
              <w:rPr>
                <w:sz w:val="15"/>
                <w:szCs w:val="15"/>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Presented in the</w:t>
            </w:r>
          </w:p>
        </w:tc>
        <w:tc>
          <w:tcPr>
            <w:tcW w:w="100" w:type="dxa"/>
            <w:vAlign w:val="bottom"/>
          </w:tcPr>
          <w:p>
            <w:pPr>
              <w:spacing w:after="0"/>
              <w:rPr>
                <w:sz w:val="15"/>
                <w:szCs w:val="15"/>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Adjustments per</w:t>
            </w:r>
          </w:p>
        </w:tc>
        <w:tc>
          <w:tcPr>
            <w:tcW w:w="2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Statements of</w:t>
            </w:r>
          </w:p>
        </w:tc>
        <w:tc>
          <w:tcPr>
            <w:tcW w:w="160" w:type="dxa"/>
            <w:vAlign w:val="bottom"/>
          </w:tcPr>
          <w:p>
            <w:pPr>
              <w:spacing w:after="0"/>
              <w:rPr>
                <w:sz w:val="15"/>
                <w:szCs w:val="15"/>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Statements of</w:t>
            </w:r>
          </w:p>
        </w:tc>
        <w:tc>
          <w:tcPr>
            <w:tcW w:w="140" w:type="dxa"/>
            <w:vAlign w:val="bottom"/>
          </w:tcPr>
          <w:p>
            <w:pPr>
              <w:spacing w:after="0"/>
              <w:rPr>
                <w:sz w:val="15"/>
                <w:szCs w:val="15"/>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Statements of</w:t>
            </w:r>
          </w:p>
        </w:tc>
        <w:tc>
          <w:tcPr>
            <w:tcW w:w="100" w:type="dxa"/>
            <w:vAlign w:val="bottom"/>
          </w:tcPr>
          <w:p>
            <w:pPr>
              <w:spacing w:after="0"/>
              <w:rPr>
                <w:sz w:val="15"/>
                <w:szCs w:val="15"/>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Master Netting</w:t>
            </w: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Collateral Pledged/</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(dollars in thousands)</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Condition</w:t>
            </w:r>
          </w:p>
        </w:tc>
        <w:tc>
          <w:tcPr>
            <w:tcW w:w="160" w:type="dxa"/>
            <w:vAlign w:val="bottom"/>
          </w:tcPr>
          <w:p>
            <w:pPr>
              <w:spacing w:after="0"/>
              <w:rPr>
                <w:sz w:val="18"/>
                <w:szCs w:val="18"/>
                <w:color w:val="auto"/>
              </w:rPr>
            </w:pPr>
          </w:p>
        </w:tc>
        <w:tc>
          <w:tcPr>
            <w:tcW w:w="116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Condition</w:t>
            </w:r>
          </w:p>
        </w:tc>
        <w:tc>
          <w:tcPr>
            <w:tcW w:w="140" w:type="dxa"/>
            <w:vAlign w:val="bottom"/>
          </w:tcPr>
          <w:p>
            <w:pPr>
              <w:spacing w:after="0"/>
              <w:rPr>
                <w:sz w:val="18"/>
                <w:szCs w:val="18"/>
                <w:color w:val="auto"/>
              </w:rPr>
            </w:pPr>
          </w:p>
        </w:tc>
        <w:tc>
          <w:tcPr>
            <w:tcW w:w="12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Condition</w:t>
            </w:r>
          </w:p>
        </w:tc>
        <w:tc>
          <w:tcPr>
            <w:tcW w:w="100" w:type="dxa"/>
            <w:vAlign w:val="bottom"/>
          </w:tcPr>
          <w:p>
            <w:pPr>
              <w:spacing w:after="0"/>
              <w:rPr>
                <w:sz w:val="18"/>
                <w:szCs w:val="18"/>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5"/>
                <w:szCs w:val="15"/>
                <w:b w:val="1"/>
                <w:bCs w:val="1"/>
                <w:color w:val="auto"/>
              </w:rPr>
              <w:t>Arrangements</w:t>
            </w:r>
          </w:p>
        </w:tc>
        <w:tc>
          <w:tcPr>
            <w:tcW w:w="220" w:type="dxa"/>
            <w:vAlign w:val="bottom"/>
          </w:tcPr>
          <w:p>
            <w:pPr>
              <w:spacing w:after="0"/>
              <w:rPr>
                <w:sz w:val="18"/>
                <w:szCs w:val="18"/>
                <w:color w:val="auto"/>
              </w:rPr>
            </w:pPr>
          </w:p>
        </w:tc>
        <w:tc>
          <w:tcPr>
            <w:tcW w:w="1140" w:type="dxa"/>
            <w:vAlign w:val="bottom"/>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 xml:space="preserve">Received </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8"/>
                <w:szCs w:val="18"/>
                <w:color w:val="auto"/>
              </w:rPr>
            </w:pPr>
          </w:p>
        </w:tc>
        <w:tc>
          <w:tcPr>
            <w:tcW w:w="116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Net Amount</w:t>
            </w:r>
          </w:p>
        </w:tc>
        <w:tc>
          <w:tcPr>
            <w:tcW w:w="0" w:type="dxa"/>
            <w:vAlign w:val="bottom"/>
          </w:tcPr>
          <w:p>
            <w:pPr>
              <w:spacing w:after="0"/>
              <w:rPr>
                <w:sz w:val="1"/>
                <w:szCs w:val="1"/>
                <w:color w:val="auto"/>
              </w:rPr>
            </w:pPr>
          </w:p>
        </w:tc>
      </w:tr>
      <w:tr>
        <w:trPr>
          <w:trHeight w:val="22"/>
        </w:trPr>
        <w:tc>
          <w:tcPr>
            <w:tcW w:w="3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86,426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86,426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15,204</w:t>
            </w:r>
          </w:p>
        </w:tc>
        <w:tc>
          <w:tcPr>
            <w:tcW w:w="2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71,222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15,204</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15,204</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15,204</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Agreements: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Private Institutions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141,571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5,446</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Institutional Counterparties</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5,446</w:t>
            </w:r>
          </w:p>
        </w:tc>
        <w:tc>
          <w:tcPr>
            <w:tcW w:w="16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5,446</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5,446</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Agreements: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Private Institutions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9"/>
                <w:szCs w:val="19"/>
                <w:color w:val="auto"/>
              </w:rPr>
            </w:pPr>
          </w:p>
        </w:tc>
        <w:tc>
          <w:tcPr>
            <w:tcW w:w="116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6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20" w:right="40" w:hanging="412"/>
        <w:spacing w:after="0" w:line="230" w:lineRule="auto"/>
        <w:tabs>
          <w:tab w:leader="none" w:pos="413"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application of collateral cannot reduce the net amount below zero. Therefore, excess collateral is not reflected in this table. For repurchase agreements with private institutions, the fair value of investment securities pledged was $55.2 million and $109.5 million as of September 30, 2025 and December 31, 2024, respectively.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Accumulated Other Comprehensive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other comprehensive income for the three and nine months ended September 30, 2025 and 2024:</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Net of Tax</w:t>
            </w: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Unrealized Gains Arising During the Period</w:t>
            </w:r>
          </w:p>
        </w:tc>
        <w:tc>
          <w:tcPr>
            <w:tcW w:w="4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25,105</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18,451</w:t>
            </w: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 that Decrease Net Income:</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4"/>
        </w:trPr>
        <w:tc>
          <w:tcPr>
            <w:tcW w:w="63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Unrealized Holding Losses on Held-to-Maturity Securities</w:t>
            </w:r>
          </w:p>
        </w:tc>
        <w:tc>
          <w:tcPr>
            <w:tcW w:w="4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4,260</w:t>
            </w:r>
          </w:p>
        </w:tc>
      </w:tr>
      <w:tr>
        <w:trPr>
          <w:trHeight w:val="186"/>
        </w:trPr>
        <w:tc>
          <w:tcPr>
            <w:tcW w:w="63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30,901</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8,190</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22,711</w:t>
            </w: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Plans:</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Net Actuarial Losses</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4"/>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4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6"/>
        </w:trPr>
        <w:tc>
          <w:tcPr>
            <w:tcW w:w="63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Defined Benefit Plans, Net</w:t>
            </w:r>
          </w:p>
        </w:tc>
        <w:tc>
          <w:tcPr>
            <w:tcW w:w="4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4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31,218</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22,943</w:t>
            </w:r>
          </w:p>
        </w:tc>
      </w:tr>
      <w:tr>
        <w:trPr>
          <w:trHeight w:val="20"/>
        </w:trPr>
        <w:tc>
          <w:tcPr>
            <w:tcW w:w="6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Unrealized Gains Arising During the Period</w:t>
            </w: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46,623</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12,352</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34,271</w:t>
            </w: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 that Decrease Net Income:</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Amortization of Unrealized Holding Losses on Held-to-Maturity Securities</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6,207</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4,562</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3"/>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52,830</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13,997</w:t>
            </w:r>
          </w:p>
        </w:tc>
        <w:tc>
          <w:tcPr>
            <w:tcW w:w="2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38,833</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Defined Benefit Plans: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Net Actuarial Losses</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28"/>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Defined Benefit Plans, Net</w:t>
            </w:r>
          </w:p>
        </w:tc>
        <w:tc>
          <w:tcPr>
            <w:tcW w:w="4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86"/>
        </w:trPr>
        <w:tc>
          <w:tcPr>
            <w:tcW w:w="6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4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53,059</w:t>
            </w: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14,058</w:t>
            </w: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39,001</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
        </w:trPr>
        <w:tc>
          <w:tcPr>
            <w:tcW w:w="6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4"/>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4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Unrealized Gains Arising During the Period</w:t>
            </w:r>
          </w:p>
        </w:tc>
        <w:tc>
          <w:tcPr>
            <w:tcW w:w="4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73,024</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19,352</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53,672</w:t>
            </w: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 that Decrease Net Income:</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5"/>
        </w:trPr>
        <w:tc>
          <w:tcPr>
            <w:tcW w:w="63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Amortization of Unrealized Holding Losses on Held-to-Maturity Securities</w:t>
            </w:r>
          </w:p>
        </w:tc>
        <w:tc>
          <w:tcPr>
            <w:tcW w:w="4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17,374</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12,769</w:t>
            </w:r>
          </w:p>
        </w:tc>
      </w:tr>
      <w:tr>
        <w:trPr>
          <w:trHeight w:val="186"/>
        </w:trPr>
        <w:tc>
          <w:tcPr>
            <w:tcW w:w="63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90,398</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23,957</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66,441</w:t>
            </w: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Defined Benefit Plans:</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Net Actuarial Losses</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5"/>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4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186"/>
        </w:trPr>
        <w:tc>
          <w:tcPr>
            <w:tcW w:w="63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Defined Benefit Plans, Net</w:t>
            </w:r>
          </w:p>
        </w:tc>
        <w:tc>
          <w:tcPr>
            <w:tcW w:w="4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2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8"/>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4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91,347</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24,209</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67,138</w:t>
            </w:r>
          </w:p>
        </w:tc>
      </w:tr>
      <w:tr>
        <w:trPr>
          <w:trHeight w:val="20"/>
        </w:trPr>
        <w:tc>
          <w:tcPr>
            <w:tcW w:w="6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Unrealized Gains Arising During the Period</w:t>
            </w:r>
          </w:p>
        </w:tc>
        <w:tc>
          <w:tcPr>
            <w:tcW w:w="4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64,049</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16,971</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47,078</w:t>
            </w: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10"/>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Amounts Reclassified from Accumulated Other Comprehensive Income that Decrease Net Income:</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193"/>
        </w:trPr>
        <w:tc>
          <w:tcPr>
            <w:tcW w:w="63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Amortization of Unrealized Holding Losses on Held-to-Maturity Securities</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18,703</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4,958</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13,745</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3"/>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Unrealized Gains on Investment Securities</w:t>
            </w:r>
          </w:p>
        </w:tc>
        <w:tc>
          <w:tcPr>
            <w:tcW w:w="4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82,752</w:t>
            </w: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21,929</w:t>
            </w:r>
          </w:p>
        </w:tc>
        <w:tc>
          <w:tcPr>
            <w:tcW w:w="2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60,823</w:t>
            </w:r>
          </w:p>
        </w:tc>
      </w:tr>
      <w:tr>
        <w:trPr>
          <w:trHeight w:val="193"/>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Defined Benefit Plans: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6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09"/>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Net Actuarial Losses</w:t>
            </w:r>
          </w:p>
        </w:tc>
        <w:tc>
          <w:tcPr>
            <w:tcW w:w="4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w:t>
            </w:r>
          </w:p>
        </w:tc>
      </w:tr>
      <w:tr>
        <w:trPr>
          <w:trHeight w:val="193"/>
        </w:trPr>
        <w:tc>
          <w:tcPr>
            <w:tcW w:w="63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Prior Service Credit</w:t>
            </w:r>
          </w:p>
        </w:tc>
        <w:tc>
          <w:tcPr>
            <w:tcW w:w="4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28"/>
        </w:trPr>
        <w:tc>
          <w:tcPr>
            <w:tcW w:w="6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Defined Benefit Plans, Net</w:t>
            </w:r>
          </w:p>
        </w:tc>
        <w:tc>
          <w:tcPr>
            <w:tcW w:w="4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r>
      <w:tr>
        <w:trPr>
          <w:trHeight w:val="186"/>
        </w:trPr>
        <w:tc>
          <w:tcPr>
            <w:tcW w:w="6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4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83,441</w:t>
            </w:r>
          </w:p>
        </w:tc>
        <w:tc>
          <w:tcPr>
            <w:tcW w:w="2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22,113</w:t>
            </w:r>
          </w:p>
        </w:tc>
        <w:tc>
          <w:tcPr>
            <w:tcW w:w="2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61,328</w:t>
            </w:r>
          </w:p>
        </w:tc>
      </w:tr>
      <w:tr>
        <w:trPr>
          <w:trHeight w:val="37"/>
        </w:trPr>
        <w:tc>
          <w:tcPr>
            <w:tcW w:w="63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amortization of unrealized holding losses on HTM securities relates to the Company’s reclassification of AFS investment securities to the HTM category and will be amortized over the remaining life of the investment securities as an adjustment of yield.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each component of accumulated other comprehensive income, net of tax,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220" w:type="dxa"/>
            <w:vAlign w:val="bottom"/>
          </w:tcPr>
          <w:p>
            <w:pPr>
              <w:spacing w:after="0"/>
              <w:rPr>
                <w:sz w:val="14"/>
                <w:szCs w:val="14"/>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62"/>
        </w:trPr>
        <w:tc>
          <w:tcPr>
            <w:tcW w:w="5320" w:type="dxa"/>
            <w:vAlign w:val="bottom"/>
          </w:tcPr>
          <w:p>
            <w:pPr>
              <w:spacing w:after="0"/>
              <w:rPr>
                <w:sz w:val="14"/>
                <w:szCs w:val="14"/>
                <w:color w:val="auto"/>
              </w:rPr>
            </w:pPr>
          </w:p>
        </w:tc>
        <w:tc>
          <w:tcPr>
            <w:tcW w:w="17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Securities-Available-</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Securities-Held-to-</w:t>
            </w:r>
          </w:p>
        </w:tc>
        <w:tc>
          <w:tcPr>
            <w:tcW w:w="160" w:type="dxa"/>
            <w:vAlign w:val="bottom"/>
          </w:tcPr>
          <w:p>
            <w:pPr>
              <w:spacing w:after="0"/>
              <w:rPr>
                <w:sz w:val="14"/>
                <w:szCs w:val="14"/>
                <w:color w:val="auto"/>
              </w:rPr>
            </w:pPr>
          </w:p>
        </w:tc>
        <w:tc>
          <w:tcPr>
            <w:tcW w:w="118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20" w:type="dxa"/>
            <w:vAlign w:val="bottom"/>
          </w:tcPr>
          <w:p>
            <w:pPr>
              <w:spacing w:after="0"/>
              <w:rPr>
                <w:sz w:val="14"/>
                <w:szCs w:val="14"/>
                <w:color w:val="auto"/>
              </w:rPr>
            </w:pPr>
          </w:p>
        </w:tc>
        <w:tc>
          <w:tcPr>
            <w:tcW w:w="13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Comprehensive</w:t>
            </w:r>
          </w:p>
        </w:tc>
      </w:tr>
      <w:tr>
        <w:trPr>
          <w:trHeight w:val="204"/>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660" w:type="dxa"/>
            <w:vAlign w:val="bottom"/>
          </w:tcPr>
          <w:p>
            <w:pPr>
              <w:spacing w:after="0"/>
              <w:rPr>
                <w:sz w:val="17"/>
                <w:szCs w:val="17"/>
                <w:color w:val="auto"/>
              </w:rPr>
            </w:pPr>
          </w:p>
        </w:tc>
        <w:tc>
          <w:tcPr>
            <w:tcW w:w="11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for-Sale</w:t>
            </w:r>
          </w:p>
        </w:tc>
        <w:tc>
          <w:tcPr>
            <w:tcW w:w="220" w:type="dxa"/>
            <w:vAlign w:val="bottom"/>
          </w:tcPr>
          <w:p>
            <w:pPr>
              <w:spacing w:after="0"/>
              <w:rPr>
                <w:sz w:val="17"/>
                <w:szCs w:val="17"/>
                <w:color w:val="auto"/>
              </w:rPr>
            </w:pPr>
          </w:p>
        </w:tc>
        <w:tc>
          <w:tcPr>
            <w:tcW w:w="11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60" w:type="dxa"/>
            <w:vAlign w:val="bottom"/>
          </w:tcPr>
          <w:p>
            <w:pPr>
              <w:spacing w:after="0"/>
              <w:rPr>
                <w:sz w:val="17"/>
                <w:szCs w:val="17"/>
                <w:color w:val="auto"/>
              </w:rPr>
            </w:pPr>
          </w:p>
        </w:tc>
        <w:tc>
          <w:tcPr>
            <w:tcW w:w="11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7"/>
                <w:szCs w:val="17"/>
                <w:color w:val="auto"/>
              </w:rPr>
            </w:pPr>
          </w:p>
        </w:tc>
        <w:tc>
          <w:tcPr>
            <w:tcW w:w="13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Income (Loss)</w:t>
            </w:r>
          </w:p>
        </w:tc>
      </w:tr>
      <w:tr>
        <w:trPr>
          <w:trHeight w:val="37"/>
        </w:trPr>
        <w:tc>
          <w:tcPr>
            <w:tcW w:w="5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6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(154,009)</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(122,254)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(299,194)</w:t>
            </w:r>
          </w:p>
        </w:tc>
      </w:tr>
      <w:tr>
        <w:trPr>
          <w:trHeight w:val="25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6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18,451</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18,451</w:t>
            </w:r>
          </w:p>
        </w:tc>
      </w:tr>
      <w:tr>
        <w:trPr>
          <w:trHeight w:val="237"/>
        </w:trPr>
        <w:tc>
          <w:tcPr>
            <w:tcW w:w="5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4,492</w:t>
            </w:r>
          </w:p>
        </w:tc>
      </w:tr>
      <w:tr>
        <w:trPr>
          <w:trHeight w:val="237"/>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18,451</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22,943</w:t>
            </w:r>
          </w:p>
        </w:tc>
      </w:tr>
      <w:tr>
        <w:trPr>
          <w:trHeight w:val="23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(135,558)</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(117,994)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(276,251)</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3"/>
        </w:trPr>
        <w:tc>
          <w:tcPr>
            <w:tcW w:w="53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(211,600)</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(374,361)</w:t>
            </w:r>
          </w:p>
        </w:tc>
      </w:tr>
      <w:tr>
        <w:trPr>
          <w:trHeight w:val="233"/>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34,271</w:t>
            </w:r>
          </w:p>
        </w:tc>
      </w:tr>
      <w:tr>
        <w:trPr>
          <w:trHeight w:val="246"/>
        </w:trPr>
        <w:tc>
          <w:tcPr>
            <w:tcW w:w="5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6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4,730</w:t>
            </w:r>
          </w:p>
        </w:tc>
      </w:tr>
      <w:tr>
        <w:trPr>
          <w:trHeight w:val="23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34,271</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39,001</w:t>
            </w:r>
          </w:p>
        </w:tc>
      </w:tr>
      <w:tr>
        <w:trPr>
          <w:trHeight w:val="262"/>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6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(177,329)</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(335,360)</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5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6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(189,230)</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(130,763)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(23,396)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(343,389)</w:t>
            </w:r>
          </w:p>
        </w:tc>
      </w:tr>
      <w:tr>
        <w:trPr>
          <w:trHeight w:val="25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6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53,672</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53,672</w:t>
            </w:r>
          </w:p>
        </w:tc>
      </w:tr>
      <w:tr>
        <w:trPr>
          <w:trHeight w:val="236"/>
        </w:trPr>
        <w:tc>
          <w:tcPr>
            <w:tcW w:w="53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12,769</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13,466</w:t>
            </w:r>
          </w:p>
        </w:tc>
      </w:tr>
      <w:tr>
        <w:trPr>
          <w:trHeight w:val="237"/>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6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53,672</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12,769</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67,138</w:t>
            </w:r>
          </w:p>
        </w:tc>
      </w:tr>
      <w:tr>
        <w:trPr>
          <w:trHeight w:val="23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(135,558)</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(117,994)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(22,699)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(276,251)</w:t>
            </w: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3"/>
        </w:trPr>
        <w:tc>
          <w:tcPr>
            <w:tcW w:w="53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Beginning of Period</w:t>
            </w:r>
          </w:p>
        </w:tc>
        <w:tc>
          <w:tcPr>
            <w:tcW w:w="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(224,407)</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(396,688)</w:t>
            </w:r>
          </w:p>
        </w:tc>
      </w:tr>
      <w:tr>
        <w:trPr>
          <w:trHeight w:val="233"/>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47,078</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47,078</w:t>
            </w:r>
          </w:p>
        </w:tc>
      </w:tr>
      <w:tr>
        <w:trPr>
          <w:trHeight w:val="246"/>
        </w:trPr>
        <w:tc>
          <w:tcPr>
            <w:tcW w:w="5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Income</w:t>
            </w:r>
          </w:p>
        </w:tc>
        <w:tc>
          <w:tcPr>
            <w:tcW w:w="6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13,745</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14,250</w:t>
            </w:r>
          </w:p>
        </w:tc>
      </w:tr>
      <w:tr>
        <w:trPr>
          <w:trHeight w:val="23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47,078</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13,745</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61,328</w:t>
            </w:r>
          </w:p>
        </w:tc>
      </w:tr>
      <w:tr>
        <w:trPr>
          <w:trHeight w:val="262"/>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End of Period</w:t>
            </w:r>
          </w:p>
        </w:tc>
        <w:tc>
          <w:tcPr>
            <w:tcW w:w="6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(177,329)</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(335,360)</w:t>
            </w:r>
          </w:p>
        </w:tc>
      </w:tr>
      <w:tr>
        <w:trPr>
          <w:trHeight w:val="20"/>
        </w:trPr>
        <w:tc>
          <w:tcPr>
            <w:tcW w:w="5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reclassified out of each component of accumulated other comprehensive income for the three and nine months ended September 30, 2025 and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Income</w:t>
            </w:r>
          </w:p>
        </w:tc>
        <w:tc>
          <w:tcPr>
            <w:tcW w:w="160" w:type="dxa"/>
            <w:vAlign w:val="bottom"/>
          </w:tcPr>
          <w:p>
            <w:pPr>
              <w:spacing w:after="0"/>
              <w:rPr>
                <w:sz w:val="16"/>
                <w:szCs w:val="16"/>
                <w:color w:val="auto"/>
              </w:rPr>
            </w:pPr>
          </w:p>
        </w:tc>
        <w:tc>
          <w:tcPr>
            <w:tcW w:w="350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45"/>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16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Comprehensive Income</w:t>
            </w:r>
            <w:r>
              <w:rPr>
                <w:rFonts w:ascii="Times New Roman" w:cs="Times New Roman" w:eastAsia="Times New Roman" w:hAnsi="Times New Roman"/>
                <w:sz w:val="21"/>
                <w:szCs w:val="21"/>
                <w:b w:val="1"/>
                <w:bCs w:val="1"/>
                <w:color w:val="auto"/>
                <w:w w:val="99"/>
                <w:vertAlign w:val="superscript"/>
              </w:rPr>
              <w:t>1</w:t>
            </w:r>
          </w:p>
        </w:tc>
        <w:tc>
          <w:tcPr>
            <w:tcW w:w="32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30"/>
        </w:trPr>
        <w:tc>
          <w:tcPr>
            <w:tcW w:w="4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60" w:type="dxa"/>
            <w:vAlign w:val="bottom"/>
          </w:tcPr>
          <w:p>
            <w:pPr>
              <w:spacing w:after="0"/>
              <w:rPr>
                <w:sz w:val="20"/>
                <w:szCs w:val="20"/>
                <w:color w:val="auto"/>
              </w:rPr>
            </w:pPr>
          </w:p>
        </w:tc>
      </w:tr>
      <w:tr>
        <w:trPr>
          <w:trHeight w:val="236"/>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60" w:type="dxa"/>
            <w:vAlign w:val="bottom"/>
            <w:tcBorders>
              <w:bottom w:val="single" w:sz="8" w:color="auto"/>
            </w:tcBorders>
          </w:tcPr>
          <w:p>
            <w:pPr>
              <w:spacing w:after="0"/>
              <w:rPr>
                <w:sz w:val="20"/>
                <w:szCs w:val="20"/>
                <w:color w:val="auto"/>
              </w:rPr>
            </w:pPr>
          </w:p>
        </w:tc>
      </w:tr>
      <w:tr>
        <w:trPr>
          <w:trHeight w:val="20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Unrealized Holding Losses on Investment</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(5,796)</w:t>
            </w:r>
          </w:p>
        </w:tc>
        <w:tc>
          <w:tcPr>
            <w:tcW w:w="4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(6,207)</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r>
      <w:tr>
        <w:trPr>
          <w:trHeight w:val="237"/>
        </w:trPr>
        <w:tc>
          <w:tcPr>
            <w:tcW w:w="4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1,536</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36"/>
        </w:trPr>
        <w:tc>
          <w:tcPr>
            <w:tcW w:w="43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4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Tax</w:t>
            </w:r>
          </w:p>
        </w:tc>
      </w:tr>
      <w:tr>
        <w:trPr>
          <w:trHeight w:val="257"/>
        </w:trPr>
        <w:tc>
          <w:tcPr>
            <w:tcW w:w="4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60" w:type="dxa"/>
            <w:vAlign w:val="bottom"/>
          </w:tcPr>
          <w:p>
            <w:pPr>
              <w:spacing w:after="0"/>
              <w:rPr>
                <w:sz w:val="22"/>
                <w:szCs w:val="22"/>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Plan Items</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260" w:type="dxa"/>
            <w:vAlign w:val="bottom"/>
            <w:shd w:val="clear" w:color="auto" w:fill="CCEEFF"/>
          </w:tcPr>
          <w:p>
            <w:pPr>
              <w:spacing w:after="0"/>
              <w:rPr>
                <w:sz w:val="21"/>
                <w:szCs w:val="21"/>
                <w:color w:val="auto"/>
              </w:rPr>
            </w:pPr>
          </w:p>
        </w:tc>
      </w:tr>
      <w:tr>
        <w:trPr>
          <w:trHeight w:val="23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Prior Service Credit</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4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Noninterest Expense</w:t>
            </w:r>
          </w:p>
        </w:tc>
      </w:tr>
      <w:tr>
        <w:trPr>
          <w:trHeight w:val="246"/>
        </w:trPr>
        <w:tc>
          <w:tcPr>
            <w:tcW w:w="4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Actuarial Losses</w:t>
            </w: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4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Noninterest Expense</w:t>
            </w:r>
          </w:p>
        </w:tc>
      </w:tr>
      <w:tr>
        <w:trPr>
          <w:trHeight w:val="233"/>
        </w:trPr>
        <w:tc>
          <w:tcPr>
            <w:tcW w:w="4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4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46"/>
        </w:trPr>
        <w:tc>
          <w:tcPr>
            <w:tcW w:w="43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4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36"/>
        </w:trPr>
        <w:tc>
          <w:tcPr>
            <w:tcW w:w="4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Net of Tax</w:t>
            </w:r>
          </w:p>
        </w:tc>
      </w:tr>
      <w:tr>
        <w:trPr>
          <w:trHeight w:val="257"/>
        </w:trPr>
        <w:tc>
          <w:tcPr>
            <w:tcW w:w="43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3260" w:type="dxa"/>
            <w:vAlign w:val="bottom"/>
            <w:tcBorders>
              <w:bottom w:val="single" w:sz="8" w:color="auto"/>
            </w:tcBorders>
            <w:shd w:val="clear" w:color="auto" w:fill="CCEEFF"/>
          </w:tcPr>
          <w:p>
            <w:pPr>
              <w:spacing w:after="0"/>
              <w:rPr>
                <w:sz w:val="22"/>
                <w:szCs w:val="22"/>
                <w:color w:val="auto"/>
              </w:rPr>
            </w:pPr>
          </w:p>
        </w:tc>
      </w:tr>
      <w:tr>
        <w:trPr>
          <w:trHeight w:val="23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(4,492)</w:t>
            </w:r>
          </w:p>
        </w:tc>
        <w:tc>
          <w:tcPr>
            <w:tcW w:w="4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(4,730)</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Net of Tax</w:t>
            </w:r>
          </w:p>
        </w:tc>
      </w:tr>
      <w:tr>
        <w:trPr>
          <w:trHeight w:val="21"/>
        </w:trPr>
        <w:tc>
          <w:tcPr>
            <w:tcW w:w="4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r>
        <w:trPr>
          <w:trHeight w:val="243"/>
        </w:trPr>
        <w:tc>
          <w:tcPr>
            <w:tcW w:w="4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260" w:type="dxa"/>
            <w:vAlign w:val="bottom"/>
            <w:shd w:val="clear" w:color="auto" w:fill="CCEEFF"/>
          </w:tcPr>
          <w:p>
            <w:pPr>
              <w:spacing w:after="0"/>
              <w:rPr>
                <w:sz w:val="21"/>
                <w:szCs w:val="21"/>
                <w:color w:val="auto"/>
              </w:rPr>
            </w:pPr>
          </w:p>
        </w:tc>
      </w:tr>
      <w:tr>
        <w:trPr>
          <w:trHeight w:val="200"/>
        </w:trPr>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Details about Accumulated Other Comprehensive Income</w:t>
            </w:r>
          </w:p>
        </w:tc>
        <w:tc>
          <w:tcPr>
            <w:tcW w:w="160" w:type="dxa"/>
            <w:vAlign w:val="bottom"/>
          </w:tcPr>
          <w:p>
            <w:pPr>
              <w:spacing w:after="0"/>
              <w:rPr>
                <w:sz w:val="17"/>
                <w:szCs w:val="17"/>
                <w:color w:val="auto"/>
              </w:rPr>
            </w:pPr>
          </w:p>
        </w:tc>
        <w:tc>
          <w:tcPr>
            <w:tcW w:w="3500" w:type="dxa"/>
            <w:vAlign w:val="bottom"/>
            <w:gridSpan w:val="3"/>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Amount Reclassified from Accumulated Other</w:t>
            </w: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Affected Line Item in the Statement Where</w:t>
            </w:r>
          </w:p>
        </w:tc>
      </w:tr>
      <w:tr>
        <w:trPr>
          <w:trHeight w:val="245"/>
        </w:trPr>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Components</w:t>
            </w:r>
          </w:p>
        </w:tc>
        <w:tc>
          <w:tcPr>
            <w:tcW w:w="16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Comprehensive Income</w:t>
            </w:r>
            <w:r>
              <w:rPr>
                <w:rFonts w:ascii="Times New Roman" w:cs="Times New Roman" w:eastAsia="Times New Roman" w:hAnsi="Times New Roman"/>
                <w:sz w:val="21"/>
                <w:szCs w:val="21"/>
                <w:b w:val="1"/>
                <w:bCs w:val="1"/>
                <w:color w:val="auto"/>
                <w:w w:val="99"/>
                <w:vertAlign w:val="superscript"/>
              </w:rPr>
              <w:t>1</w:t>
            </w:r>
          </w:p>
        </w:tc>
        <w:tc>
          <w:tcPr>
            <w:tcW w:w="32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Net Income Is Presented</w:t>
            </w:r>
          </w:p>
        </w:tc>
      </w:tr>
      <w:tr>
        <w:trPr>
          <w:trHeight w:val="230"/>
        </w:trPr>
        <w:tc>
          <w:tcPr>
            <w:tcW w:w="4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3"/>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260" w:type="dxa"/>
            <w:vAlign w:val="bottom"/>
          </w:tcPr>
          <w:p>
            <w:pPr>
              <w:spacing w:after="0"/>
              <w:rPr>
                <w:sz w:val="20"/>
                <w:szCs w:val="20"/>
                <w:color w:val="auto"/>
              </w:rPr>
            </w:pPr>
          </w:p>
        </w:tc>
      </w:tr>
      <w:tr>
        <w:trPr>
          <w:trHeight w:val="236"/>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60" w:type="dxa"/>
            <w:vAlign w:val="bottom"/>
            <w:tcBorders>
              <w:bottom w:val="single" w:sz="8" w:color="auto"/>
            </w:tcBorders>
          </w:tcPr>
          <w:p>
            <w:pPr>
              <w:spacing w:after="0"/>
              <w:rPr>
                <w:sz w:val="20"/>
                <w:szCs w:val="20"/>
                <w:color w:val="auto"/>
              </w:rPr>
            </w:pPr>
          </w:p>
        </w:tc>
      </w:tr>
      <w:tr>
        <w:trPr>
          <w:trHeight w:val="20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Unrealized Holding Losses on Investment</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Held-to-Maturity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(17,374)</w:t>
            </w:r>
          </w:p>
        </w:tc>
        <w:tc>
          <w:tcPr>
            <w:tcW w:w="4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(18,703)</w:t>
            </w: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r>
      <w:tr>
        <w:trPr>
          <w:trHeight w:val="237"/>
        </w:trPr>
        <w:tc>
          <w:tcPr>
            <w:tcW w:w="4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4,605</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4,958</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36"/>
        </w:trPr>
        <w:tc>
          <w:tcPr>
            <w:tcW w:w="43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(12,769)</w:t>
            </w:r>
          </w:p>
        </w:tc>
        <w:tc>
          <w:tcPr>
            <w:tcW w:w="4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(13,745)</w:t>
            </w:r>
          </w:p>
        </w:tc>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of Tax</w:t>
            </w:r>
          </w:p>
        </w:tc>
      </w:tr>
      <w:tr>
        <w:trPr>
          <w:trHeight w:val="257"/>
        </w:trPr>
        <w:tc>
          <w:tcPr>
            <w:tcW w:w="4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260" w:type="dxa"/>
            <w:vAlign w:val="bottom"/>
          </w:tcPr>
          <w:p>
            <w:pPr>
              <w:spacing w:after="0"/>
              <w:rPr>
                <w:sz w:val="22"/>
                <w:szCs w:val="22"/>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Defined Benefit Plan Items</w:t>
            </w:r>
          </w:p>
        </w:tc>
        <w:tc>
          <w:tcPr>
            <w:tcW w:w="16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3260" w:type="dxa"/>
            <w:vAlign w:val="bottom"/>
            <w:shd w:val="clear" w:color="auto" w:fill="CCEEFF"/>
          </w:tcPr>
          <w:p>
            <w:pPr>
              <w:spacing w:after="0"/>
              <w:rPr>
                <w:sz w:val="21"/>
                <w:szCs w:val="21"/>
                <w:color w:val="auto"/>
              </w:rPr>
            </w:pPr>
          </w:p>
        </w:tc>
      </w:tr>
      <w:tr>
        <w:trPr>
          <w:trHeight w:val="233"/>
        </w:trPr>
        <w:tc>
          <w:tcPr>
            <w:tcW w:w="4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Prior Service Credit</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w:t>
            </w:r>
          </w:p>
        </w:tc>
        <w:tc>
          <w:tcPr>
            <w:tcW w:w="4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Noninterest Expense</w:t>
            </w:r>
          </w:p>
        </w:tc>
      </w:tr>
      <w:tr>
        <w:trPr>
          <w:trHeight w:val="246"/>
        </w:trPr>
        <w:tc>
          <w:tcPr>
            <w:tcW w:w="43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Actuarial Losses</w:t>
            </w: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4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Noninterest Expense</w:t>
            </w:r>
          </w:p>
        </w:tc>
      </w:tr>
      <w:tr>
        <w:trPr>
          <w:trHeight w:val="233"/>
        </w:trPr>
        <w:tc>
          <w:tcPr>
            <w:tcW w:w="4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4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32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 Before Tax</w:t>
            </w:r>
          </w:p>
        </w:tc>
      </w:tr>
      <w:tr>
        <w:trPr>
          <w:trHeight w:val="246"/>
        </w:trPr>
        <w:tc>
          <w:tcPr>
            <w:tcW w:w="43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252</w:t>
            </w:r>
          </w:p>
        </w:tc>
        <w:tc>
          <w:tcPr>
            <w:tcW w:w="4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3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Provision for Income Tax</w:t>
            </w:r>
          </w:p>
        </w:tc>
      </w:tr>
      <w:tr>
        <w:trPr>
          <w:trHeight w:val="237"/>
        </w:trPr>
        <w:tc>
          <w:tcPr>
            <w:tcW w:w="4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4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Net of Tax</w:t>
            </w:r>
          </w:p>
        </w:tc>
      </w:tr>
      <w:tr>
        <w:trPr>
          <w:trHeight w:val="257"/>
        </w:trPr>
        <w:tc>
          <w:tcPr>
            <w:tcW w:w="43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spacing w:after="0"/>
              <w:rPr>
                <w:sz w:val="22"/>
                <w:szCs w:val="22"/>
                <w:color w:val="auto"/>
              </w:rPr>
            </w:pPr>
          </w:p>
        </w:tc>
        <w:tc>
          <w:tcPr>
            <w:tcW w:w="3260" w:type="dxa"/>
            <w:vAlign w:val="bottom"/>
            <w:tcBorders>
              <w:bottom w:val="single" w:sz="8" w:color="auto"/>
            </w:tcBorders>
            <w:shd w:val="clear" w:color="auto" w:fill="CCEEFF"/>
          </w:tcPr>
          <w:p>
            <w:pPr>
              <w:spacing w:after="0"/>
              <w:rPr>
                <w:sz w:val="22"/>
                <w:szCs w:val="22"/>
                <w:color w:val="auto"/>
              </w:rPr>
            </w:pPr>
          </w:p>
        </w:tc>
      </w:tr>
      <w:tr>
        <w:trPr>
          <w:trHeight w:val="230"/>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(13,466)</w:t>
            </w:r>
          </w:p>
        </w:tc>
        <w:tc>
          <w:tcPr>
            <w:tcW w:w="4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(14,250)</w:t>
            </w:r>
          </w:p>
        </w:tc>
        <w:tc>
          <w:tcPr>
            <w:tcW w:w="3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Net of Tax</w:t>
            </w:r>
          </w:p>
        </w:tc>
      </w:tr>
      <w:tr>
        <w:trPr>
          <w:trHeight w:val="27"/>
        </w:trPr>
        <w:tc>
          <w:tcPr>
            <w:tcW w:w="4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bl>
    <w:p>
      <w:pPr>
        <w:spacing w:after="0" w:line="58" w:lineRule="exact"/>
        <w:rPr>
          <w:sz w:val="20"/>
          <w:szCs w:val="20"/>
          <w:color w:val="auto"/>
        </w:rPr>
      </w:pPr>
    </w:p>
    <w:p>
      <w:pPr>
        <w:ind w:left="480" w:hanging="472"/>
        <w:spacing w:after="0"/>
        <w:tabs>
          <w:tab w:leader="none" w:pos="48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in parentheses indicate reductions to net income.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20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Earnings per common share is computed using the two-class method. The following is a reconciliation of the weighted average number of common shares used in the calculation of basic and diluted earnings per common share and antidilutive restricted stock outstanding for the three and nine months ended September 30, 2025 and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9"/>
                <w:szCs w:val="19"/>
                <w:color w:val="auto"/>
              </w:rPr>
            </w:pPr>
          </w:p>
        </w:tc>
        <w:tc>
          <w:tcPr>
            <w:tcW w:w="264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37"/>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1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3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Available to Common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48,076</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129,159</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103,457</w:t>
            </w:r>
          </w:p>
        </w:tc>
      </w:tr>
      <w:tr>
        <w:trPr>
          <w:trHeight w:val="280"/>
        </w:trPr>
        <w:tc>
          <w:tcPr>
            <w:tcW w:w="5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3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39,655,741</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39,488,187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39,611,372</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39,429,815</w:t>
            </w:r>
          </w:p>
        </w:tc>
      </w:tr>
      <w:tr>
        <w:trPr>
          <w:trHeight w:val="237"/>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Dilutive Effect of Equity Based Awards</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325,190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248,305</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308,626</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224,890</w:t>
            </w:r>
          </w:p>
        </w:tc>
      </w:tr>
      <w:tr>
        <w:trPr>
          <w:trHeight w:val="261"/>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39,980,931</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39,736,492</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39,919,998</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39,654,705</w:t>
            </w:r>
          </w:p>
        </w:tc>
      </w:tr>
      <w:tr>
        <w:trPr>
          <w:trHeight w:val="20"/>
        </w:trPr>
        <w:tc>
          <w:tcPr>
            <w:tcW w:w="5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5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6"/>
        </w:trPr>
        <w:tc>
          <w:tcPr>
            <w:tcW w:w="5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r>
      <w:tr>
        <w:trPr>
          <w:trHeight w:val="23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25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70"/>
        </w:trPr>
        <w:tc>
          <w:tcPr>
            <w:tcW w:w="5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Restricted Stock Outstanding</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31,057</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29,107</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Business Segments</w:t>
      </w:r>
    </w:p>
    <w:p>
      <w:pPr>
        <w:spacing w:after="0" w:line="18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Company’s business segments are defined as Consumer Banking, Commercial Banking, and Treasury and Other. The Company’s chief operating decision maker (“CODM”) is the Chairman and Chief Executive Officer. The CODM uses income from operations to evaluate the performance of the overall business and to allocate resources to each of the segments.</w:t>
      </w:r>
    </w:p>
    <w:p>
      <w:pPr>
        <w:spacing w:after="0" w:line="1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internal management accounting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43"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4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provision for credit losses for the Consumer Banking and Commercial Banking business segments reflects the actual net charge-offs of those business segments. The amount of the consolidated provision for loan and lease losses is based on the CECL methodology that the Company used to estimate our consolidated Allowance. The residual provision for credit losses to arrive at the consolidated provision for credit losses is included in Treasury and Other.</w:t>
      </w:r>
    </w:p>
    <w:p>
      <w:pPr>
        <w:spacing w:after="0" w:line="13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Noninterest income and expense include allocations from support units to business units. These allocations are based on actual usage where practicably calculated or by management’s estimate of such usage.</w:t>
      </w:r>
    </w:p>
    <w:p>
      <w:pPr>
        <w:spacing w:after="0" w:line="12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provision for income taxes is allocated to business segments using a 26% effective income tax rate. However, the provision for income taxes for the Leasing business unit (included in the Commercial Banking segment) and Auto Leasing portfolio and Pacific Century Life Insurance business unit (both included in the Consumer Banking segment) are assigned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their actual effective income tax rates due to the unique relationship that income taxes have with their products. The residual income tax expense or benefit to arrive at the consolidated effective tax rate is included in Treasury and Other.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Banking</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Consumer Banking offers a broad range of financial products and services, including loan and lease financing, deposit, and brokerage and insurance products; private banking and international client banking services; trust services; investment management; and institutional investment advisory services. Loan and lease products include residential mortgage loans, home equity lines of credit, automobile loans and leases, overdraft lines of credit, installment loans, small business loans and leases, and credit cards. Deposit products include checking, savings, and time deposit accounts. Brokerage and insurance offerings include equities, mutual funds, life insurance, and annuity products. Private banking (including international client banking) and Trust groups assist individuals and families in building and preserving their wealth by providing investment, credit, and trust services to high-net-worth individuals. The investment management group manages portfolios utilizing a variety of investment products and the institutional client services group offers investment advice to corporations, government entities, and foundations. Products and services from Consumer Banking are delivered to customers through 51 branch locations and 322 ATMs throughout Hawai‘i and the West Pacific, a customer service center, and online and mobile banking services.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200"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Commercial Banking offers products including commercial and industrial loans, commercial real estate loans, commercial lease financing, auto dealer financing, merchant services, deposit products and cash management services. Commercial lending and lease financing, deposit products, and cash management and merchant services are offered to middle-market and large companies in Hawai‘i and the West Pacific. Commercial Banking also offers lease financing and deposit products to government entities in Hawai‘i. Commercial real estate mortgages focus on investors, developers, and builders predominantly domiciled in Hawai‘i. Commercial Banking includes international banking which services Japanese, Korean, and Chinese commercial businesses owned by a foreign individual or entity, a U.S. corporate subsidiary of a foreign owner, or businesses where management prefers to speak a foreign language.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and Other, along with the elimination of intercompany transactions.</w:t>
      </w:r>
    </w:p>
    <w:p>
      <w:pPr>
        <w:spacing w:after="0" w:line="1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organizational units (Technology, Operations, Marketing, Human Resources, Finance, Credit and Risk Management, and Corporate and Regulatory Administration) provide a wide range of support to the Company’s other income earning segments. Expenses incurred by these support units are charged to the business segments through an internal cost allocation process. The cost allocation is included in Other Noninterest Expense in the following table.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business segment financial information as of and for the three and nine months ended September 30, 2025 and 2024,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20" w:type="dxa"/>
            <w:vAlign w:val="bottom"/>
          </w:tcPr>
          <w:p>
            <w:pPr>
              <w:spacing w:after="0"/>
              <w:rPr>
                <w:sz w:val="16"/>
                <w:szCs w:val="16"/>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6"/>
                <w:szCs w:val="16"/>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Treasury and</w:t>
            </w:r>
          </w:p>
        </w:tc>
        <w:tc>
          <w:tcPr>
            <w:tcW w:w="220" w:type="dxa"/>
            <w:vAlign w:val="bottom"/>
          </w:tcPr>
          <w:p>
            <w:pPr>
              <w:spacing w:after="0"/>
              <w:rPr>
                <w:sz w:val="16"/>
                <w:szCs w:val="16"/>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3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95,948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136,675</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2,500</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93,370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54,197</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(13,392)</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134,175</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33,870</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9,550</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45,966</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21,318</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36,484</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62,905</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7,392</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3,144</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10,932</w:t>
            </w: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58,412</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13,759</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(33,621)</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38,550</w:t>
            </w:r>
          </w:p>
        </w:tc>
      </w:tr>
      <w:tr>
        <w:trPr>
          <w:trHeight w:val="237"/>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87,122</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19,258</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112,387</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40,118</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44,489</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(16,853)</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67,754</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10,200</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11,398</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(7,189)</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14,409</w:t>
            </w: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53,345</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September 30, 2025</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8,282,239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6,120,551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9,611,819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24,014,609</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5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2024 ¹</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97,919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50,556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117,618</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3,000</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94,861</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49,784</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(30,027)</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114,618</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34,133</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7,786</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45,110</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20,419</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33,172</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58,626</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6,864</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10,806</w:t>
            </w: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57,429</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13,315</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(33,084)</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37,660</w:t>
            </w:r>
          </w:p>
        </w:tc>
      </w:tr>
      <w:tr>
        <w:trPr>
          <w:trHeight w:val="23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84,712</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18,825</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107,092</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38,745</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(30,391)</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52,636</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11,289</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9,816</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(8,827)</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12,278</w:t>
            </w: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28,929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40,358</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1"/>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September 30, 2024</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8,308,389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5,952,321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9,538,464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23,799,174</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Certain prior period information has been reclassified to conform to current presentation.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Consumer</w:t>
            </w:r>
          </w:p>
        </w:tc>
        <w:tc>
          <w:tcPr>
            <w:tcW w:w="220" w:type="dxa"/>
            <w:vAlign w:val="bottom"/>
          </w:tcPr>
          <w:p>
            <w:pPr>
              <w:spacing w:after="0"/>
              <w:rPr>
                <w:sz w:val="17"/>
                <w:szCs w:val="17"/>
                <w:color w:val="auto"/>
              </w:rPr>
            </w:pPr>
          </w:p>
        </w:tc>
        <w:tc>
          <w:tcPr>
            <w:tcW w:w="11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Treasury and</w:t>
            </w:r>
          </w:p>
        </w:tc>
        <w:tc>
          <w:tcPr>
            <w:tcW w:w="22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225"/>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Banking</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286,911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163,719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(58,465)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392,165</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8,492</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9,000</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278,419</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162,613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(57,867)</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383,165</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101,349</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23,448</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10,022</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134,819</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63,455</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108,242</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187,097</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21,601</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9,191</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31,990</w:t>
            </w: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175,243</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41,176</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(101,877)</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114,542</w:t>
            </w:r>
          </w:p>
        </w:tc>
      </w:tr>
      <w:tr>
        <w:trPr>
          <w:trHeight w:val="237"/>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260,299</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57,774</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15,556</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333,629</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119,469</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128,287</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(63,401)</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184,355</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30,362</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32,813</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(23,787)</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39,388</w:t>
            </w: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89,107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144,967</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September 30, 2025</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8,282,239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6,120,551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9,611,819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24,014,609</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69"/>
        </w:trPr>
        <w:tc>
          <w:tcPr>
            <w:tcW w:w="5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 ¹</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293,118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152,934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(99,650)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346,402</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(Recapture of) Credit Losses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8,218</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7,400</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Interest Income (Expense) After Provision for Credit Losses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284,900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151,695</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(97,593)</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339,002</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Income</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99,768</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21,278</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129,482</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61,493</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15,636</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96,745</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173,874</w:t>
            </w:r>
          </w:p>
        </w:tc>
      </w:tr>
      <w:tr>
        <w:trPr>
          <w:trHeight w:val="25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10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20,476</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10,002</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31,821</w:t>
            </w: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Noninterest Expense</w:t>
            </w:r>
          </w:p>
        </w:tc>
        <w:tc>
          <w:tcPr>
            <w:tcW w:w="10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172,459</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38,499</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(94,476)</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116,482</w:t>
            </w:r>
          </w:p>
        </w:tc>
      </w:tr>
      <w:tr>
        <w:trPr>
          <w:trHeight w:val="237"/>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 Expense</w:t>
            </w:r>
          </w:p>
        </w:tc>
        <w:tc>
          <w:tcPr>
            <w:tcW w:w="10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254,428</w:t>
            </w:r>
          </w:p>
        </w:tc>
        <w:tc>
          <w:tcPr>
            <w:tcW w:w="2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55,478</w:t>
            </w:r>
          </w:p>
        </w:tc>
        <w:tc>
          <w:tcPr>
            <w:tcW w:w="2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12,271</w:t>
            </w:r>
          </w:p>
        </w:tc>
        <w:tc>
          <w:tcPr>
            <w:tcW w:w="2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322,177</w:t>
            </w:r>
          </w:p>
        </w:tc>
      </w:tr>
      <w:tr>
        <w:trPr>
          <w:trHeight w:val="233"/>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Taxes</w:t>
            </w:r>
          </w:p>
        </w:tc>
        <w:tc>
          <w:tcPr>
            <w:tcW w:w="10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130,240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117,495</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(101,428)</w:t>
            </w:r>
          </w:p>
        </w:tc>
        <w:tc>
          <w:tcPr>
            <w:tcW w:w="2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146,307</w:t>
            </w:r>
          </w:p>
        </w:tc>
      </w:tr>
      <w:tr>
        <w:trPr>
          <w:trHeight w:val="246"/>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0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33,154</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29,711</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(27,390)</w:t>
            </w:r>
          </w:p>
        </w:tc>
        <w:tc>
          <w:tcPr>
            <w:tcW w:w="2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35,475</w:t>
            </w:r>
          </w:p>
        </w:tc>
      </w:tr>
      <w:tr>
        <w:trPr>
          <w:trHeight w:val="237"/>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97,086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87,784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(74,038)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110,832</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2"/>
        </w:trPr>
        <w:tc>
          <w:tcPr>
            <w:tcW w:w="5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 as of September 30, 2024</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8,308,389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5,952,321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9,538,464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23,799,174</w:t>
            </w:r>
          </w:p>
        </w:tc>
      </w:tr>
      <w:tr>
        <w:trPr>
          <w:trHeight w:val="20"/>
        </w:trPr>
        <w:tc>
          <w:tcPr>
            <w:tcW w:w="50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42" w:lineRule="exact"/>
        <w:rPr>
          <w:sz w:val="20"/>
          <w:szCs w:val="20"/>
          <w:color w:val="auto"/>
        </w:rPr>
      </w:pPr>
    </w:p>
    <w:p>
      <w:pPr>
        <w:ind w:left="80" w:hanging="72"/>
        <w:spacing w:after="0"/>
        <w:tabs>
          <w:tab w:leader="none" w:pos="8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Certain prior period information has been reclassified to conform to current presentation.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Derivative Financial Instruments</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uses derivative instruments to manage its exposure to market risks, including interest rate risk, and to assist customers with their risk management objectives. The Company designates certain derivatives as hedging instruments in a qualifying hedge accounting relationship, while other derivatives serve as economic hedges that do not qualify for hedge accounting.</w:t>
      </w:r>
    </w:p>
    <w:p>
      <w:pPr>
        <w:spacing w:after="0" w:line="1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enters into certain interest rate swap contracts that are matched to closed portfolios of fixed-rate residential mortgage loans and available-for-sale investment securities. These contracts have been designated as hedging instruments to hedge the risk of changes in the fair value of the underlying loans or investment securities due to changes in interest rates. The related contracts are structured so that the notional amounts reduce over time to generally match the expected amortization of the underlying loan or investment security.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2025, the Company terminated several interest rate swap agreements with a total notional value of</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$1.0 billion. These interest rate swap agreements were designated as fair value hedging instruments. The termination of the interest rate swaps resulted in a loss of $3.8 million, which was allocated to the assets of the respective closed portfolios and will be amortized to interest income over the contractual terms of those assets using the effective interest method.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 and fair value of the Company’s derivative financial instruments as of September 30, 2025, and December 31, 2024 were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37"/>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Interest Rate Swap Agreements </w:t>
            </w:r>
            <w:r>
              <w:rPr>
                <w:rFonts w:ascii="Times New Roman" w:cs="Times New Roman" w:eastAsia="Times New Roman" w:hAnsi="Times New Roman"/>
                <w:sz w:val="21"/>
                <w:szCs w:val="21"/>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1,400,000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2,738</w:t>
            </w:r>
          </w:p>
        </w:tc>
      </w:tr>
      <w:tr>
        <w:trPr>
          <w:trHeight w:val="24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53"/>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Forward Commitments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3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53"/>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Receive Fixed/Pay Variable Swaps</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2,285,594</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2,123,665</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(136,218)</w:t>
            </w:r>
          </w:p>
        </w:tc>
      </w:tr>
      <w:tr>
        <w:trPr>
          <w:trHeight w:val="233"/>
        </w:trPr>
        <w:tc>
          <w:tcPr>
            <w:tcW w:w="5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 Fixed/Receive Variable Swaps</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2,285,594</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2,123,665</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136,125</w:t>
            </w:r>
          </w:p>
        </w:tc>
      </w:tr>
      <w:tr>
        <w:trPr>
          <w:trHeight w:val="253"/>
        </w:trPr>
        <w:tc>
          <w:tcPr>
            <w:tcW w:w="5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xml:space="preserve">Conversion Rate Swap Agreements </w:t>
            </w:r>
            <w:r>
              <w:rPr>
                <w:rFonts w:ascii="Times New Roman" w:cs="Times New Roman" w:eastAsia="Times New Roman" w:hAnsi="Times New Roman"/>
                <w:sz w:val="21"/>
                <w:szCs w:val="21"/>
                <w:color w:val="auto"/>
                <w:vertAlign w:val="superscript"/>
              </w:rPr>
              <w:t>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103,508</w:t>
            </w:r>
          </w:p>
        </w:tc>
        <w:tc>
          <w:tcPr>
            <w:tcW w:w="2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96,466</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r>
      <w:tr>
        <w:trPr>
          <w:trHeight w:val="281"/>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Makewhole Agreements </w:t>
            </w:r>
            <w:r>
              <w:rPr>
                <w:rFonts w:ascii="Times New Roman" w:cs="Times New Roman" w:eastAsia="Times New Roman" w:hAnsi="Times New Roman"/>
                <w:sz w:val="21"/>
                <w:szCs w:val="21"/>
                <w:color w:val="auto"/>
                <w:vertAlign w:val="superscript"/>
              </w:rPr>
              <w:t>3</w:t>
            </w:r>
          </w:p>
        </w:tc>
        <w:tc>
          <w:tcPr>
            <w:tcW w:w="1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46,901</w:t>
            </w:r>
          </w:p>
        </w:tc>
        <w:tc>
          <w:tcPr>
            <w:tcW w:w="260" w:type="dxa"/>
            <w:vAlign w:val="bottom"/>
          </w:tcPr>
          <w:p>
            <w:pPr>
              <w:spacing w:after="0"/>
              <w:rPr>
                <w:sz w:val="24"/>
                <w:szCs w:val="24"/>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NA</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65,763</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r>
    </w:tbl>
    <w:p>
      <w:pPr>
        <w:spacing w:after="0" w:line="21" w:lineRule="exact"/>
        <w:rPr>
          <w:sz w:val="20"/>
          <w:szCs w:val="20"/>
          <w:color w:val="auto"/>
        </w:rPr>
      </w:pPr>
    </w:p>
    <w:p>
      <w:pPr>
        <w:ind w:left="80" w:right="60" w:hanging="72"/>
        <w:spacing w:after="0" w:line="266" w:lineRule="auto"/>
        <w:tabs>
          <w:tab w:leader="none" w:pos="73" w:val="left"/>
        </w:tabs>
        <w:numPr>
          <w:ilvl w:val="0"/>
          <w:numId w:val="1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 of September 30, 2025 and December 31, 2024, the amounts presented in the table above exclude forward starting swaps with notional values of $600 million and $300 million, respectively, and fair values of $1.5 million and $4.7 million, respectively. These swaps are scheduled to begin between October 2025 and September 2026.</w:t>
      </w:r>
    </w:p>
    <w:p>
      <w:pPr>
        <w:ind w:left="80" w:hanging="72"/>
        <w:spacing w:after="0" w:line="200" w:lineRule="auto"/>
        <w:tabs>
          <w:tab w:leader="none" w:pos="8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conversion rate swap agreements were valued at zero as further reductions to the conversion rate were not reasonably estimable.</w:t>
      </w:r>
    </w:p>
    <w:p>
      <w:pPr>
        <w:spacing w:after="0" w:line="3"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The makewhole agreements were valued at zero as the likelihood of a payment required to the buyer was not reasonably estimable.</w:t>
      </w:r>
    </w:p>
    <w:p>
      <w:pPr>
        <w:spacing w:after="0" w:line="13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their fair values, and their location in the unaudited consolidated statements of condition as of September 30, 2025 and December 31, 2024:</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03"/>
        </w:trPr>
        <w:tc>
          <w:tcPr>
            <w:tcW w:w="5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2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200" w:type="dxa"/>
            <w:vAlign w:val="bottom"/>
          </w:tcPr>
          <w:p>
            <w:pPr>
              <w:spacing w:after="0"/>
              <w:rPr>
                <w:sz w:val="17"/>
                <w:szCs w:val="17"/>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Asset</w:t>
            </w:r>
          </w:p>
        </w:tc>
        <w:tc>
          <w:tcPr>
            <w:tcW w:w="22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24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xml:space="preserve">Derivatives </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 xml:space="preserve">Derivatives </w:t>
            </w:r>
            <w:r>
              <w:rPr>
                <w:rFonts w:ascii="Times New Roman" w:cs="Times New Roman" w:eastAsia="Times New Roman" w:hAnsi="Times New Roman"/>
                <w:sz w:val="21"/>
                <w:szCs w:val="21"/>
                <w:b w:val="1"/>
                <w:bCs w:val="1"/>
                <w:color w:val="auto"/>
                <w:w w:val="99"/>
                <w:vertAlign w:val="superscript"/>
              </w:rPr>
              <w:t>1</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xml:space="preserve">Derivatives </w:t>
            </w:r>
            <w:r>
              <w:rPr>
                <w:rFonts w:ascii="Times New Roman" w:cs="Times New Roman" w:eastAsia="Times New Roman" w:hAnsi="Times New Roman"/>
                <w:sz w:val="21"/>
                <w:szCs w:val="21"/>
                <w:b w:val="1"/>
                <w:b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 xml:space="preserve">Derivatives </w:t>
            </w:r>
            <w:r>
              <w:rPr>
                <w:rFonts w:ascii="Times New Roman" w:cs="Times New Roman" w:eastAsia="Times New Roman" w:hAnsi="Times New Roman"/>
                <w:sz w:val="21"/>
                <w:szCs w:val="21"/>
                <w:b w:val="1"/>
                <w:bCs w:val="1"/>
                <w:color w:val="auto"/>
                <w:vertAlign w:val="superscript"/>
              </w:rPr>
              <w:t>1</w:t>
            </w:r>
          </w:p>
        </w:tc>
      </w:tr>
      <w:tr>
        <w:trPr>
          <w:trHeight w:val="23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Rate Swap Agreements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 Designated as Hedging Instruments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101,508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101,631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146,923</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147,016</w:t>
            </w:r>
          </w:p>
        </w:tc>
      </w:tr>
      <w:tr>
        <w:trPr>
          <w:trHeight w:val="246"/>
        </w:trPr>
        <w:tc>
          <w:tcPr>
            <w:tcW w:w="5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Designated as Hedging Instruments</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9,713</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14,507</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7,039</w:t>
            </w:r>
          </w:p>
        </w:tc>
      </w:tr>
      <w:tr>
        <w:trPr>
          <w:trHeight w:val="233"/>
        </w:trPr>
        <w:tc>
          <w:tcPr>
            <w:tcW w:w="5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104,059</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161,430</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154,055</w:t>
            </w:r>
          </w:p>
        </w:tc>
      </w:tr>
      <w:tr>
        <w:trPr>
          <w:trHeight w:val="2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3"/>
        </w:trPr>
        <w:tc>
          <w:tcPr>
            <w:tcW w:w="5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53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Forward Commitments</w:t>
            </w: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Derivatives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104,111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111,357</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161,473</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154,058</w:t>
            </w:r>
          </w:p>
        </w:tc>
      </w:tr>
      <w:tr>
        <w:trPr>
          <w:trHeight w:val="27"/>
        </w:trPr>
        <w:tc>
          <w:tcPr>
            <w:tcW w:w="5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ind w:left="80" w:right="280" w:hanging="72"/>
        <w:spacing w:after="0" w:line="230" w:lineRule="auto"/>
        <w:tabs>
          <w:tab w:leader="none" w:pos="73"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Asset derivatives are included in other assets and liability derivatives are included in other liabilities in the unaudited consolidated statements of condition. Derivatives are recognized on the Company's unaudited consolidated statements of condition at fair value.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derivative financial instruments and the amount and location of the net gains or losses recognized in the unaudited consolidated statements of income for the three and nine months ended September 30, 2025 and 2024:</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80" w:type="dxa"/>
            <w:vAlign w:val="bottom"/>
          </w:tcPr>
          <w:p>
            <w:pPr>
              <w:spacing w:after="0"/>
              <w:rPr>
                <w:sz w:val="16"/>
                <w:szCs w:val="16"/>
                <w:color w:val="auto"/>
              </w:rPr>
            </w:pPr>
          </w:p>
        </w:tc>
        <w:tc>
          <w:tcPr>
            <w:tcW w:w="30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Location of Net Gains (Losses)</w:t>
            </w:r>
          </w:p>
        </w:tc>
        <w:tc>
          <w:tcPr>
            <w:tcW w:w="27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60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3040" w:type="dxa"/>
            <w:vAlign w:val="bottom"/>
            <w:gridSpan w:val="2"/>
            <w:vMerge w:val="continue"/>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Recognized in the Statements of Income</w:t>
            </w: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52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Recognized on Interest Rate Swap</w:t>
            </w:r>
          </w:p>
        </w:tc>
        <w:tc>
          <w:tcPr>
            <w:tcW w:w="3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Interest Income on Investment</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Agreements</w:t>
            </w:r>
          </w:p>
        </w:tc>
        <w:tc>
          <w:tcPr>
            <w:tcW w:w="3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Securities Available-for-Sale  $</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(6,764)</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Recognized on Hedged Item</w:t>
            </w:r>
          </w:p>
        </w:tc>
        <w:tc>
          <w:tcPr>
            <w:tcW w:w="3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Interest Income on Investment</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80" w:type="dxa"/>
            <w:vAlign w:val="bottom"/>
            <w:shd w:val="clear" w:color="auto" w:fill="CCEEFF"/>
          </w:tcPr>
          <w:p>
            <w:pPr>
              <w:spacing w:after="0"/>
              <w:rPr>
                <w:sz w:val="21"/>
                <w:szCs w:val="21"/>
                <w:color w:val="auto"/>
              </w:rPr>
            </w:pPr>
          </w:p>
        </w:tc>
        <w:tc>
          <w:tcPr>
            <w:tcW w:w="3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6,746</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0" w:type="dxa"/>
            <w:vAlign w:val="bottom"/>
          </w:tcPr>
          <w:p>
            <w:pPr>
              <w:spacing w:after="0"/>
              <w:rPr>
                <w:sz w:val="1"/>
                <w:szCs w:val="1"/>
                <w:color w:val="auto"/>
              </w:rPr>
            </w:pPr>
          </w:p>
        </w:tc>
      </w:tr>
      <w:tr>
        <w:trPr>
          <w:trHeight w:val="202"/>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Settlements</w:t>
            </w:r>
          </w:p>
        </w:tc>
        <w:tc>
          <w:tcPr>
            <w:tcW w:w="3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Interest Income on Investment</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3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Securities Available-for-Sale</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8,073</w:t>
            </w: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Recognized on Interest Rate Swap</w:t>
            </w: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Agreements</w:t>
            </w:r>
          </w:p>
        </w:tc>
        <w:tc>
          <w:tcPr>
            <w:tcW w:w="3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(11,654)</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0" w:type="dxa"/>
            <w:vAlign w:val="bottom"/>
          </w:tcPr>
          <w:p>
            <w:pPr>
              <w:spacing w:after="0"/>
              <w:rPr>
                <w:sz w:val="1"/>
                <w:szCs w:val="1"/>
                <w:color w:val="auto"/>
              </w:rPr>
            </w:pPr>
          </w:p>
        </w:tc>
      </w:tr>
      <w:tr>
        <w:trPr>
          <w:trHeight w:val="233"/>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Recognized on Hedged Item</w:t>
            </w:r>
          </w:p>
        </w:tc>
        <w:tc>
          <w:tcPr>
            <w:tcW w:w="3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11,551</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0" w:type="dxa"/>
            <w:vAlign w:val="bottom"/>
          </w:tcPr>
          <w:p>
            <w:pPr>
              <w:spacing w:after="0"/>
              <w:rPr>
                <w:sz w:val="1"/>
                <w:szCs w:val="1"/>
                <w:color w:val="auto"/>
              </w:rPr>
            </w:pPr>
          </w:p>
        </w:tc>
      </w:tr>
      <w:tr>
        <w:trPr>
          <w:trHeight w:val="2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Settlements</w:t>
            </w:r>
          </w:p>
        </w:tc>
        <w:tc>
          <w:tcPr>
            <w:tcW w:w="3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Interest and Fees on Loans and Leases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10,691</w:t>
            </w:r>
          </w:p>
        </w:tc>
        <w:tc>
          <w:tcPr>
            <w:tcW w:w="0" w:type="dxa"/>
            <w:vAlign w:val="bottom"/>
          </w:tcPr>
          <w:p>
            <w:pPr>
              <w:spacing w:after="0"/>
              <w:rPr>
                <w:sz w:val="1"/>
                <w:szCs w:val="1"/>
                <w:color w:val="auto"/>
              </w:rPr>
            </w:pPr>
          </w:p>
        </w:tc>
      </w:tr>
      <w:tr>
        <w:trPr>
          <w:trHeight w:val="233"/>
        </w:trPr>
        <w:tc>
          <w:tcPr>
            <w:tcW w:w="57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Lock Commitments</w:t>
            </w:r>
          </w:p>
        </w:tc>
        <w:tc>
          <w:tcPr>
            <w:tcW w:w="3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Mortgage Banking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233"/>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Commitments</w:t>
            </w:r>
          </w:p>
        </w:tc>
        <w:tc>
          <w:tcPr>
            <w:tcW w:w="3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Mortgage Banking</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53"/>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Rate Swap Agreements</w:t>
            </w:r>
          </w:p>
        </w:tc>
        <w:tc>
          <w:tcPr>
            <w:tcW w:w="3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Other Noninterest Income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2"/>
        </w:trPr>
        <w:tc>
          <w:tcPr>
            <w:tcW w:w="2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Conversion Rate Swap Agreements</w:t>
            </w:r>
          </w:p>
        </w:tc>
        <w:tc>
          <w:tcPr>
            <w:tcW w:w="3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Investment Securities Gains (Losses),</w:t>
            </w: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6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Net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2"/>
        </w:trPr>
        <w:tc>
          <w:tcPr>
            <w:tcW w:w="2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7,291</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19,570</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amounts were recorded on the unaudited consolidated statements of condition related to the cumulative basis adjustment for fair value hedges as of September 30, 2025 and December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Cumulative Amount of Fair Value Hedging Adjustment</w:t>
            </w:r>
          </w:p>
        </w:tc>
        <w:tc>
          <w:tcPr>
            <w:tcW w:w="0" w:type="dxa"/>
            <w:vAlign w:val="bottom"/>
          </w:tcPr>
          <w:p>
            <w:pPr>
              <w:spacing w:after="0"/>
              <w:rPr>
                <w:sz w:val="1"/>
                <w:szCs w:val="1"/>
                <w:color w:val="auto"/>
              </w:rPr>
            </w:pPr>
          </w:p>
        </w:tc>
      </w:tr>
      <w:tr>
        <w:trPr>
          <w:trHeight w:val="19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Line Item in the Unaudited Consolidated Statements of Condition</w:t>
            </w:r>
          </w:p>
        </w:tc>
        <w:tc>
          <w:tcPr>
            <w:tcW w:w="180" w:type="dxa"/>
            <w:vAlign w:val="bottom"/>
          </w:tcPr>
          <w:p>
            <w:pPr>
              <w:spacing w:after="0"/>
              <w:rPr>
                <w:sz w:val="16"/>
                <w:szCs w:val="16"/>
                <w:color w:val="auto"/>
              </w:rPr>
            </w:pPr>
          </w:p>
        </w:tc>
        <w:tc>
          <w:tcPr>
            <w:tcW w:w="34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Carrying Amount of the Hedged Assets</w:t>
            </w:r>
          </w:p>
        </w:tc>
        <w:tc>
          <w:tcPr>
            <w:tcW w:w="3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Included In the Carrying Amount of the Hedged Assets</w:t>
            </w:r>
          </w:p>
        </w:tc>
        <w:tc>
          <w:tcPr>
            <w:tcW w:w="0" w:type="dxa"/>
            <w:vAlign w:val="bottom"/>
          </w:tcPr>
          <w:p>
            <w:pPr>
              <w:spacing w:after="0"/>
              <w:rPr>
                <w:sz w:val="1"/>
                <w:szCs w:val="1"/>
                <w:color w:val="auto"/>
              </w:rPr>
            </w:pPr>
          </w:p>
        </w:tc>
      </w:tr>
      <w:tr>
        <w:trPr>
          <w:trHeight w:val="3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7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54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7"/>
        </w:trPr>
        <w:tc>
          <w:tcPr>
            <w:tcW w:w="41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1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Investment Securities, Available-for-Sale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1,206,340</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999,594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6,340 $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9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Loans and Leases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1,804,221</w:t>
            </w:r>
          </w:p>
        </w:tc>
        <w:tc>
          <w:tcPr>
            <w:tcW w:w="2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1,292,670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(2,798)</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(7,330)</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80" w:right="40" w:hanging="172"/>
        <w:spacing w:after="0" w:line="230" w:lineRule="auto"/>
        <w:tabs>
          <w:tab w:leader="none" w:pos="173"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amounts were included in the fair value of closed portfolios of investment securities, AFS used to designate hedging relationships in which the hedged item is the stated amount of assets in the closed portfolios anticipated to be outstanding for the designated hedge period. As of September 30, 2025 and December 31, 2024, the fair value of the closed portfolios used in these hedging relationships was $1.5 billion and $1.7 billion, respectively.</w:t>
      </w:r>
    </w:p>
    <w:p>
      <w:pPr>
        <w:spacing w:after="0" w:line="2" w:lineRule="exact"/>
        <w:rPr>
          <w:sz w:val="20"/>
          <w:szCs w:val="20"/>
          <w:color w:val="auto"/>
        </w:rPr>
      </w:pPr>
    </w:p>
    <w:p>
      <w:pPr>
        <w:jc w:val="both"/>
        <w:ind w:left="180" w:right="300" w:hanging="172"/>
        <w:spacing w:after="0" w:line="236" w:lineRule="auto"/>
        <w:tabs>
          <w:tab w:leader="none" w:pos="173"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These amounts were included in the amortized cost basis of closed portfolios of loans used to designate hedging relationships in which the hedged item is the stated amount of assets in the closed portfolios anticipated to be outstanding for the designated hedge period. As of September 30, 2025 and December 31, 2024, the amortized cost basis of the closed portfolios used in these hedging relationships was $2.8 billion and $3.0 billion,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Lock Commitments/Forward Commitments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enters into interest rate lock commitments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with changes recorded in the mortgage banking component of noninterest income in the Company’s consolidated statements of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Agreements</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The Company enters into interest rate swap agreements to facilitate the risk management strategies of a small number of commercial banking customers. The Company mitigates the risk of entering into these agreements by entering into equal and offsetting interest rate swap agreements with highly rated third-party financial institutions. The interest rate swap agreements are free-standing derivatives and are recorded at fair value in the Company’s unaudited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and marketable securities, is posted by the party (i.e., the Company or the financial institution counterparty) with net liability positions in accordance with contract thresholds. The Company had net asset positions with its financial institution counterparties totaling $71.2 million and $136.1 million as of September 30, 2025 and December 31, 2024,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Rate Swap Agreements</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certain sales of Visa Class B restricted shares were completed, the Company entered into conversion rate swap agreements with the buyers that require payment to the buyers in the event Visa further reduces the conversion ratio of Class B into Class A unrestricted common shares. In the event of Visa increasing the conversion ratio, the buyers would be required to make payment to the Company. As of September 30, 2025 and December 31, 2024, the conversion rate swap agreements were valued at zero (i.e., no contingent liability recorded) as further reductions to the conversion ratio were deemed not reasonably estimable by management.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Makewhole Agreements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2024, the Company entered into makewhole agreements with certain buyers of its Visa Class B restricted shares that reduces the payments that would be required pursuant to the conversion rate swap agreements described above, but would require payment to the buyer in the event Visa requires additional legal reserves to settle ongoing litigation. As of September 30, 2025 and December 31, 2024, the makewhole agreements were valued at zero (i.e., no contingent liability recorded) as the likelihood of the Company being required to make a payment to the buyer is not reasonably estimable by management.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is exposed to changes in the fair value of fixed-rate assets due to changes in benchmark interest rates. The Company entered into pay-fixed and receive-floating interest rate swaps to manage its exposure to changes in fair value of its AFS investment securities and fixed rate loans. These interest rate swaps are designated as fair value hedges using the portfolio layer method. The Company receives variable-rate interest payments in exchange for making fixed-rate payments over the lives of the contracts without exchanging the notional amounts. The fair value hedges are recorded as components of other assets and other liabilities in the Company’s unaudited consolidated statements of financial condition. The gain or loss on these derivatives, as well as the offsetting loss or gain on the hedged items attributable to the hedged risk, are recognized in interest income in the Company’s unaudited consolidated statements of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credit commitments as of September 30, 2025 and December 31, 2024,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2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4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Unfunded Commitments to Extend Credit</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3,114,621</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3,128,272</w:t>
            </w: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Standby Letters of Credit</w:t>
            </w:r>
          </w:p>
        </w:tc>
        <w:tc>
          <w:tcPr>
            <w:tcW w:w="25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92,605</w:t>
            </w: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96,484</w:t>
            </w:r>
          </w:p>
        </w:tc>
      </w:tr>
      <w:tr>
        <w:trPr>
          <w:trHeight w:val="246"/>
        </w:trPr>
        <w:tc>
          <w:tcPr>
            <w:tcW w:w="5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Letters of Credit</w:t>
            </w:r>
          </w:p>
        </w:tc>
        <w:tc>
          <w:tcPr>
            <w:tcW w:w="25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15,777</w:t>
            </w:r>
          </w:p>
        </w:tc>
        <w:tc>
          <w:tcPr>
            <w:tcW w:w="2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9,339</w:t>
            </w:r>
          </w:p>
        </w:tc>
      </w:tr>
      <w:tr>
        <w:trPr>
          <w:trHeight w:val="236"/>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Credit Commitments</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3,223,003</w:t>
            </w: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3,234,095</w:t>
            </w:r>
          </w:p>
        </w:tc>
      </w:tr>
      <w:tr>
        <w:trPr>
          <w:trHeight w:val="27"/>
        </w:trPr>
        <w:tc>
          <w:tcPr>
            <w:tcW w:w="51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 to Extend Credit</w:t>
      </w:r>
    </w:p>
    <w:p>
      <w:pPr>
        <w:spacing w:after="0" w:line="2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and Commercial Letters of Credit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 to a third-party. Standby letters of credit generally become payable upon the failure of the customer to perform according to the terms of the underlying contract with the third-party,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third-party under a standby letter of credit and generally holds cash or deposits as collateral on those standby letters of credit for which collateral is deemed necessary. Assets valued at $77.0 million secured certain specifically identified standby letters of credit as of September 30, 2025. As of September 30, 2025, the standby and commercial letters of credit had remaining terms ranging from 1 to 12 months.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pending and threatened legal proceedings arising out of the normal course of business or operations. On at least a quarterly basis, the Company assesses its liabilities and contingencies in connection with outstanding legal proceedings using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of Assets and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189" w:lineRule="exact"/>
        <w:rPr>
          <w:sz w:val="20"/>
          <w:szCs w:val="20"/>
          <w:color w:val="auto"/>
        </w:rPr>
      </w:pPr>
    </w:p>
    <w:p>
      <w:pPr>
        <w:ind w:left="2160" w:right="1460" w:hanging="998"/>
        <w:spacing w:after="0" w:line="261" w:lineRule="auto"/>
        <w:tabs>
          <w:tab w:leader="none" w:pos="21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180" w:lineRule="exact"/>
        <w:rPr>
          <w:sz w:val="20"/>
          <w:szCs w:val="20"/>
          <w:color w:val="auto"/>
        </w:rPr>
      </w:pPr>
    </w:p>
    <w:p>
      <w:pPr>
        <w:ind w:left="2160" w:right="1600" w:hanging="998"/>
        <w:spacing w:after="0" w:line="261" w:lineRule="auto"/>
        <w:tabs>
          <w:tab w:leader="none" w:pos="21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180" w:lineRule="exact"/>
        <w:rPr>
          <w:sz w:val="20"/>
          <w:szCs w:val="20"/>
          <w:color w:val="auto"/>
        </w:rPr>
      </w:pPr>
    </w:p>
    <w:p>
      <w:pPr>
        <w:ind w:left="2160" w:right="1840" w:hanging="998"/>
        <w:spacing w:after="0" w:line="281" w:lineRule="auto"/>
        <w:tabs>
          <w:tab w:leader="none" w:pos="21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4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some instances, an instrument may fall into multiple levels of the fair value hierarchy. In such instances, the instrument’s level within the fair value hierarchy is based on the lowest of the three levels (with Level 3 being the lowest) that is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to the fair value measurement. Our assessment of the significance of an input requires judgment and considers factors specific to the instrument.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 Available-for-Sale</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and collateralized mortgage obligations issued by government agencies and government-sponsored enterprises. Fair values were estimated primarily by obtaining quoted prices for similar assets in active markets or through the use of pricing models. In cases where there may be limited or less transparent information provided by the Company’s third party pricing service, fair value may be estimated by the use of secondary pricing services or through the use of non-binding third party broker quotes.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w:t>
      </w:r>
    </w:p>
    <w:p>
      <w:pPr>
        <w:spacing w:after="0" w:line="18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Mortgage Servicing Rights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mortgage servicing rights accounted for under the fair value measurement method by using a discounted cash flow model to calculate the present value of estimated future net servicing income. The Company stratifies its mortgage servicing portfolio on the basis of loan type. The assumptions used in the discounted cash flow model are those that the Company believes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Compensation Plan Assets</w:t>
      </w:r>
    </w:p>
    <w:p>
      <w:pPr>
        <w:spacing w:after="0" w:line="187"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Deferred Compensation Plan Assets are recorded at fair value on a recurring basis and are primarily comprised of mutual funds that are valued using quoted prices available in active markets. Thus, the Company’s investments related to deferred compensation arrangements are classified as Level 1 measurements in the fair value hierarchy.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Derivative financial instruments recorded at fair value on a recurring basis are comprised of IRLCs, forward commitments, interest rate swap agreements, and Visa Class B to Class A shares conversion rate swap and makewhole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w:t>
      </w:r>
    </w:p>
    <w:p>
      <w:pPr>
        <w:spacing w:after="0" w:line="14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The fair values of interest rate swap agreements are calculated using a discounted cash flow approach and utilize Level 2 observable inputs such as a market yield curve, effective date, maturity date, notional amount, and stated interest rate. The valuation methodology for interest rate swaps with financial institution counterparties (and the related customer interest rate swaps) is based on the Secured Overnight Financing Rate (“SOFR”). Thus, the fair values of interest rate swaps are classified as a Level 2 measurement.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September 30, 2025 and December 31, 2024, the conversion rate swap agreements were valued at zero as reductions to the conversion ratio were not reasonably estimable by management. See Note 10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for more information. The fair value of the makewhole agreements represents the amount owed by the Company to the buyer of the Visa Class B shares in the event Visa requires additional legal reserves to settle ongoing litigation. As of September 30, 2025, the makewhole agreements were valued at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zero as the likelihood of the Company being required to make a payment to the buyer is not reasonably estimable by management.</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of high credit quality and counterparties that carry high quality credit ratings.</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assets and liabilities measured at fair value on a recurring basis as of September 30, 2025 and December 31, 2024.</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Quoted Prices in Active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5"/>
              </w:rPr>
              <w:t>Markets for</w:t>
            </w:r>
          </w:p>
        </w:tc>
        <w:tc>
          <w:tcPr>
            <w:tcW w:w="180" w:type="dxa"/>
            <w:vAlign w:val="bottom"/>
          </w:tcPr>
          <w:p>
            <w:pPr>
              <w:spacing w:after="0"/>
              <w:rPr>
                <w:sz w:val="12"/>
                <w:szCs w:val="12"/>
                <w:color w:val="auto"/>
              </w:rPr>
            </w:pPr>
          </w:p>
        </w:tc>
        <w:tc>
          <w:tcPr>
            <w:tcW w:w="1280" w:type="dxa"/>
            <w:vAlign w:val="bottom"/>
            <w:vMerge w:val="restart"/>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Significant 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Identical Assets or</w:t>
            </w: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0" w:type="dxa"/>
            <w:vAlign w:val="bottom"/>
          </w:tcPr>
          <w:p>
            <w:pPr>
              <w:spacing w:after="0"/>
              <w:rPr>
                <w:sz w:val="12"/>
                <w:szCs w:val="12"/>
                <w:color w:val="auto"/>
              </w:rPr>
            </w:pPr>
          </w:p>
        </w:tc>
        <w:tc>
          <w:tcPr>
            <w:tcW w:w="1340" w:type="dxa"/>
            <w:vAlign w:val="bottom"/>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180" w:type="dxa"/>
            <w:vAlign w:val="bottom"/>
          </w:tcPr>
          <w:p>
            <w:pPr>
              <w:spacing w:after="0"/>
              <w:rPr>
                <w:sz w:val="12"/>
                <w:szCs w:val="12"/>
                <w:color w:val="auto"/>
              </w:rPr>
            </w:pPr>
          </w:p>
        </w:tc>
        <w:tc>
          <w:tcPr>
            <w:tcW w:w="12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7"/>
              </w:rPr>
              <w:t>Observable Inputs</w:t>
            </w:r>
          </w:p>
        </w:tc>
        <w:tc>
          <w:tcPr>
            <w:tcW w:w="320" w:type="dxa"/>
            <w:vAlign w:val="bottom"/>
          </w:tcPr>
          <w:p>
            <w:pPr>
              <w:spacing w:after="0"/>
              <w:rPr>
                <w:sz w:val="12"/>
                <w:szCs w:val="12"/>
                <w:color w:val="auto"/>
              </w:rPr>
            </w:pPr>
          </w:p>
        </w:tc>
        <w:tc>
          <w:tcPr>
            <w:tcW w:w="1140" w:type="dxa"/>
            <w:vAlign w:val="bottom"/>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w w:val="93"/>
              </w:rPr>
              <w:t>Inputs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5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180" w:type="dxa"/>
            <w:vAlign w:val="bottom"/>
          </w:tcPr>
          <w:p>
            <w:pPr>
              <w:spacing w:after="0"/>
              <w:rPr>
                <w:sz w:val="14"/>
                <w:szCs w:val="14"/>
                <w:color w:val="auto"/>
              </w:rPr>
            </w:pPr>
          </w:p>
        </w:tc>
        <w:tc>
          <w:tcPr>
            <w:tcW w:w="12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320" w:type="dxa"/>
            <w:vAlign w:val="bottom"/>
          </w:tcPr>
          <w:p>
            <w:pPr>
              <w:spacing w:after="0"/>
              <w:rPr>
                <w:sz w:val="14"/>
                <w:szCs w:val="14"/>
                <w:color w:val="auto"/>
              </w:rPr>
            </w:pPr>
          </w:p>
        </w:tc>
        <w:tc>
          <w:tcPr>
            <w:tcW w:w="1140" w:type="dxa"/>
            <w:vAlign w:val="bottom"/>
          </w:tcPr>
          <w:p>
            <w:pPr>
              <w:jc w:val="center"/>
              <w:ind w:right="209"/>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36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9"/>
        </w:trPr>
        <w:tc>
          <w:tcPr>
            <w:tcW w:w="5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Securities Issued by the U.S. Treasury and Government Agencies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103,741</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241,841</w:t>
            </w: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Securities Issued by States and Political Subdivisions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66,041</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66,041</w:t>
            </w:r>
          </w:p>
        </w:tc>
        <w:tc>
          <w:tcPr>
            <w:tcW w:w="0" w:type="dxa"/>
            <w:vAlign w:val="bottom"/>
          </w:tcPr>
          <w:p>
            <w:pPr>
              <w:spacing w:after="0"/>
              <w:rPr>
                <w:sz w:val="1"/>
                <w:szCs w:val="1"/>
                <w:color w:val="auto"/>
              </w:rPr>
            </w:pPr>
          </w:p>
        </w:tc>
      </w:tr>
      <w:tr>
        <w:trPr>
          <w:trHeight w:val="193"/>
        </w:trPr>
        <w:tc>
          <w:tcPr>
            <w:tcW w:w="5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Securities Issued by U.S. Government-Sponsored Enterprises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Securities Issued by Corporations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732,927</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732,927</w:t>
            </w:r>
          </w:p>
        </w:tc>
        <w:tc>
          <w:tcPr>
            <w:tcW w:w="0" w:type="dxa"/>
            <w:vAlign w:val="bottom"/>
          </w:tcPr>
          <w:p>
            <w:pPr>
              <w:spacing w:after="0"/>
              <w:rPr>
                <w:sz w:val="1"/>
                <w:szCs w:val="1"/>
                <w:color w:val="auto"/>
              </w:rPr>
            </w:pPr>
          </w:p>
        </w:tc>
      </w:tr>
      <w:tr>
        <w:trPr>
          <w:trHeight w:val="193"/>
        </w:trPr>
        <w:tc>
          <w:tcPr>
            <w:tcW w:w="5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Collateralized Mortgage Obligations Issued by:</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Residential - Government Agencies or Sponsored Enterprises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1,210,591</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1,210,591</w:t>
            </w:r>
          </w:p>
        </w:tc>
        <w:tc>
          <w:tcPr>
            <w:tcW w:w="0" w:type="dxa"/>
            <w:vAlign w:val="bottom"/>
          </w:tcPr>
          <w:p>
            <w:pPr>
              <w:spacing w:after="0"/>
              <w:rPr>
                <w:sz w:val="1"/>
                <w:szCs w:val="1"/>
                <w:color w:val="auto"/>
              </w:rPr>
            </w:pPr>
          </w:p>
        </w:tc>
      </w:tr>
      <w:tr>
        <w:trPr>
          <w:trHeight w:val="193"/>
        </w:trPr>
        <w:tc>
          <w:tcPr>
            <w:tcW w:w="5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 - Government Agencies or Sponsored Enterprises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330,185</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330,185</w:t>
            </w: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 - Non Agency</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60,599</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60,599</w:t>
            </w:r>
          </w:p>
        </w:tc>
        <w:tc>
          <w:tcPr>
            <w:tcW w:w="0" w:type="dxa"/>
            <w:vAlign w:val="bottom"/>
          </w:tcPr>
          <w:p>
            <w:pPr>
              <w:spacing w:after="0"/>
              <w:rPr>
                <w:sz w:val="1"/>
                <w:szCs w:val="1"/>
                <w:color w:val="auto"/>
              </w:rPr>
            </w:pPr>
          </w:p>
        </w:tc>
      </w:tr>
      <w:tr>
        <w:trPr>
          <w:trHeight w:val="186"/>
        </w:trPr>
        <w:tc>
          <w:tcPr>
            <w:tcW w:w="54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Total Collateralized Mortgage Obligations</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1,601,375</w:t>
            </w: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1,601,375</w:t>
            </w:r>
          </w:p>
        </w:tc>
        <w:tc>
          <w:tcPr>
            <w:tcW w:w="0" w:type="dxa"/>
            <w:vAlign w:val="bottom"/>
          </w:tcPr>
          <w:p>
            <w:pPr>
              <w:spacing w:after="0"/>
              <w:rPr>
                <w:sz w:val="1"/>
                <w:szCs w:val="1"/>
                <w:color w:val="auto"/>
              </w:rPr>
            </w:pPr>
          </w:p>
        </w:tc>
      </w:tr>
      <w:tr>
        <w:trPr>
          <w:trHeight w:val="37"/>
        </w:trPr>
        <w:tc>
          <w:tcPr>
            <w:tcW w:w="5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Mortgage-Backed Securities: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Residential - Government Agencies or Sponsored Enterprises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637,235</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637,235</w:t>
            </w:r>
          </w:p>
        </w:tc>
        <w:tc>
          <w:tcPr>
            <w:tcW w:w="0" w:type="dxa"/>
            <w:vAlign w:val="bottom"/>
          </w:tcPr>
          <w:p>
            <w:pPr>
              <w:spacing w:after="0"/>
              <w:rPr>
                <w:sz w:val="1"/>
                <w:szCs w:val="1"/>
                <w:color w:val="auto"/>
              </w:rPr>
            </w:pPr>
          </w:p>
        </w:tc>
      </w:tr>
      <w:tr>
        <w:trPr>
          <w:trHeight w:val="37"/>
        </w:trPr>
        <w:tc>
          <w:tcPr>
            <w:tcW w:w="5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138,100</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3,142,310</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3,280,410</w:t>
            </w:r>
          </w:p>
        </w:tc>
        <w:tc>
          <w:tcPr>
            <w:tcW w:w="0" w:type="dxa"/>
            <w:vAlign w:val="bottom"/>
          </w:tcPr>
          <w:p>
            <w:pPr>
              <w:spacing w:after="0"/>
              <w:rPr>
                <w:sz w:val="1"/>
                <w:szCs w:val="1"/>
                <w:color w:val="auto"/>
              </w:rPr>
            </w:pPr>
          </w:p>
        </w:tc>
      </w:tr>
      <w:tr>
        <w:trPr>
          <w:trHeight w:val="186"/>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15,277</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15,277</w:t>
            </w: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9"/>
                <w:szCs w:val="9"/>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104,062</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104,111</w:t>
            </w:r>
          </w:p>
        </w:tc>
        <w:tc>
          <w:tcPr>
            <w:tcW w:w="0" w:type="dxa"/>
            <w:vAlign w:val="bottom"/>
          </w:tcPr>
          <w:p>
            <w:pPr>
              <w:spacing w:after="0"/>
              <w:rPr>
                <w:sz w:val="1"/>
                <w:szCs w:val="1"/>
                <w:color w:val="auto"/>
              </w:rPr>
            </w:pPr>
          </w:p>
        </w:tc>
      </w:tr>
      <w:tr>
        <w:trPr>
          <w:trHeight w:val="186"/>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Measured at Fair Value on a Recurring Basis as of September 30, 2025</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153,377</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3,247,608</w:t>
            </w:r>
          </w:p>
        </w:tc>
        <w:tc>
          <w:tcPr>
            <w:tcW w:w="32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3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3,401,645</w:t>
            </w:r>
          </w:p>
        </w:tc>
        <w:tc>
          <w:tcPr>
            <w:tcW w:w="0" w:type="dxa"/>
            <w:vAlign w:val="bottom"/>
          </w:tcPr>
          <w:p>
            <w:pPr>
              <w:spacing w:after="0"/>
              <w:rPr>
                <w:sz w:val="1"/>
                <w:szCs w:val="1"/>
                <w:color w:val="auto"/>
              </w:rPr>
            </w:pPr>
          </w:p>
        </w:tc>
      </w:tr>
      <w:tr>
        <w:trPr>
          <w:trHeight w:val="37"/>
        </w:trPr>
        <w:tc>
          <w:tcPr>
            <w:tcW w:w="5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9"/>
                <w:szCs w:val="9"/>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111,357</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111,357</w:t>
            </w:r>
          </w:p>
        </w:tc>
        <w:tc>
          <w:tcPr>
            <w:tcW w:w="0" w:type="dxa"/>
            <w:vAlign w:val="bottom"/>
          </w:tcPr>
          <w:p>
            <w:pPr>
              <w:spacing w:after="0"/>
              <w:rPr>
                <w:sz w:val="1"/>
                <w:szCs w:val="1"/>
                <w:color w:val="auto"/>
              </w:rPr>
            </w:pPr>
          </w:p>
        </w:tc>
      </w:tr>
      <w:tr>
        <w:trPr>
          <w:trHeight w:val="37"/>
        </w:trPr>
        <w:tc>
          <w:tcPr>
            <w:tcW w:w="5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Measured at Fair Value on a Recurring Basis as of September 30, 2025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111,357</w:t>
            </w:r>
          </w:p>
        </w:tc>
        <w:tc>
          <w:tcPr>
            <w:tcW w:w="32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111,357</w:t>
            </w:r>
          </w:p>
        </w:tc>
        <w:tc>
          <w:tcPr>
            <w:tcW w:w="0" w:type="dxa"/>
            <w:vAlign w:val="bottom"/>
          </w:tcPr>
          <w:p>
            <w:pPr>
              <w:spacing w:after="0"/>
              <w:rPr>
                <w:sz w:val="1"/>
                <w:szCs w:val="1"/>
                <w:color w:val="auto"/>
              </w:rPr>
            </w:pP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Securities Issued by the U.S. Treasury and Government Agencies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98,683</w:t>
            </w:r>
          </w:p>
        </w:tc>
        <w:tc>
          <w:tcPr>
            <w:tcW w:w="32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249,072</w:t>
            </w:r>
          </w:p>
        </w:tc>
        <w:tc>
          <w:tcPr>
            <w:tcW w:w="0" w:type="dxa"/>
            <w:vAlign w:val="bottom"/>
          </w:tcPr>
          <w:p>
            <w:pPr>
              <w:spacing w:after="0"/>
              <w:rPr>
                <w:sz w:val="1"/>
                <w:szCs w:val="1"/>
                <w:color w:val="auto"/>
              </w:rPr>
            </w:pPr>
          </w:p>
        </w:tc>
      </w:tr>
      <w:tr>
        <w:trPr>
          <w:trHeight w:val="193"/>
        </w:trPr>
        <w:tc>
          <w:tcPr>
            <w:tcW w:w="5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Securities Issued by States and Political Subdivisions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63,859</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63,859</w:t>
            </w: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Debt Securities Issued by U.S. Government-Sponsored Enterprises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193"/>
        </w:trPr>
        <w:tc>
          <w:tcPr>
            <w:tcW w:w="5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Debt Securities Issued by Corporations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671,675</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671,675</w:t>
            </w: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Collateralized Mortgage Obligations Issued by:</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Residential - Government Agencies or Sponsored Enterprises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935,220</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935,220</w:t>
            </w: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5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 - Government Agencies or Sponsored Enterprises</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283,474</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283,474</w:t>
            </w:r>
          </w:p>
        </w:tc>
        <w:tc>
          <w:tcPr>
            <w:tcW w:w="0" w:type="dxa"/>
            <w:vAlign w:val="bottom"/>
          </w:tcPr>
          <w:p>
            <w:pPr>
              <w:spacing w:after="0"/>
              <w:rPr>
                <w:sz w:val="1"/>
                <w:szCs w:val="1"/>
                <w:color w:val="auto"/>
              </w:rPr>
            </w:pPr>
          </w:p>
        </w:tc>
      </w:tr>
      <w:tr>
        <w:trPr>
          <w:trHeight w:val="186"/>
        </w:trPr>
        <w:tc>
          <w:tcPr>
            <w:tcW w:w="54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Total Collateralized Mortgage Obligations</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1,218,694</w:t>
            </w: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1,218,694</w:t>
            </w:r>
          </w:p>
        </w:tc>
        <w:tc>
          <w:tcPr>
            <w:tcW w:w="0" w:type="dxa"/>
            <w:vAlign w:val="bottom"/>
          </w:tcPr>
          <w:p>
            <w:pPr>
              <w:spacing w:after="0"/>
              <w:rPr>
                <w:sz w:val="1"/>
                <w:szCs w:val="1"/>
                <w:color w:val="auto"/>
              </w:rPr>
            </w:pPr>
          </w:p>
        </w:tc>
      </w:tr>
      <w:tr>
        <w:trPr>
          <w:trHeight w:val="37"/>
        </w:trPr>
        <w:tc>
          <w:tcPr>
            <w:tcW w:w="5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Mortgage-Backed Securities Issued by:</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Residential - Government Agencies or Sponsored Enterprises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484,764</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484,764</w:t>
            </w:r>
          </w:p>
        </w:tc>
        <w:tc>
          <w:tcPr>
            <w:tcW w:w="0" w:type="dxa"/>
            <w:vAlign w:val="bottom"/>
          </w:tcPr>
          <w:p>
            <w:pPr>
              <w:spacing w:after="0"/>
              <w:rPr>
                <w:sz w:val="1"/>
                <w:szCs w:val="1"/>
                <w:color w:val="auto"/>
              </w:rPr>
            </w:pPr>
          </w:p>
        </w:tc>
      </w:tr>
      <w:tr>
        <w:trPr>
          <w:trHeight w:val="37"/>
        </w:trPr>
        <w:tc>
          <w:tcPr>
            <w:tcW w:w="5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Investment Securities Available-for-Sale</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150,389</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2,539,139</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2,689,528</w:t>
            </w:r>
          </w:p>
        </w:tc>
        <w:tc>
          <w:tcPr>
            <w:tcW w:w="0" w:type="dxa"/>
            <w:vAlign w:val="bottom"/>
          </w:tcPr>
          <w:p>
            <w:pPr>
              <w:spacing w:after="0"/>
              <w:rPr>
                <w:sz w:val="1"/>
                <w:szCs w:val="1"/>
                <w:color w:val="auto"/>
              </w:rPr>
            </w:pPr>
          </w:p>
        </w:tc>
      </w:tr>
      <w:tr>
        <w:trPr>
          <w:trHeight w:val="186"/>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2,150</w:t>
            </w: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Servicing Rights</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 Plan Assets</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18,155</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18,155</w:t>
            </w: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9"/>
                <w:szCs w:val="9"/>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161,439</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161,473</w:t>
            </w:r>
          </w:p>
        </w:tc>
        <w:tc>
          <w:tcPr>
            <w:tcW w:w="0" w:type="dxa"/>
            <w:vAlign w:val="bottom"/>
          </w:tcPr>
          <w:p>
            <w:pPr>
              <w:spacing w:after="0"/>
              <w:rPr>
                <w:sz w:val="1"/>
                <w:szCs w:val="1"/>
                <w:color w:val="auto"/>
              </w:rPr>
            </w:pPr>
          </w:p>
        </w:tc>
      </w:tr>
      <w:tr>
        <w:trPr>
          <w:trHeight w:val="186"/>
        </w:trPr>
        <w:tc>
          <w:tcPr>
            <w:tcW w:w="5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Measured at Fair Value on a Recurring Basis as of December 31, 2024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168,544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2,702,728</w:t>
            </w:r>
          </w:p>
        </w:tc>
        <w:tc>
          <w:tcPr>
            <w:tcW w:w="32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36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2,871,953</w:t>
            </w:r>
          </w:p>
        </w:tc>
        <w:tc>
          <w:tcPr>
            <w:tcW w:w="0" w:type="dxa"/>
            <w:vAlign w:val="bottom"/>
          </w:tcPr>
          <w:p>
            <w:pPr>
              <w:spacing w:after="0"/>
              <w:rPr>
                <w:sz w:val="1"/>
                <w:szCs w:val="1"/>
                <w:color w:val="auto"/>
              </w:rPr>
            </w:pPr>
          </w:p>
        </w:tc>
      </w:tr>
      <w:tr>
        <w:trPr>
          <w:trHeight w:val="37"/>
        </w:trPr>
        <w:tc>
          <w:tcPr>
            <w:tcW w:w="5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Derivatives </w:t>
            </w:r>
            <w:r>
              <w:rPr>
                <w:rFonts w:ascii="Times New Roman" w:cs="Times New Roman" w:eastAsia="Times New Roman" w:hAnsi="Times New Roman"/>
                <w:sz w:val="9"/>
                <w:szCs w:val="9"/>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154,058</w:t>
            </w:r>
          </w:p>
        </w:tc>
        <w:tc>
          <w:tcPr>
            <w:tcW w:w="32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154,058</w:t>
            </w:r>
          </w:p>
        </w:tc>
        <w:tc>
          <w:tcPr>
            <w:tcW w:w="0" w:type="dxa"/>
            <w:vAlign w:val="bottom"/>
          </w:tcPr>
          <w:p>
            <w:pPr>
              <w:spacing w:after="0"/>
              <w:rPr>
                <w:sz w:val="1"/>
                <w:szCs w:val="1"/>
                <w:color w:val="auto"/>
              </w:rPr>
            </w:pPr>
          </w:p>
        </w:tc>
      </w:tr>
      <w:tr>
        <w:trPr>
          <w:trHeight w:val="37"/>
        </w:trPr>
        <w:tc>
          <w:tcPr>
            <w:tcW w:w="5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Measured at Fair Value on a Recurring Basis as of December 31, 2024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154,058</w:t>
            </w:r>
          </w:p>
        </w:tc>
        <w:tc>
          <w:tcPr>
            <w:tcW w:w="32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154,058</w:t>
            </w:r>
          </w:p>
        </w:tc>
        <w:tc>
          <w:tcPr>
            <w:tcW w:w="0" w:type="dxa"/>
            <w:vAlign w:val="bottom"/>
          </w:tcPr>
          <w:p>
            <w:pPr>
              <w:spacing w:after="0"/>
              <w:rPr>
                <w:sz w:val="1"/>
                <w:szCs w:val="1"/>
                <w:color w:val="auto"/>
              </w:rPr>
            </w:pPr>
          </w:p>
        </w:tc>
      </w:tr>
      <w:tr>
        <w:trPr>
          <w:trHeight w:val="20"/>
        </w:trPr>
        <w:tc>
          <w:tcPr>
            <w:tcW w:w="5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80" w:hanging="72"/>
        <w:spacing w:after="0"/>
        <w:tabs>
          <w:tab w:leader="none" w:pos="8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The fair value of each class of derivatives is shown in Note 10. </w:t>
      </w:r>
      <w:r>
        <w:rPr>
          <w:rFonts w:ascii="Times New Roman" w:cs="Times New Roman" w:eastAsia="Times New Roman" w:hAnsi="Times New Roman"/>
          <w:sz w:val="14"/>
          <w:szCs w:val="14"/>
          <w:i w:val="1"/>
          <w:iCs w:val="1"/>
          <w:color w:val="auto"/>
        </w:rPr>
        <w:t>Derivative Financial Instruments</w:t>
      </w: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As of September 30, 2025 and December 31, 2024, there were no assets or liabilities with nonrecurring fair value adjustments. Additionally, there were no nonrecurring fair value adjustments during the three and nine months ended September 30, 2025 and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difference between the aggregate fair value and the aggregate unpaid principal balance of the Company’s residential mortgage loans held for sale as of September 30, 2025 and December 31, 2024.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Aggregate Fair Value Less</w:t>
            </w:r>
          </w:p>
        </w:tc>
      </w:tr>
      <w:tr>
        <w:trPr>
          <w:trHeight w:val="204"/>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80" w:type="dxa"/>
            <w:vAlign w:val="bottom"/>
          </w:tcPr>
          <w:p>
            <w:pPr>
              <w:spacing w:after="0"/>
              <w:rPr>
                <w:sz w:val="17"/>
                <w:szCs w:val="17"/>
                <w:color w:val="auto"/>
              </w:rPr>
            </w:pPr>
          </w:p>
        </w:tc>
        <w:tc>
          <w:tcPr>
            <w:tcW w:w="16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Aggregate Fair Value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Aggregate Unpaid Principal</w:t>
            </w: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 Unpaid Principal</w:t>
            </w:r>
          </w:p>
        </w:tc>
      </w:tr>
      <w:tr>
        <w:trPr>
          <w:trHeight w:val="37"/>
        </w:trPr>
        <w:tc>
          <w:tcPr>
            <w:tcW w:w="3600" w:type="dxa"/>
            <w:vAlign w:val="bottom"/>
            <w:tcBorders>
              <w:bottom w:val="single" w:sz="8" w:color="auto"/>
            </w:tcBorders>
          </w:tcPr>
          <w:p>
            <w:pPr>
              <w:spacing w:after="0"/>
              <w:rPr>
                <w:sz w:val="3"/>
                <w:szCs w:val="3"/>
                <w:color w:val="auto"/>
              </w:rPr>
            </w:pPr>
          </w:p>
        </w:tc>
        <w:tc>
          <w:tcPr>
            <w:tcW w:w="22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3"/>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Held for Sale</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1,236</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1,219</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5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2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4"/>
        </w:trPr>
        <w:tc>
          <w:tcPr>
            <w:tcW w:w="36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Held for Sale</w:t>
            </w:r>
          </w:p>
        </w:tc>
        <w:tc>
          <w:tcPr>
            <w:tcW w:w="2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2,150</w:t>
            </w:r>
          </w:p>
        </w:tc>
        <w:tc>
          <w:tcPr>
            <w:tcW w:w="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2,109</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bl>
    <w:p>
      <w:pPr>
        <w:spacing w:after="0" w:line="2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Changes in the estimated fair value of residential mortgage loans held for sale are reported as a component of mortgage banking income in the Company’s unaudited consolidated statements of income. For the three and nine months ended September 30, 2025 and 2024, the net gains or losses from the change in fair value of the Company’s residential mortgage loans held for sale were immaterial.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Recorded at Fair Value on a Recurring Basis</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following presents the carrying amount, fair value, and placement in the fair value hierarchy of the Company’s financial instruments not recorded at fair value on a recurring basis as of September 30, 2025 and December 31, 2024.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of Des Moines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and savings deposits, the carrying amount is the estimate of fair value due to these products having no stated maturity.</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4"/>
          </w:tcPr>
          <w:p>
            <w:pPr>
              <w:ind w:left="1080"/>
              <w:spacing w:after="0"/>
              <w:rPr>
                <w:sz w:val="20"/>
                <w:szCs w:val="20"/>
                <w:color w:val="auto"/>
              </w:rPr>
            </w:pPr>
            <w:r>
              <w:rPr>
                <w:rFonts w:ascii="Times New Roman" w:cs="Times New Roman" w:eastAsia="Times New Roman" w:hAnsi="Times New Roman"/>
                <w:sz w:val="16"/>
                <w:szCs w:val="16"/>
                <w:b w:val="1"/>
                <w:bCs w:val="1"/>
                <w:color w:val="auto"/>
              </w:rPr>
              <w:t>Fair Value Measurements</w:t>
            </w:r>
          </w:p>
        </w:tc>
        <w:tc>
          <w:tcPr>
            <w:tcW w:w="1100" w:type="dxa"/>
            <w:vAlign w:val="bottom"/>
            <w:tcBorders>
              <w:bottom w:val="single" w:sz="8" w:color="auto"/>
            </w:tcBorders>
          </w:tcPr>
          <w:p>
            <w:pPr>
              <w:spacing w:after="0"/>
              <w:rPr>
                <w:sz w:val="19"/>
                <w:szCs w:val="19"/>
                <w:color w:val="auto"/>
              </w:rPr>
            </w:pPr>
          </w:p>
        </w:tc>
      </w:tr>
      <w:tr>
        <w:trPr>
          <w:trHeight w:val="164"/>
        </w:trPr>
        <w:tc>
          <w:tcPr>
            <w:tcW w:w="3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5"/>
        </w:trPr>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Identical Assets or</w:t>
            </w:r>
          </w:p>
        </w:tc>
        <w:tc>
          <w:tcPr>
            <w:tcW w:w="240" w:type="dxa"/>
            <w:vAlign w:val="bottom"/>
          </w:tcPr>
          <w:p>
            <w:pPr>
              <w:spacing w:after="0"/>
              <w:rPr>
                <w:sz w:val="15"/>
                <w:szCs w:val="15"/>
                <w:color w:val="auto"/>
              </w:rPr>
            </w:pPr>
          </w:p>
        </w:tc>
        <w:tc>
          <w:tcPr>
            <w:tcW w:w="10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80" w:type="dxa"/>
            <w:vAlign w:val="bottom"/>
          </w:tcPr>
          <w:p>
            <w:pPr>
              <w:spacing w:after="0"/>
              <w:rPr>
                <w:sz w:val="15"/>
                <w:szCs w:val="15"/>
                <w:color w:val="auto"/>
              </w:rPr>
            </w:pPr>
          </w:p>
        </w:tc>
        <w:tc>
          <w:tcPr>
            <w:tcW w:w="11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Significant</w:t>
            </w:r>
          </w:p>
        </w:tc>
      </w:tr>
      <w:tr>
        <w:trPr>
          <w:trHeight w:val="175"/>
        </w:trPr>
        <w:tc>
          <w:tcPr>
            <w:tcW w:w="3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5"/>
                <w:szCs w:val="15"/>
                <w:color w:val="auto"/>
              </w:rPr>
            </w:pPr>
          </w:p>
        </w:tc>
        <w:tc>
          <w:tcPr>
            <w:tcW w:w="10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Unobservable Inputs</w:t>
            </w:r>
          </w:p>
        </w:tc>
      </w:tr>
      <w:tr>
        <w:trPr>
          <w:trHeight w:val="19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76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80" w:type="dxa"/>
            <w:vAlign w:val="bottom"/>
          </w:tcPr>
          <w:p>
            <w:pPr>
              <w:spacing w:after="0"/>
              <w:rPr>
                <w:sz w:val="16"/>
                <w:szCs w:val="16"/>
                <w:color w:val="auto"/>
              </w:rPr>
            </w:pPr>
          </w:p>
        </w:tc>
        <w:tc>
          <w:tcPr>
            <w:tcW w:w="122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6"/>
                <w:szCs w:val="16"/>
                <w:color w:val="auto"/>
              </w:rPr>
            </w:pPr>
          </w:p>
        </w:tc>
        <w:tc>
          <w:tcPr>
            <w:tcW w:w="140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0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0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3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7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7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4,340,032</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3,717,573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119,767</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3,597,806</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7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13,719,997</w:t>
            </w:r>
          </w:p>
        </w:tc>
        <w:tc>
          <w:tcPr>
            <w:tcW w:w="2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13,313,618</w:t>
            </w:r>
          </w:p>
        </w:tc>
        <w:tc>
          <w:tcPr>
            <w:tcW w:w="12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13,313,618</w:t>
            </w:r>
          </w:p>
        </w:tc>
      </w:tr>
      <w:tr>
        <w:trPr>
          <w:trHeight w:val="25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7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3,051,354</w:t>
            </w:r>
          </w:p>
        </w:tc>
        <w:tc>
          <w:tcPr>
            <w:tcW w:w="2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3,043,493</w:t>
            </w:r>
          </w:p>
        </w:tc>
        <w:tc>
          <w:tcPr>
            <w:tcW w:w="12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3,043,493</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51,516</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51,516</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Other Debt </w:t>
            </w:r>
            <w:r>
              <w:rPr>
                <w:rFonts w:ascii="Times New Roman" w:cs="Times New Roman" w:eastAsia="Times New Roman" w:hAnsi="Times New Roman"/>
                <w:sz w:val="21"/>
                <w:szCs w:val="21"/>
                <w:color w:val="auto"/>
                <w:vertAlign w:val="superscript"/>
              </w:rPr>
              <w:t>1</w:t>
            </w:r>
          </w:p>
        </w:tc>
        <w:tc>
          <w:tcPr>
            <w:tcW w:w="74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550,000</w:t>
            </w:r>
          </w:p>
        </w:tc>
        <w:tc>
          <w:tcPr>
            <w:tcW w:w="280" w:type="dxa"/>
            <w:vAlign w:val="bottom"/>
          </w:tcPr>
          <w:p>
            <w:pPr>
              <w:spacing w:after="0"/>
              <w:rPr>
                <w:sz w:val="21"/>
                <w:szCs w:val="21"/>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545,664</w:t>
            </w:r>
          </w:p>
        </w:tc>
        <w:tc>
          <w:tcPr>
            <w:tcW w:w="120" w:type="dxa"/>
            <w:vAlign w:val="bottom"/>
          </w:tcPr>
          <w:p>
            <w:pPr>
              <w:spacing w:after="0"/>
              <w:rPr>
                <w:sz w:val="21"/>
                <w:szCs w:val="21"/>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1"/>
                <w:szCs w:val="21"/>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545,664</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Instruments – Assets</w:t>
            </w: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Securities Held-to-Maturity</w:t>
            </w:r>
          </w:p>
        </w:tc>
        <w:tc>
          <w:tcPr>
            <w:tcW w:w="7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4,618,543</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3,820,882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116,941</w:t>
            </w:r>
          </w:p>
        </w:tc>
        <w:tc>
          <w:tcPr>
            <w:tcW w:w="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3,703,941</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Loans</w:t>
            </w:r>
          </w:p>
        </w:tc>
        <w:tc>
          <w:tcPr>
            <w:tcW w:w="7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13,777,756</w:t>
            </w:r>
          </w:p>
        </w:tc>
        <w:tc>
          <w:tcPr>
            <w:tcW w:w="2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12,908,626</w:t>
            </w:r>
          </w:p>
        </w:tc>
        <w:tc>
          <w:tcPr>
            <w:tcW w:w="12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12,908,626</w:t>
            </w:r>
          </w:p>
        </w:tc>
      </w:tr>
      <w:tr>
        <w:trPr>
          <w:trHeight w:val="25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Instruments – Liabilities</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3"/>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Time Deposits</w:t>
            </w:r>
          </w:p>
        </w:tc>
        <w:tc>
          <w:tcPr>
            <w:tcW w:w="7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3,059,575</w:t>
            </w:r>
          </w:p>
        </w:tc>
        <w:tc>
          <w:tcPr>
            <w:tcW w:w="28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3,050,583</w:t>
            </w:r>
          </w:p>
        </w:tc>
        <w:tc>
          <w:tcPr>
            <w:tcW w:w="120" w:type="dxa"/>
            <w:vAlign w:val="bottom"/>
          </w:tcPr>
          <w:p>
            <w:pPr>
              <w:spacing w:after="0"/>
              <w:rPr>
                <w:sz w:val="20"/>
                <w:szCs w:val="20"/>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3,050,583</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7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101,478</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101,478</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81"/>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 xml:space="preserve">Other Debt </w:t>
            </w:r>
            <w:r>
              <w:rPr>
                <w:rFonts w:ascii="Times New Roman" w:cs="Times New Roman" w:eastAsia="Times New Roman" w:hAnsi="Times New Roman"/>
                <w:sz w:val="21"/>
                <w:szCs w:val="21"/>
                <w:color w:val="auto"/>
                <w:vertAlign w:val="superscript"/>
              </w:rPr>
              <w:t>1</w:t>
            </w:r>
          </w:p>
        </w:tc>
        <w:tc>
          <w:tcPr>
            <w:tcW w:w="7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550,000</w:t>
            </w:r>
          </w:p>
        </w:tc>
        <w:tc>
          <w:tcPr>
            <w:tcW w:w="280" w:type="dxa"/>
            <w:vAlign w:val="bottom"/>
          </w:tcPr>
          <w:p>
            <w:pPr>
              <w:spacing w:after="0"/>
              <w:rPr>
                <w:sz w:val="24"/>
                <w:szCs w:val="24"/>
                <w:color w:val="auto"/>
              </w:rPr>
            </w:pPr>
          </w:p>
        </w:tc>
        <w:tc>
          <w:tcPr>
            <w:tcW w:w="1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538,808</w:t>
            </w:r>
          </w:p>
        </w:tc>
        <w:tc>
          <w:tcPr>
            <w:tcW w:w="120" w:type="dxa"/>
            <w:vAlign w:val="bottom"/>
          </w:tcPr>
          <w:p>
            <w:pPr>
              <w:spacing w:after="0"/>
              <w:rPr>
                <w:sz w:val="24"/>
                <w:szCs w:val="24"/>
                <w:color w:val="auto"/>
              </w:rPr>
            </w:pPr>
          </w:p>
        </w:tc>
        <w:tc>
          <w:tcPr>
            <w:tcW w:w="14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538,808</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Excludes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(“MD&amp;A”) of Financial Condition and Results of Operations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following MD&amp;A is intended to help the reader understand the Company and its operations and is focused on our financial results for the third quarter of 2025, including comparisons of year-to-year performance, trends, and updates from the Company’s most recent 10-K filing. Discussion and analysis of our 2024 fiscal year, as well as the year-to-year comparison between fiscal years 2024 and 2023, are included in Part II, Item 7. “Management's Discussion and Analysis of Financial Condition and Results of Operations,” of our Annual Report on Form 10-K for the fiscal year ended December 31, 2024, filed with the SEC on March 4,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Words such as “believes,” “anticipates,” “expects,” “intends,” “targeted,” and similar expressions are intended to identify forward-looking statements but are not the exclusive means of identifying such statements. We also may make forward-looking statements in our other documents filed with or furnished to the U.S. Securities and Exchange Commission (the “SEC”). In addition, our senior management may provide forward-looking statements orally to analysts, investors, representatives of the media and others. Given these risks and uncertainties, you should not place undue reliance on any forward-looking statement as a prediction of our actual results.</w:t>
      </w:r>
    </w:p>
    <w:p>
      <w:pPr>
        <w:spacing w:after="0" w:line="148"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Our forward-looking statements are based on numerous assumptions, any of which could prove to be inaccurate, and actual results may differ materially from those projected because of a variety of risks and uncertainties, including, but not limited to: (1) Our business is sensitive to regional business and economic conditions, in particular those of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Guam and other Pacific Islands; (2) Our loan portfolio is largely secured by real estate, and a downturn in the real estate market may adversely affect our results of operations; (3) Significant changes to the size, structure, powers and operations of the federal government (including the current federal government shutdown), changes to U.S. economic policies, and uncertainties regarding the potential for these changes may cause economic disruptions that could, in turn, adversely impact our business, results of operations and financial condition; (4) A sustained period of high inflation could pose a risk to local economies and the financial performance of the Bank; (5) Climate change and the governmental responses to it could have a material adverse impact on the Bank and its customers; (6) Disruptions, instability and failures in the banking industry may negatively impact us; (7) Any reduction in defense spending by the federal government in the state of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including as a result of the federal government shutdown, could adversely impact the economy in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and the Pacific Islands; (8) Changes in interest rates could adversely impact our results of operations and capital; (9) Our allowance for credit losses may prove to be insufficient to absorb losses or appropriately reflect, at any given time, the inherent risk of loss in our loan portfolio; (10) Consumer protection initiatives and court decisions related to the foreclosure process affect our remedies as a creditor; (11) Changes in the capital markets could materially affect the level of assets under management and the demand for our other fee-based services; (12) The Parent’s liquidity is dependent on dividends from the Bank; (13) There can be no assurance that the Parent will continue to declare cash dividends; (14) Fiscal and monetary policy changes may significantly impact our profitability and liquidity; (15) Legislation and regulatory initiatives affecting the financial services industry, including new interpretations, restrictions and requirements, could detrimentally affect the Company’s business;</w:t>
      </w:r>
    </w:p>
    <w:p>
      <w:pPr>
        <w:spacing w:after="0" w:line="2" w:lineRule="exact"/>
        <w:rPr>
          <w:sz w:val="20"/>
          <w:szCs w:val="20"/>
          <w:color w:val="auto"/>
        </w:rPr>
      </w:pPr>
    </w:p>
    <w:p>
      <w:pPr>
        <w:ind w:firstLine="8"/>
        <w:spacing w:after="0" w:line="234" w:lineRule="auto"/>
        <w:tabs>
          <w:tab w:leader="none" w:pos="3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income tax laws and interpretations, or in accounting standards, could materially affect our financial condition or results of operations; (17) A failure in or breach of our operational systems, information systems, or infrastructure, or those of our third party vendors and other service providers, may result in financial losses, loss of customers, or damage to our reputation; (18) An interruption or breach in security of our information systems or those related to merchants and third party vendors, including as a result of cyber-attacks, could disrupt our business, result in the disclosure or misuse of confidential or proprietary information, damage our reputation, or result in financial losses; (19) Our mortgage banking income may experience significant volatility; (20) Our mortgage loan servicing business may be impacted if we do not meet our obligations, or if servicing standards change; (21) Risks related to representation and warranty provisions may impact our mortgage loan servicing business; (22) Risks relating to residential mortgage loan servicing activities may adversely affect our results; (23) The requirement to record certain assets and liabilities at fair value may adversely affect our financial results (24) Natural disasters and adverse weather in Hawai</w:t>
      </w:r>
      <w:r>
        <w:rPr>
          <w:rFonts w:ascii="Arial" w:cs="Arial" w:eastAsia="Arial" w:hAnsi="Arial"/>
          <w:sz w:val="18"/>
          <w:szCs w:val="18"/>
          <w:color w:val="auto"/>
        </w:rPr>
        <w:t>ʻ</w:t>
      </w:r>
      <w:r>
        <w:rPr>
          <w:rFonts w:ascii="Times New Roman" w:cs="Times New Roman" w:eastAsia="Times New Roman" w:hAnsi="Times New Roman"/>
          <w:sz w:val="18"/>
          <w:szCs w:val="18"/>
          <w:color w:val="auto"/>
        </w:rPr>
        <w:t>i and the Pacific Islands may negatively affect real estate property values and our operations (25) Competition may adversely affect our business; (26) Our future performance will depend on our ability to respond timely to technological change; (27) Negative public opinion could damage our reputation and adversely impact our earnings and liquidity (28) We are subject to certain litigation, and our expenses related to this litigation may adversely affect our results; (29) Our performance depends on attracting and retaining key employees and skilled personnel to operate our business effectively; (30) The soundness of other financial institutions may adversely impact our financial condition or results of operations; (31) We have experienced increases in FDIC insurance assessments; and (32) Significant changes to the size, structure, powers and operations of the federal government, changes to U.S. economic policies, and uncertainties regarding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potential for these changes may cause economic disruptions that could, in turn, adversely impact our business, results of operations and financial condition.</w:t>
      </w:r>
    </w:p>
    <w:p>
      <w:pPr>
        <w:spacing w:after="0" w:line="20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risks and uncertainties that could cause actual results to differ materially from our historical experience and our expectations and projections include but are not limited to those described in Item 1A. “Risk Factors,” Item 7. “Management’s Discussion and Analysis of Financial Condition and Results of Operations,” and elsewhere in our most recent Annual Report on Form 10-K and in subsequent SEC filings, including our Quarterly Report on Form 10-Q for the quarter ended March 31, 2025.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the federal securities laws.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Announcements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Investors and others should note that the Company intends to announce financial and other information to the Company’s investors using the Company’s investor relations website at https://ir.boh.com, social media channels, press releases, and public conference calls and webcasts, all for purposes of complying with the Company’s disclosure obligations under Regulation FD. Accordingly, investors should monitor these channels, as information is updated, and new information is posted.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Unaudited Consolidated Financial Statements were prepared in accordance with U.S. generally accepted accounting principles (“GAAP”) and follow general practices within the industries in which we operate. Application of GAAP requires us to make estimates that affect the amounts reported in the Consolidated Financial Statements and accompanying notes. Most accounting estimates are not considered by management to be critical accounting estimates. Critical accounting estimates are those estimates made in accordance with GAAP that involve a significant level of estimation uncertainty and have had or are reasonably likely to have a material impact on our financial condition or results of operations. In determining which accounting estimates are critical accounting estimates, we consider, among other things, whether the application of GAAP requires management to make difficult, subjective, and complex judgments about matters that are inherently uncertain and whether it is likely that materially different results would be reported under different conditions or different assumptions. The accounting estimates that we believe are most critical in preparing our Consolidated Financial Statements are presented in the section titled “Critical Accounting Estimates” in Item 7. “Management’s Discussion and Analysis of Financial Condition and Results of Operations” included in the Company’s Annual Report on Form 10-K for the year ended December 31, 2024. There have been no significant changes in the Company’s application of critical accounting estimates since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a regional financial services company serving businesses, consumers, and governments in Hawai‘i, Guam, and other Pacific Islands. Our principal operating subsidiary, the Bank, was founded in 1897.</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business strategy is to use our unique market knowledge, prudent management discipline and brand strength to deliver exceptional value to our stakeholders. Our business plan is balanced between growth and risk management while maintaining flexibility to adjust to economic changes. We will continue to focus on providing customers with best-in-class service and an innovative mix of products and services. We will also remain focused on delivering strong financial results while maintaining prudent risk and capital management strategies and affirming our commitment to support our local communities.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Hawai‘i Economy</w:t>
      </w:r>
    </w:p>
    <w:p>
      <w:pPr>
        <w:spacing w:after="0" w:line="20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As of September 30, 2025, Hawai‘i’s economy continues to show resilience despite broader national and global uncertainties. While tourism has softened, the sector remains a vital contributor to the state’s recovery, with domestic travel helping to offset slower international arrivals. Construction activity remains strong, supported by public infrastructure investment and rebuilding efforts, and continues to provide stability across the labor market. Inflationary pressures and changes to federal support programs present challenges, but ongoing state-level initiatives and a diversified economic base are expected to help mitigate their impact. Although job growth has moderated and federal employment reductions are underway, Hawai‘i’s unemployment rate has been lower relative to national levels. Hawai‘i’s unemployment rate was 2.7% in August 2025, which was below the U.S. unemployment rate of 4.3%.</w:t>
      </w:r>
    </w:p>
    <w:p>
      <w:pPr>
        <w:spacing w:after="0" w:line="13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For the first nine months of 2025, the median price of single-family home and condominium sales on Oahu increased by 4.1% and decreased by 1.0%, respectively, compared to the same period in 2024. The volume of single-family homes sales on Oahu increased 0.8% and condominium sales decreased 3.0% compared to the same period in 2024. Inventory of single-family homes and condominiums on Oahu was 3.4 months and 6.4 months, respectively, for the third quarter of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Summary</w:t>
      </w:r>
    </w:p>
    <w:p>
      <w:pPr>
        <w:spacing w:after="0" w:line="20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income for the third quarter of 2025 was $53.3 million, an increase of $13.0 million, or 32%, compared to the same period in 2024. Diluted earnings per common share was $1.20 for the third quarter of 2025, an increase of $0.27, or 29%, compared to the same period in 2024.</w:t>
      </w:r>
    </w:p>
    <w:p>
      <w:pPr>
        <w:spacing w:after="0" w:line="121" w:lineRule="exact"/>
        <w:rPr>
          <w:sz w:val="20"/>
          <w:szCs w:val="20"/>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on average common equity for the third quarter of 2025 was 13.59% compared with 11.50% in the same quarter of 2024.</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for the third quarter of 2025 was $136.7 million, an increase of 16% compared to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margin was 2.46% in the third quarter of 2025, an increase of 28 basis points from the same period in 2024.</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credit losses for the third quarter of 2025 and 2024 was $2.5 million and $3.0 million, respectively.</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was $46.0 million in the third quarter of 2025, an increase of 2% compared to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was $112.4 million in the third quarter of 2025, an increase of 5% compared to the same period last year.</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tax rate for the third quarter of 2025 was 21.3% compared with 23.3% compared to the same period last year.</w:t>
      </w:r>
    </w:p>
    <w:p>
      <w:pPr>
        <w:spacing w:after="0" w:line="6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balance sheet remained stable during the third quarter of 2025. Compared to December 31, 2024, we experienced a modest decline in loans, while investments and deposits increased.</w:t>
      </w:r>
    </w:p>
    <w:p>
      <w:pPr>
        <w:spacing w:after="0" w:line="54" w:lineRule="exact"/>
        <w:rPr>
          <w:sz w:val="20"/>
          <w:szCs w:val="20"/>
          <w:color w:val="auto"/>
        </w:rPr>
      </w:pPr>
    </w:p>
    <w:p>
      <w:pPr>
        <w:ind w:left="1140" w:hanging="48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were $24.0 billion as of September 30, 2025, an increase of 1.8% from December 31, 2024.</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loans and leases were $14.0 billion as of September 30, 2025, a decrease of 0.4% from December 31, 2024.</w:t>
      </w:r>
    </w:p>
    <w:p>
      <w:pPr>
        <w:spacing w:after="0" w:line="63" w:lineRule="exact"/>
        <w:rPr>
          <w:rFonts w:ascii="Times New Roman" w:cs="Times New Roman" w:eastAsia="Times New Roman" w:hAnsi="Times New Roman"/>
          <w:sz w:val="18"/>
          <w:szCs w:val="18"/>
          <w:color w:val="auto"/>
        </w:rPr>
      </w:pPr>
    </w:p>
    <w:p>
      <w:pPr>
        <w:ind w:left="1140" w:hanging="484"/>
        <w:spacing w:after="0" w:line="266"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allowance for credit losses on loans and leases was $148.8 million as of September 30, 2025, a decrease from December 31, 2024. The ratio of the allowance for credit losses to total loans and leases outstanding was 1.06% at the end of the quarter, flat from December 31, 2024.</w:t>
      </w:r>
    </w:p>
    <w:p>
      <w:pPr>
        <w:spacing w:after="0" w:line="13" w:lineRule="exact"/>
        <w:rPr>
          <w:rFonts w:ascii="Times New Roman" w:cs="Times New Roman" w:eastAsia="Times New Roman" w:hAnsi="Times New Roman"/>
          <w:sz w:val="18"/>
          <w:szCs w:val="18"/>
          <w:color w:val="auto"/>
        </w:rPr>
      </w:pPr>
    </w:p>
    <w:p>
      <w:pPr>
        <w:ind w:left="1140" w:right="280" w:hanging="484"/>
        <w:spacing w:after="0" w:line="282" w:lineRule="auto"/>
        <w:tabs>
          <w:tab w:leader="none" w:pos="1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loan and lease charge-offs during the third quarter of 2025 were $2.6 million or 7 basis points annualized of total average loans and leases outstanding. Net loan and lease charge-offs for the third quarter of 2025 were</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40" w:right="60"/>
        <w:spacing w:after="0" w:line="281" w:lineRule="auto"/>
        <w:rPr>
          <w:sz w:val="20"/>
          <w:szCs w:val="20"/>
          <w:color w:val="auto"/>
        </w:rPr>
      </w:pPr>
      <w:r>
        <w:rPr>
          <w:rFonts w:ascii="Times New Roman" w:cs="Times New Roman" w:eastAsia="Times New Roman" w:hAnsi="Times New Roman"/>
          <w:sz w:val="18"/>
          <w:szCs w:val="18"/>
          <w:color w:val="auto"/>
        </w:rPr>
        <w:t>comprised of charge-offs of $4.0 million partially offset by recoveries of $1.4 million. Compared to the same quarter of 2024, net loan and lease charge-offs decreased by $1.3 million or 4 basis points annualized on total average loans and leases outstanding.</w:t>
      </w:r>
    </w:p>
    <w:p>
      <w:pPr>
        <w:spacing w:after="0" w:line="1" w:lineRule="exact"/>
        <w:rPr>
          <w:sz w:val="20"/>
          <w:szCs w:val="20"/>
          <w:color w:val="auto"/>
        </w:rPr>
      </w:pPr>
    </w:p>
    <w:p>
      <w:pPr>
        <w:jc w:val="both"/>
        <w:ind w:left="1140" w:right="220" w:hanging="484"/>
        <w:spacing w:after="0" w:line="266"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non-performing assets (“NPAs”) were $16.9 million as of September 30, 2025, down $2.4 million from December 31, 2024. NPAs were 12 basis points of total loans and leases and foreclosed real estate at the end of the quarter, down 2 basis points from December 31, 2024.</w:t>
      </w:r>
    </w:p>
    <w:p>
      <w:pPr>
        <w:spacing w:after="0" w:line="13" w:lineRule="exact"/>
        <w:rPr>
          <w:rFonts w:ascii="Times New Roman" w:cs="Times New Roman" w:eastAsia="Times New Roman" w:hAnsi="Times New Roman"/>
          <w:sz w:val="18"/>
          <w:szCs w:val="18"/>
          <w:color w:val="auto"/>
        </w:rPr>
      </w:pPr>
    </w:p>
    <w:p>
      <w:pPr>
        <w:ind w:left="1140" w:right="80" w:hanging="484"/>
        <w:spacing w:after="0" w:line="261"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securities portfolio was $7.6 billion as of September 30, 2025, an increase of 4.3% from December 31, 2024. The investment portfolio remains largely comprised of securities issued by U.S. government agencies and U.S. government-sponsored enterprises. Floating rate securities represented 19.3% of the investment securities portfolio as of September 30, 2025, compared to 16.5% as of December 31, 2024.</w:t>
      </w:r>
    </w:p>
    <w:p>
      <w:pPr>
        <w:spacing w:after="0" w:line="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deposits were $21.1 billion as of September 30, 2025 and $20.6 billion as of December 31, 2024.</w:t>
      </w:r>
    </w:p>
    <w:p>
      <w:pPr>
        <w:spacing w:after="0" w:line="6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shareholders’ equity was $1.8 billion as of September 30, 2025, an increase of 7.4% from December 31, 2024.</w:t>
      </w:r>
    </w:p>
    <w:p>
      <w:pPr>
        <w:spacing w:after="0" w:line="63" w:lineRule="exact"/>
        <w:rPr>
          <w:rFonts w:ascii="Times New Roman" w:cs="Times New Roman" w:eastAsia="Times New Roman" w:hAnsi="Times New Roman"/>
          <w:sz w:val="18"/>
          <w:szCs w:val="18"/>
          <w:color w:val="auto"/>
        </w:rPr>
      </w:pPr>
    </w:p>
    <w:p>
      <w:pPr>
        <w:ind w:left="1140" w:right="220" w:hanging="484"/>
        <w:spacing w:after="0" w:line="281"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of common stock were repurchased under the share repurchase program in the third quarter of 2025. Total remaining buyback authority under the share repurchase program was $126.0 million at September 30, 2025.</w:t>
      </w:r>
    </w:p>
    <w:p>
      <w:pPr>
        <w:spacing w:after="0" w:line="1" w:lineRule="exact"/>
        <w:rPr>
          <w:rFonts w:ascii="Times New Roman" w:cs="Times New Roman" w:eastAsia="Times New Roman" w:hAnsi="Times New Roman"/>
          <w:sz w:val="18"/>
          <w:szCs w:val="18"/>
          <w:color w:val="auto"/>
        </w:rPr>
      </w:pPr>
    </w:p>
    <w:p>
      <w:pPr>
        <w:ind w:left="1140" w:right="200" w:hanging="484"/>
        <w:spacing w:after="0" w:line="281"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declared a quarterly cash dividend of $0.70 per share on the Company’s outstanding common shares. The dividend will be payable on December 12, 2025 to shareholders of record at the close of business on November 28, 2025.</w:t>
      </w:r>
    </w:p>
    <w:p>
      <w:pPr>
        <w:spacing w:after="0" w:line="1" w:lineRule="exact"/>
        <w:rPr>
          <w:rFonts w:ascii="Times New Roman" w:cs="Times New Roman" w:eastAsia="Times New Roman" w:hAnsi="Times New Roman"/>
          <w:sz w:val="18"/>
          <w:szCs w:val="18"/>
          <w:color w:val="auto"/>
        </w:rPr>
      </w:pPr>
    </w:p>
    <w:p>
      <w:pPr>
        <w:ind w:left="1140" w:right="160" w:hanging="484"/>
        <w:spacing w:after="0" w:line="256" w:lineRule="auto"/>
        <w:tabs>
          <w:tab w:leader="none" w:pos="1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 2025, the Company announced that the Board of Directors declared quarterly dividend payments of $10.94 per share, equivalent to $0.2735 per depositary share, on its preferred stock, Series A, and $20.00 per share, equivalent to $0.5000 per depositary share, on its preferred stock, Series B. The depositary shares representing the Series A Preferred Stock and Series B Preferred Stock are traded on the NYSE under the symbol “BOH.PRA” and “BOH.PRB”, respectively. The dividends on the Series A Preferred Stock and Series B Preferred Stock will be payable on November 3, 2025 to shareholders of record of the preferred stock as of the close of business on October 17, 2025.</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Unaudited Statements of Income</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Average balances, related income and expenses, and resulting yields and rates are presented in Table 1. An analysis of the change in net interest income, on a taxable-equivalent basis, is presented in Table 2.</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rPr>
              <w:t>Average Balances and Interest Rates - Taxable-Equivalent Basis ¹</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b w:val="1"/>
                <w:bCs w:val="1"/>
                <w:color w:val="auto"/>
                <w:w w:val="93"/>
              </w:rPr>
              <w:t>Table 1</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tc>
        <w:tc>
          <w:tcPr>
            <w:tcW w:w="0" w:type="dxa"/>
            <w:vAlign w:val="bottom"/>
          </w:tcPr>
          <w:p>
            <w:pPr>
              <w:spacing w:after="0"/>
              <w:rPr>
                <w:sz w:val="1"/>
                <w:szCs w:val="1"/>
                <w:color w:val="auto"/>
              </w:rPr>
            </w:pPr>
          </w:p>
        </w:tc>
      </w:tr>
      <w:tr>
        <w:trPr>
          <w:trHeight w:val="189"/>
        </w:trPr>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(dollars in millions)</w:t>
            </w:r>
          </w:p>
        </w:tc>
        <w:tc>
          <w:tcPr>
            <w:tcW w:w="120" w:type="dxa"/>
            <w:vAlign w:val="bottom"/>
          </w:tcPr>
          <w:p>
            <w:pPr>
              <w:spacing w:after="0"/>
              <w:rPr>
                <w:sz w:val="16"/>
                <w:szCs w:val="16"/>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Income/Expense</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120" w:type="dxa"/>
            <w:vAlign w:val="bottom"/>
          </w:tcPr>
          <w:p>
            <w:pPr>
              <w:spacing w:after="0"/>
              <w:rPr>
                <w:sz w:val="16"/>
                <w:szCs w:val="16"/>
                <w:color w:val="auto"/>
              </w:rPr>
            </w:pPr>
          </w:p>
        </w:tc>
        <w:tc>
          <w:tcPr>
            <w:tcW w:w="620" w:type="dxa"/>
            <w:vAlign w:val="bottom"/>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Average</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Income/Expense</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120" w:type="dxa"/>
            <w:vAlign w:val="bottom"/>
          </w:tcPr>
          <w:p>
            <w:pPr>
              <w:spacing w:after="0"/>
              <w:rPr>
                <w:sz w:val="16"/>
                <w:szCs w:val="16"/>
                <w:color w:val="auto"/>
              </w:rPr>
            </w:pP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w w:val="97"/>
              </w:rPr>
              <w:t>Income/Expense</w:t>
            </w: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140" w:type="dxa"/>
            <w:vAlign w:val="bottom"/>
          </w:tcPr>
          <w:p>
            <w:pPr>
              <w:spacing w:after="0"/>
              <w:rPr>
                <w:sz w:val="16"/>
                <w:szCs w:val="16"/>
                <w:color w:val="auto"/>
              </w:rPr>
            </w:pPr>
          </w:p>
        </w:tc>
        <w:tc>
          <w:tcPr>
            <w:tcW w:w="620" w:type="dxa"/>
            <w:vAlign w:val="bottom"/>
          </w:tcPr>
          <w:p>
            <w:pPr>
              <w:jc w:val="right"/>
              <w:ind w:right="117"/>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7"/>
              </w:rPr>
              <w:t>Income/Expense</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Yield/Rate</w:t>
            </w:r>
          </w:p>
        </w:tc>
        <w:tc>
          <w:tcPr>
            <w:tcW w:w="0" w:type="dxa"/>
            <w:vAlign w:val="bottom"/>
          </w:tcPr>
          <w:p>
            <w:pPr>
              <w:spacing w:after="0"/>
              <w:rPr>
                <w:sz w:val="1"/>
                <w:szCs w:val="1"/>
                <w:color w:val="auto"/>
              </w:rPr>
            </w:pPr>
          </w:p>
        </w:tc>
      </w:tr>
      <w:tr>
        <w:trPr>
          <w:trHeight w:val="148"/>
        </w:trPr>
        <w:tc>
          <w:tcPr>
            <w:tcW w:w="12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8"/>
                <w:szCs w:val="8"/>
                <w:b w:val="1"/>
                <w:bCs w:val="1"/>
                <w:color w:val="auto"/>
              </w:rPr>
              <w:t>2</w:t>
            </w:r>
          </w:p>
        </w:tc>
        <w:tc>
          <w:tcPr>
            <w:tcW w:w="92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8"/>
                <w:szCs w:val="8"/>
                <w:b w:val="1"/>
                <w:bCs w:val="1"/>
                <w:color w:val="auto"/>
              </w:rPr>
              <w:t>2</w:t>
            </w:r>
          </w:p>
        </w:tc>
        <w:tc>
          <w:tcPr>
            <w:tcW w:w="92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8"/>
                <w:szCs w:val="8"/>
                <w:b w:val="1"/>
                <w:bCs w:val="1"/>
                <w:color w:val="auto"/>
              </w:rPr>
              <w:t>2</w:t>
            </w:r>
          </w:p>
        </w:tc>
        <w:tc>
          <w:tcPr>
            <w:tcW w:w="90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8"/>
                <w:szCs w:val="8"/>
                <w:b w:val="1"/>
                <w:bCs w:val="1"/>
                <w:color w:val="auto"/>
              </w:rPr>
              <w:t>2</w:t>
            </w:r>
          </w:p>
        </w:tc>
        <w:tc>
          <w:tcPr>
            <w:tcW w:w="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Earning Assets</w:t>
            </w: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744.3</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4.31 %</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667.8</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w w:val="97"/>
              </w:rPr>
              <w:t>5.27 %</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533.5</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4.32 %</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530.0</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w w:val="97"/>
              </w:rPr>
              <w:t>5.28 %</w:t>
            </w:r>
          </w:p>
        </w:tc>
        <w:tc>
          <w:tcPr>
            <w:tcW w:w="0" w:type="dxa"/>
            <w:vAlign w:val="bottom"/>
          </w:tcPr>
          <w:p>
            <w:pPr>
              <w:spacing w:after="0"/>
              <w:rPr>
                <w:sz w:val="1"/>
                <w:szCs w:val="1"/>
                <w:color w:val="auto"/>
              </w:rPr>
            </w:pPr>
          </w:p>
        </w:tc>
      </w:tr>
      <w:tr>
        <w:trPr>
          <w:trHeight w:val="172"/>
        </w:trPr>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Equivalents</w:t>
            </w:r>
          </w:p>
        </w:tc>
        <w:tc>
          <w:tcPr>
            <w:tcW w:w="1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 Securities</w:t>
            </w: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Available-for-Sale</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Taxable</w:t>
            </w: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3,157.8</w:t>
            </w:r>
          </w:p>
        </w:tc>
        <w:tc>
          <w:tcPr>
            <w:tcW w:w="2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3.70</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2,430.0</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3.80</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2,979.8</w:t>
            </w:r>
          </w:p>
        </w:tc>
        <w:tc>
          <w:tcPr>
            <w:tcW w:w="2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2,373.1</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3.73</w:t>
            </w:r>
          </w:p>
        </w:tc>
        <w:tc>
          <w:tcPr>
            <w:tcW w:w="0" w:type="dxa"/>
            <w:vAlign w:val="bottom"/>
          </w:tcPr>
          <w:p>
            <w:pPr>
              <w:spacing w:after="0"/>
              <w:rPr>
                <w:sz w:val="1"/>
                <w:szCs w:val="1"/>
                <w:color w:val="auto"/>
              </w:rPr>
            </w:pPr>
          </w:p>
        </w:tc>
      </w:tr>
      <w:tr>
        <w:trPr>
          <w:trHeight w:val="173"/>
        </w:trPr>
        <w:tc>
          <w:tcPr>
            <w:tcW w:w="12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Non-Taxable</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5.98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5.85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5.59</w:t>
            </w: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Held-to-Maturity</w:t>
            </w: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Taxable</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4,363.9</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4,735.5</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4,457.6</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4,832.9</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2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3"/>
                <w:szCs w:val="13"/>
                <w:color w:val="auto"/>
              </w:rPr>
              <w:t>Non-Taxable</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2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64"/>
        </w:trPr>
        <w:tc>
          <w:tcPr>
            <w:tcW w:w="1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Total Investment</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7,587.9</w:t>
            </w:r>
          </w:p>
        </w:tc>
        <w:tc>
          <w:tcPr>
            <w:tcW w:w="2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49.2</w:t>
            </w:r>
          </w:p>
        </w:tc>
        <w:tc>
          <w:tcPr>
            <w:tcW w:w="84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2.59</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7,211.7</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44.4</w:t>
            </w:r>
          </w:p>
        </w:tc>
        <w:tc>
          <w:tcPr>
            <w:tcW w:w="82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7,498.4</w:t>
            </w:r>
          </w:p>
        </w:tc>
        <w:tc>
          <w:tcPr>
            <w:tcW w:w="2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140.9</w:t>
            </w:r>
          </w:p>
        </w:tc>
        <w:tc>
          <w:tcPr>
            <w:tcW w:w="82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3"/>
                <w:szCs w:val="13"/>
                <w:color w:val="auto"/>
              </w:rPr>
              <w:t>2.51</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7,245.6</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131.5</w:t>
            </w:r>
          </w:p>
        </w:tc>
        <w:tc>
          <w:tcPr>
            <w:tcW w:w="82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2.42</w:t>
            </w:r>
          </w:p>
        </w:tc>
        <w:tc>
          <w:tcPr>
            <w:tcW w:w="0" w:type="dxa"/>
            <w:vAlign w:val="bottom"/>
          </w:tcPr>
          <w:p>
            <w:pPr>
              <w:spacing w:after="0"/>
              <w:rPr>
                <w:sz w:val="1"/>
                <w:szCs w:val="1"/>
                <w:color w:val="auto"/>
              </w:rPr>
            </w:pPr>
          </w:p>
        </w:tc>
      </w:tr>
      <w:tr>
        <w:trPr>
          <w:trHeight w:val="174"/>
        </w:trPr>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Securities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Loans Held for Sale</w:t>
            </w: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8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5.92</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6.13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5.89</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6.16</w:t>
            </w:r>
          </w:p>
        </w:tc>
        <w:tc>
          <w:tcPr>
            <w:tcW w:w="0" w:type="dxa"/>
            <w:vAlign w:val="bottom"/>
          </w:tcPr>
          <w:p>
            <w:pPr>
              <w:spacing w:after="0"/>
              <w:rPr>
                <w:sz w:val="1"/>
                <w:szCs w:val="1"/>
                <w:color w:val="auto"/>
              </w:rPr>
            </w:pPr>
          </w:p>
        </w:tc>
      </w:tr>
      <w:tr>
        <w:trPr>
          <w:trHeight w:val="203"/>
        </w:trPr>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Loans and Leases </w:t>
            </w:r>
            <w:r>
              <w:rPr>
                <w:rFonts w:ascii="Times New Roman" w:cs="Times New Roman" w:eastAsia="Times New Roman" w:hAnsi="Times New Roman"/>
                <w:sz w:val="16"/>
                <w:szCs w:val="16"/>
                <w:color w:val="auto"/>
                <w:vertAlign w:val="superscript"/>
              </w:rPr>
              <w:t>3</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Commercial</w:t>
            </w:r>
          </w:p>
        </w:tc>
        <w:tc>
          <w:tcPr>
            <w:tcW w:w="12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4,016.3</w:t>
            </w:r>
          </w:p>
        </w:tc>
        <w:tc>
          <w:tcPr>
            <w:tcW w:w="26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84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5.36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3,744.6</w:t>
            </w:r>
          </w:p>
        </w:tc>
        <w:tc>
          <w:tcPr>
            <w:tcW w:w="24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8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5.51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4,018.9</w:t>
            </w:r>
          </w:p>
        </w:tc>
        <w:tc>
          <w:tcPr>
            <w:tcW w:w="2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160.5</w:t>
            </w:r>
          </w:p>
        </w:tc>
        <w:tc>
          <w:tcPr>
            <w:tcW w:w="82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5.34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3,728.3</w:t>
            </w:r>
          </w:p>
        </w:tc>
        <w:tc>
          <w:tcPr>
            <w:tcW w:w="24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153.9</w:t>
            </w:r>
          </w:p>
        </w:tc>
        <w:tc>
          <w:tcPr>
            <w:tcW w:w="8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5.52</w:t>
            </w:r>
          </w:p>
        </w:tc>
        <w:tc>
          <w:tcPr>
            <w:tcW w:w="0" w:type="dxa"/>
            <w:vAlign w:val="bottom"/>
          </w:tcPr>
          <w:p>
            <w:pPr>
              <w:spacing w:after="0"/>
              <w:rPr>
                <w:sz w:val="1"/>
                <w:szCs w:val="1"/>
                <w:color w:val="auto"/>
              </w:rPr>
            </w:pPr>
          </w:p>
        </w:tc>
      </w:tr>
      <w:tr>
        <w:trPr>
          <w:trHeight w:val="180"/>
        </w:trPr>
        <w:tc>
          <w:tcPr>
            <w:tcW w:w="1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Mortgage</w:t>
            </w: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and</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1,600.7</w:t>
            </w:r>
          </w:p>
        </w:tc>
        <w:tc>
          <w:tcPr>
            <w:tcW w:w="2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5.09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1,665.3</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5.42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1,657.1</w:t>
            </w:r>
          </w:p>
        </w:tc>
        <w:tc>
          <w:tcPr>
            <w:tcW w:w="2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5.07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1,673.6</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5.36</w:t>
            </w:r>
          </w:p>
        </w:tc>
        <w:tc>
          <w:tcPr>
            <w:tcW w:w="0" w:type="dxa"/>
            <w:vAlign w:val="bottom"/>
          </w:tcPr>
          <w:p>
            <w:pPr>
              <w:spacing w:after="0"/>
              <w:rPr>
                <w:sz w:val="1"/>
                <w:szCs w:val="1"/>
                <w:color w:val="auto"/>
              </w:rPr>
            </w:pPr>
          </w:p>
        </w:tc>
      </w:tr>
      <w:tr>
        <w:trPr>
          <w:trHeight w:val="172"/>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Industrial</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Construction</w:t>
            </w: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394.4</w:t>
            </w:r>
          </w:p>
        </w:tc>
        <w:tc>
          <w:tcPr>
            <w:tcW w:w="2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7.32</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357.3</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7.95</w:t>
            </w: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366.6</w:t>
            </w:r>
          </w:p>
        </w:tc>
        <w:tc>
          <w:tcPr>
            <w:tcW w:w="2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7.28</w:t>
            </w: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329.0</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7.71</w:t>
            </w:r>
          </w:p>
        </w:tc>
        <w:tc>
          <w:tcPr>
            <w:tcW w:w="0" w:type="dxa"/>
            <w:vAlign w:val="bottom"/>
          </w:tcPr>
          <w:p>
            <w:pPr>
              <w:spacing w:after="0"/>
              <w:rPr>
                <w:sz w:val="1"/>
                <w:szCs w:val="1"/>
                <w:color w:val="auto"/>
              </w:rPr>
            </w:pPr>
          </w:p>
        </w:tc>
      </w:tr>
      <w:tr>
        <w:trPr>
          <w:trHeight w:val="171"/>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Commercial Lease</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93.0</w:t>
            </w:r>
          </w:p>
        </w:tc>
        <w:tc>
          <w:tcPr>
            <w:tcW w:w="2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4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auto"/>
              </w:rPr>
              <w:t>4.11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2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2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2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172"/>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Financing</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Residential</w:t>
            </w:r>
          </w:p>
        </w:tc>
        <w:tc>
          <w:tcPr>
            <w:tcW w:w="12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4,638.1</w:t>
            </w:r>
          </w:p>
        </w:tc>
        <w:tc>
          <w:tcPr>
            <w:tcW w:w="26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84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4.02</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4,593.7</w:t>
            </w:r>
          </w:p>
        </w:tc>
        <w:tc>
          <w:tcPr>
            <w:tcW w:w="24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8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4.03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4,627.2</w:t>
            </w:r>
          </w:p>
        </w:tc>
        <w:tc>
          <w:tcPr>
            <w:tcW w:w="26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82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3.95</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4,613.0</w:t>
            </w:r>
          </w:p>
        </w:tc>
        <w:tc>
          <w:tcPr>
            <w:tcW w:w="24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137.0</w:t>
            </w:r>
          </w:p>
        </w:tc>
        <w:tc>
          <w:tcPr>
            <w:tcW w:w="8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3.96</w:t>
            </w:r>
          </w:p>
        </w:tc>
        <w:tc>
          <w:tcPr>
            <w:tcW w:w="0" w:type="dxa"/>
            <w:vAlign w:val="bottom"/>
          </w:tcPr>
          <w:p>
            <w:pPr>
              <w:spacing w:after="0"/>
              <w:rPr>
                <w:sz w:val="1"/>
                <w:szCs w:val="1"/>
                <w:color w:val="auto"/>
              </w:rPr>
            </w:pPr>
          </w:p>
        </w:tc>
      </w:tr>
      <w:tr>
        <w:trPr>
          <w:trHeight w:val="180"/>
        </w:trPr>
        <w:tc>
          <w:tcPr>
            <w:tcW w:w="1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Mortgage</w:t>
            </w: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84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82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Home Equity</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2,129.6</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4.46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2,206.9</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4.04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2,141.8</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4.35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2,229.5</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3.91</w:t>
            </w:r>
          </w:p>
        </w:tc>
        <w:tc>
          <w:tcPr>
            <w:tcW w:w="0" w:type="dxa"/>
            <w:vAlign w:val="bottom"/>
          </w:tcPr>
          <w:p>
            <w:pPr>
              <w:spacing w:after="0"/>
              <w:rPr>
                <w:sz w:val="1"/>
                <w:szCs w:val="1"/>
                <w:color w:val="auto"/>
              </w:rPr>
            </w:pPr>
          </w:p>
        </w:tc>
      </w:tr>
      <w:tr>
        <w:trPr>
          <w:trHeight w:val="29"/>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Automobile</w:t>
            </w: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706.9</w:t>
            </w:r>
          </w:p>
        </w:tc>
        <w:tc>
          <w:tcPr>
            <w:tcW w:w="2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5.35</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795.7</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729.7</w:t>
            </w:r>
          </w:p>
        </w:tc>
        <w:tc>
          <w:tcPr>
            <w:tcW w:w="2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5.18</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813.3</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4.51</w:t>
            </w:r>
          </w:p>
        </w:tc>
        <w:tc>
          <w:tcPr>
            <w:tcW w:w="0" w:type="dxa"/>
            <w:vAlign w:val="bottom"/>
          </w:tcPr>
          <w:p>
            <w:pPr>
              <w:spacing w:after="0"/>
              <w:rPr>
                <w:sz w:val="1"/>
                <w:szCs w:val="1"/>
                <w:color w:val="auto"/>
              </w:rPr>
            </w:pPr>
          </w:p>
        </w:tc>
      </w:tr>
      <w:tr>
        <w:trPr>
          <w:trHeight w:val="173"/>
        </w:trPr>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403.0</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7.63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386.9</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7.13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397.0</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7.52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391.0</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6.91</w:t>
            </w:r>
          </w:p>
        </w:tc>
        <w:tc>
          <w:tcPr>
            <w:tcW w:w="0" w:type="dxa"/>
            <w:vAlign w:val="bottom"/>
          </w:tcPr>
          <w:p>
            <w:pPr>
              <w:spacing w:after="0"/>
              <w:rPr>
                <w:sz w:val="1"/>
                <w:szCs w:val="1"/>
                <w:color w:val="auto"/>
              </w:rPr>
            </w:pPr>
          </w:p>
        </w:tc>
      </w:tr>
      <w:tr>
        <w:trPr>
          <w:trHeight w:val="30"/>
        </w:trPr>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Loans and Leases</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13,982.0</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170.9</w:t>
            </w:r>
          </w:p>
        </w:tc>
        <w:tc>
          <w:tcPr>
            <w:tcW w:w="8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4.86</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13,810.0</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167.2</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4.82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14,030.8</w:t>
            </w:r>
          </w:p>
        </w:tc>
        <w:tc>
          <w:tcPr>
            <w:tcW w:w="2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503.6</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4.80</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13,836.8</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491.0</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4.74</w:t>
            </w:r>
          </w:p>
        </w:tc>
        <w:tc>
          <w:tcPr>
            <w:tcW w:w="0" w:type="dxa"/>
            <w:vAlign w:val="bottom"/>
          </w:tcPr>
          <w:p>
            <w:pPr>
              <w:spacing w:after="0"/>
              <w:rPr>
                <w:sz w:val="1"/>
                <w:szCs w:val="1"/>
                <w:color w:val="auto"/>
              </w:rPr>
            </w:pPr>
          </w:p>
        </w:tc>
      </w:tr>
      <w:tr>
        <w:trPr>
          <w:trHeight w:val="166"/>
        </w:trPr>
        <w:tc>
          <w:tcPr>
            <w:tcW w:w="1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2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6.54</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63.2</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8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6.43</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2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3"/>
                <w:szCs w:val="13"/>
                <w:color w:val="auto"/>
              </w:rPr>
              <w:t>6.64</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6.61</w:t>
            </w:r>
          </w:p>
        </w:tc>
        <w:tc>
          <w:tcPr>
            <w:tcW w:w="0" w:type="dxa"/>
            <w:vAlign w:val="bottom"/>
          </w:tcPr>
          <w:p>
            <w:pPr>
              <w:spacing w:after="0"/>
              <w:rPr>
                <w:sz w:val="1"/>
                <w:szCs w:val="1"/>
                <w:color w:val="auto"/>
              </w:rPr>
            </w:pPr>
          </w:p>
        </w:tc>
      </w:tr>
      <w:tr>
        <w:trPr>
          <w:trHeight w:val="30"/>
        </w:trPr>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1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Earning Assets</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22,381.1</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229.4</w:t>
            </w:r>
          </w:p>
        </w:tc>
        <w:tc>
          <w:tcPr>
            <w:tcW w:w="8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4.08</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21,756.5</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221.7</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4.06</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22,129.9</w:t>
            </w:r>
          </w:p>
        </w:tc>
        <w:tc>
          <w:tcPr>
            <w:tcW w:w="2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665.3</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4.01</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21,677.5</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647.0</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3.98</w:t>
            </w:r>
          </w:p>
        </w:tc>
        <w:tc>
          <w:tcPr>
            <w:tcW w:w="0" w:type="dxa"/>
            <w:vAlign w:val="bottom"/>
          </w:tcPr>
          <w:p>
            <w:pPr>
              <w:spacing w:after="0"/>
              <w:rPr>
                <w:sz w:val="1"/>
                <w:szCs w:val="1"/>
                <w:color w:val="auto"/>
              </w:rPr>
            </w:pPr>
          </w:p>
        </w:tc>
      </w:tr>
      <w:tr>
        <w:trPr>
          <w:trHeight w:val="166"/>
        </w:trPr>
        <w:tc>
          <w:tcPr>
            <w:tcW w:w="1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Non-Earning Assets</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1,613.9</w:t>
            </w:r>
          </w:p>
        </w:tc>
        <w:tc>
          <w:tcPr>
            <w:tcW w:w="2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1,582.0</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1,614.8</w:t>
            </w:r>
          </w:p>
        </w:tc>
        <w:tc>
          <w:tcPr>
            <w:tcW w:w="2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1,577.9</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84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1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23,995.0</w:t>
            </w:r>
          </w:p>
        </w:tc>
        <w:tc>
          <w:tcPr>
            <w:tcW w:w="26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23,338.5</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23,744.7</w:t>
            </w:r>
          </w:p>
        </w:tc>
        <w:tc>
          <w:tcPr>
            <w:tcW w:w="2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23,255.4</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0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3"/>
                <w:szCs w:val="13"/>
                <w:b w:val="1"/>
                <w:bCs w:val="1"/>
                <w:color w:val="auto"/>
              </w:rPr>
              <w:t>Interest-Bearing Liabilities</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Interest-Bearing</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Deposits</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Demand</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3,781.0</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0.81 %</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3,775.6</w:t>
            </w: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97"/>
              </w:rPr>
              <w:t>0.94 %</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3,753.3</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0.80 %</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3,776.1</w:t>
            </w:r>
          </w:p>
        </w:tc>
        <w:tc>
          <w:tcPr>
            <w:tcW w:w="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97"/>
              </w:rPr>
              <w:t>0.90 %</w:t>
            </w: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Savings</w:t>
            </w: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8,831.0</w:t>
            </w:r>
          </w:p>
        </w:tc>
        <w:tc>
          <w:tcPr>
            <w:tcW w:w="2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2.28</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8,402.9</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2.63</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8,652.4</w:t>
            </w:r>
          </w:p>
        </w:tc>
        <w:tc>
          <w:tcPr>
            <w:tcW w:w="2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8,264.9</w:t>
            </w: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173"/>
        </w:trPr>
        <w:tc>
          <w:tcPr>
            <w:tcW w:w="1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Time</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3,057.6</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3,008.7</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4.17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3,048.4</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3.53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3,008.6</w:t>
            </w: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4.18</w:t>
            </w:r>
          </w:p>
        </w:tc>
        <w:tc>
          <w:tcPr>
            <w:tcW w:w="0" w:type="dxa"/>
            <w:vAlign w:val="bottom"/>
          </w:tcPr>
          <w:p>
            <w:pPr>
              <w:spacing w:after="0"/>
              <w:rPr>
                <w:sz w:val="1"/>
                <w:szCs w:val="1"/>
                <w:color w:val="auto"/>
              </w:rPr>
            </w:pPr>
          </w:p>
        </w:tc>
      </w:tr>
      <w:tr>
        <w:trPr>
          <w:trHeight w:val="30"/>
        </w:trPr>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Total Interest-Bearing</w:t>
            </w:r>
          </w:p>
        </w:tc>
        <w:tc>
          <w:tcPr>
            <w:tcW w:w="12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15,669.6</w:t>
            </w:r>
          </w:p>
        </w:tc>
        <w:tc>
          <w:tcPr>
            <w:tcW w:w="26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84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15,187.2</w:t>
            </w:r>
          </w:p>
        </w:tc>
        <w:tc>
          <w:tcPr>
            <w:tcW w:w="24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8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15,454.1</w:t>
            </w:r>
          </w:p>
        </w:tc>
        <w:tc>
          <w:tcPr>
            <w:tcW w:w="2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82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15,049.6</w:t>
            </w:r>
          </w:p>
        </w:tc>
        <w:tc>
          <w:tcPr>
            <w:tcW w:w="24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276.7</w:t>
            </w:r>
          </w:p>
        </w:tc>
        <w:tc>
          <w:tcPr>
            <w:tcW w:w="820" w:type="dxa"/>
            <w:vAlign w:val="bottom"/>
            <w:vMerge w:val="restart"/>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2.46</w:t>
            </w:r>
          </w:p>
        </w:tc>
        <w:tc>
          <w:tcPr>
            <w:tcW w:w="0" w:type="dxa"/>
            <w:vAlign w:val="bottom"/>
          </w:tcPr>
          <w:p>
            <w:pPr>
              <w:spacing w:after="0"/>
              <w:rPr>
                <w:sz w:val="1"/>
                <w:szCs w:val="1"/>
                <w:color w:val="auto"/>
              </w:rPr>
            </w:pPr>
          </w:p>
        </w:tc>
      </w:tr>
      <w:tr>
        <w:trPr>
          <w:trHeight w:val="174"/>
        </w:trPr>
        <w:tc>
          <w:tcPr>
            <w:tcW w:w="1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Deposits</w:t>
            </w: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vMerge w:val="continue"/>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Securities Sold Under</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Agreements to</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84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3.89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2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8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3.82</w:t>
            </w: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Debt</w:t>
            </w: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558.3</w:t>
            </w:r>
          </w:p>
        </w:tc>
        <w:tc>
          <w:tcPr>
            <w:tcW w:w="26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560.1</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4.24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564.9</w:t>
            </w:r>
          </w:p>
        </w:tc>
        <w:tc>
          <w:tcPr>
            <w:tcW w:w="26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561.3</w:t>
            </w:r>
          </w:p>
        </w:tc>
        <w:tc>
          <w:tcPr>
            <w:tcW w:w="24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4.25</w:t>
            </w:r>
          </w:p>
        </w:tc>
        <w:tc>
          <w:tcPr>
            <w:tcW w:w="0" w:type="dxa"/>
            <w:vAlign w:val="bottom"/>
          </w:tcPr>
          <w:p>
            <w:pPr>
              <w:spacing w:after="0"/>
              <w:rPr>
                <w:sz w:val="1"/>
                <w:szCs w:val="1"/>
                <w:color w:val="auto"/>
              </w:rPr>
            </w:pPr>
          </w:p>
        </w:tc>
      </w:tr>
      <w:tr>
        <w:trPr>
          <w:trHeight w:val="162"/>
        </w:trPr>
        <w:tc>
          <w:tcPr>
            <w:tcW w:w="1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Total Interest-Bearing</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16,277.9</w:t>
            </w:r>
          </w:p>
        </w:tc>
        <w:tc>
          <w:tcPr>
            <w:tcW w:w="2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84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15,847.8</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82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16,077.8</w:t>
            </w:r>
          </w:p>
        </w:tc>
        <w:tc>
          <w:tcPr>
            <w:tcW w:w="2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268.3</w:t>
            </w:r>
          </w:p>
        </w:tc>
        <w:tc>
          <w:tcPr>
            <w:tcW w:w="820" w:type="dxa"/>
            <w:vAlign w:val="bottom"/>
            <w:tcBorders>
              <w:top w:val="single" w:sz="8" w:color="auto"/>
            </w:tcBorders>
            <w:vMerge w:val="restart"/>
          </w:tcPr>
          <w:p>
            <w:pPr>
              <w:ind w:left="420"/>
              <w:spacing w:after="0"/>
              <w:rPr>
                <w:sz w:val="20"/>
                <w:szCs w:val="20"/>
                <w:color w:val="auto"/>
              </w:rPr>
            </w:pPr>
            <w:r>
              <w:rPr>
                <w:rFonts w:ascii="Times New Roman" w:cs="Times New Roman" w:eastAsia="Times New Roman" w:hAnsi="Times New Roman"/>
                <w:sz w:val="13"/>
                <w:szCs w:val="13"/>
                <w:color w:val="auto"/>
              </w:rPr>
              <w:t>2.23</w:t>
            </w: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15,735.1</w:t>
            </w:r>
          </w:p>
        </w:tc>
        <w:tc>
          <w:tcPr>
            <w:tcW w:w="2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298.1</w:t>
            </w:r>
          </w:p>
        </w:tc>
        <w:tc>
          <w:tcPr>
            <w:tcW w:w="82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2.53</w:t>
            </w:r>
          </w:p>
        </w:tc>
        <w:tc>
          <w:tcPr>
            <w:tcW w:w="0" w:type="dxa"/>
            <w:vAlign w:val="bottom"/>
          </w:tcPr>
          <w:p>
            <w:pPr>
              <w:spacing w:after="0"/>
              <w:rPr>
                <w:sz w:val="1"/>
                <w:szCs w:val="1"/>
                <w:color w:val="auto"/>
              </w:rPr>
            </w:pPr>
          </w:p>
        </w:tc>
      </w:tr>
      <w:tr>
        <w:trPr>
          <w:trHeight w:val="176"/>
        </w:trPr>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Net Interest Income</w:t>
            </w: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138.3</w:t>
            </w:r>
          </w:p>
        </w:tc>
        <w:tc>
          <w:tcPr>
            <w:tcW w:w="8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397.0</w:t>
            </w:r>
          </w:p>
        </w:tc>
        <w:tc>
          <w:tcPr>
            <w:tcW w:w="8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348.8</w:t>
            </w:r>
          </w:p>
        </w:tc>
        <w:tc>
          <w:tcPr>
            <w:tcW w:w="8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bottom w:val="single" w:sz="8" w:color="CFF0FC"/>
            </w:tcBorders>
            <w:vMerge w:val="restart"/>
          </w:tcPr>
          <w:p>
            <w:pPr>
              <w:ind w:left="140"/>
              <w:spacing w:after="0"/>
              <w:rPr>
                <w:sz w:val="20"/>
                <w:szCs w:val="20"/>
                <w:color w:val="auto"/>
              </w:rPr>
            </w:pPr>
            <w:r>
              <w:rPr>
                <w:rFonts w:ascii="Times New Roman" w:cs="Times New Roman" w:eastAsia="Times New Roman" w:hAnsi="Times New Roman"/>
                <w:sz w:val="13"/>
                <w:szCs w:val="13"/>
                <w:color w:val="auto"/>
              </w:rPr>
              <w:t>Interest Rate Spread</w:t>
            </w: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CFF0FC"/>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Borders>
              <w:top w:val="single" w:sz="8" w:color="CFF0FC"/>
              <w:bottom w:val="single" w:sz="8" w:color="CFF0FC"/>
            </w:tcBorders>
            <w:vMerge w:val="restart"/>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CFF0FC"/>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Borders>
              <w:top w:val="single" w:sz="8" w:color="CFF0FC"/>
              <w:bottom w:val="single" w:sz="8" w:color="CFF0FC"/>
            </w:tcBorders>
            <w:vMerge w:val="restart"/>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CFF0FC"/>
            </w:tcBorders>
            <w:vMerge w:val="restart"/>
          </w:tcPr>
          <w:p>
            <w:pPr>
              <w:ind w:left="420"/>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tcBorders>
              <w:top w:val="single" w:sz="8" w:color="CFF0FC"/>
              <w:bottom w:val="single" w:sz="8" w:color="CFF0FC"/>
            </w:tcBorders>
            <w:vMerge w:val="restart"/>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FF0FC"/>
              <w:bottom w:val="single" w:sz="8" w:color="CFF0FC"/>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1.45</w:t>
            </w:r>
          </w:p>
        </w:tc>
        <w:tc>
          <w:tcPr>
            <w:tcW w:w="0" w:type="dxa"/>
            <w:vAlign w:val="bottom"/>
          </w:tcPr>
          <w:p>
            <w:pPr>
              <w:spacing w:after="0" w:line="20" w:lineRule="exact"/>
              <w:rPr>
                <w:sz w:val="1"/>
                <w:szCs w:val="1"/>
                <w:color w:val="auto"/>
              </w:rPr>
            </w:pPr>
          </w:p>
        </w:tc>
      </w:tr>
      <w:tr>
        <w:trPr>
          <w:trHeight w:val="120"/>
        </w:trPr>
        <w:tc>
          <w:tcPr>
            <w:tcW w:w="12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Interest Margin</w:t>
            </w: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71"/>
        </w:trPr>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Noninterest-Bearing</w:t>
            </w: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5,398.7</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5,297.2</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5,359.9</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5,412.6</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Demand Deposits</w:t>
            </w: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569.8</w:t>
            </w:r>
          </w:p>
        </w:tc>
        <w:tc>
          <w:tcPr>
            <w:tcW w:w="26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571.6</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597.2</w:t>
            </w:r>
          </w:p>
        </w:tc>
        <w:tc>
          <w:tcPr>
            <w:tcW w:w="2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615.1</w:t>
            </w:r>
          </w:p>
        </w:tc>
        <w:tc>
          <w:tcPr>
            <w:tcW w:w="2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Shareholders' Equity</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1,748.6</w:t>
            </w: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1,621.9</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1,709.8</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1,492.6</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600" w:type="dxa"/>
            <w:vAlign w:val="bottom"/>
            <w:tcBorders>
              <w:bottom w:val="single" w:sz="8" w:color="CFF0FC"/>
            </w:tcBorders>
          </w:tcPr>
          <w:p>
            <w:pPr>
              <w:spacing w:after="0"/>
              <w:rPr>
                <w:sz w:val="2"/>
                <w:szCs w:val="2"/>
                <w:color w:val="auto"/>
              </w:rPr>
            </w:pPr>
          </w:p>
        </w:tc>
        <w:tc>
          <w:tcPr>
            <w:tcW w:w="84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620" w:type="dxa"/>
            <w:vAlign w:val="bottom"/>
            <w:tcBorders>
              <w:bottom w:val="single" w:sz="8" w:color="CFF0FC"/>
            </w:tcBorders>
          </w:tcPr>
          <w:p>
            <w:pPr>
              <w:spacing w:after="0"/>
              <w:rPr>
                <w:sz w:val="2"/>
                <w:szCs w:val="2"/>
                <w:color w:val="auto"/>
              </w:rPr>
            </w:pPr>
          </w:p>
        </w:tc>
        <w:tc>
          <w:tcPr>
            <w:tcW w:w="8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23,995.0</w:t>
            </w:r>
          </w:p>
        </w:tc>
        <w:tc>
          <w:tcPr>
            <w:tcW w:w="2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23,338.5</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23,744.7</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23,255.4</w:t>
            </w: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60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vMerge w:val="continue"/>
            <w:shd w:val="clear" w:color="auto" w:fill="CFF0FC"/>
          </w:tcPr>
          <w:p>
            <w:pPr>
              <w:spacing w:after="0"/>
              <w:rPr>
                <w:sz w:val="15"/>
                <w:szCs w:val="15"/>
                <w:color w:val="auto"/>
              </w:rPr>
            </w:pPr>
          </w:p>
        </w:tc>
        <w:tc>
          <w:tcPr>
            <w:tcW w:w="600" w:type="dxa"/>
            <w:vAlign w:val="bottom"/>
            <w:tcBorders>
              <w:bottom w:val="single" w:sz="8" w:color="auto"/>
            </w:tcBorders>
            <w:vMerge w:val="continue"/>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620" w:type="dxa"/>
            <w:vAlign w:val="bottom"/>
            <w:tcBorders>
              <w:bottom w:val="single" w:sz="8" w:color="auto"/>
            </w:tcBorders>
            <w:vMerge w:val="continue"/>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62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400" w:hanging="392"/>
        <w:spacing w:after="0"/>
        <w:tabs>
          <w:tab w:leader="none" w:pos="400"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Due to rounding, the amounts presented in this table may not tie to other amounts presented elsewhere in this report.</w:t>
      </w:r>
    </w:p>
    <w:p>
      <w:pPr>
        <w:ind w:left="420" w:right="100" w:hanging="412"/>
        <w:spacing w:after="0" w:line="213" w:lineRule="auto"/>
        <w:tabs>
          <w:tab w:leader="none" w:pos="407" w:val="left"/>
        </w:tabs>
        <w:numPr>
          <w:ilvl w:val="0"/>
          <w:numId w:val="2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Interest income includes taxable-equivalent basis adjustments, based upon a federal statutory tax rate of 21%, of $1.7 million and $4.8 million for the three and nine months ended September 30, 2025, respectively, and $1.0 million and $2.5 million for the three and nine months ended September 30, 2024, respectively.</w:t>
      </w:r>
    </w:p>
    <w:p>
      <w:pPr>
        <w:ind w:left="400" w:hanging="392"/>
        <w:spacing w:after="0" w:line="216" w:lineRule="auto"/>
        <w:tabs>
          <w:tab w:leader="none" w:pos="400" w:val="left"/>
        </w:tabs>
        <w:numPr>
          <w:ilvl w:val="0"/>
          <w:numId w:val="2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Non-performing loans and leases are included in the respective average loan and lease balances.</w:t>
      </w:r>
    </w:p>
    <w:p>
      <w:pPr>
        <w:sectPr>
          <w:pgSz w:w="11900" w:h="16838" w:orient="portrait"/>
          <w:cols w:equalWidth="0" w:num="1">
            <w:col w:w="11240"/>
          </w:cols>
          <w:pgMar w:left="320" w:top="117" w:right="33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Analysis of Change in Net Interest Income - Taxable-Equivalent Basis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2</w:t>
            </w:r>
          </w:p>
        </w:tc>
        <w:tc>
          <w:tcPr>
            <w:tcW w:w="0" w:type="dxa"/>
            <w:vAlign w:val="bottom"/>
          </w:tcPr>
          <w:p>
            <w:pPr>
              <w:spacing w:after="0"/>
              <w:rPr>
                <w:sz w:val="1"/>
                <w:szCs w:val="1"/>
                <w:color w:val="auto"/>
              </w:rPr>
            </w:pPr>
          </w:p>
        </w:tc>
      </w:tr>
      <w:tr>
        <w:trPr>
          <w:trHeight w:val="193"/>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6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00" w:type="dxa"/>
            <w:vAlign w:val="bottom"/>
          </w:tcPr>
          <w:p>
            <w:pPr>
              <w:spacing w:after="0"/>
              <w:rPr>
                <w:sz w:val="16"/>
                <w:szCs w:val="16"/>
                <w:color w:val="auto"/>
              </w:rPr>
            </w:pPr>
          </w:p>
        </w:tc>
        <w:tc>
          <w:tcPr>
            <w:tcW w:w="3160" w:type="dxa"/>
            <w:vAlign w:val="bottom"/>
            <w:gridSpan w:val="5"/>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Compared to September 30, 2024</w:t>
            </w:r>
          </w:p>
        </w:tc>
        <w:tc>
          <w:tcPr>
            <w:tcW w:w="200" w:type="dxa"/>
            <w:vAlign w:val="bottom"/>
          </w:tcPr>
          <w:p>
            <w:pPr>
              <w:spacing w:after="0"/>
              <w:rPr>
                <w:sz w:val="19"/>
                <w:szCs w:val="19"/>
                <w:color w:val="auto"/>
              </w:rPr>
            </w:pPr>
          </w:p>
        </w:tc>
        <w:tc>
          <w:tcPr>
            <w:tcW w:w="3160" w:type="dxa"/>
            <w:vAlign w:val="bottom"/>
            <w:gridSpan w:val="5"/>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Compared to September 30, 2024</w:t>
            </w:r>
          </w:p>
        </w:tc>
        <w:tc>
          <w:tcPr>
            <w:tcW w:w="0" w:type="dxa"/>
            <w:vAlign w:val="bottom"/>
          </w:tcPr>
          <w:p>
            <w:pPr>
              <w:spacing w:after="0"/>
              <w:rPr>
                <w:sz w:val="1"/>
                <w:szCs w:val="1"/>
                <w:color w:val="auto"/>
              </w:rPr>
            </w:pPr>
          </w:p>
        </w:tc>
      </w:tr>
      <w:tr>
        <w:trPr>
          <w:trHeight w:val="37"/>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4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6"/>
                <w:szCs w:val="16"/>
                <w:color w:val="auto"/>
              </w:rPr>
            </w:pPr>
          </w:p>
        </w:tc>
        <w:tc>
          <w:tcPr>
            <w:tcW w:w="8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 xml:space="preserve">Rate </w:t>
            </w:r>
            <w:r>
              <w:rPr>
                <w:rFonts w:ascii="Times New Roman" w:cs="Times New Roman" w:eastAsia="Times New Roman" w:hAnsi="Times New Roman"/>
                <w:sz w:val="9"/>
                <w:szCs w:val="9"/>
                <w:b w:val="1"/>
                <w:bCs w:val="1"/>
                <w:color w:val="auto"/>
                <w:w w:val="99"/>
              </w:rPr>
              <w:t>1</w:t>
            </w:r>
          </w:p>
        </w:tc>
        <w:tc>
          <w:tcPr>
            <w:tcW w:w="26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9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xml:space="preserve">Volume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6"/>
                <w:szCs w:val="16"/>
                <w:color w:val="auto"/>
              </w:rPr>
            </w:pPr>
          </w:p>
        </w:tc>
        <w:tc>
          <w:tcPr>
            <w:tcW w:w="8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 xml:space="preserve">Rate </w:t>
            </w:r>
            <w:r>
              <w:rPr>
                <w:rFonts w:ascii="Times New Roman" w:cs="Times New Roman" w:eastAsia="Times New Roman" w:hAnsi="Times New Roman"/>
                <w:sz w:val="9"/>
                <w:szCs w:val="9"/>
                <w:b w:val="1"/>
                <w:bCs w:val="1"/>
                <w:color w:val="auto"/>
                <w:w w:val="99"/>
              </w:rPr>
              <w:t>1</w:t>
            </w:r>
          </w:p>
        </w:tc>
        <w:tc>
          <w:tcPr>
            <w:tcW w:w="260" w:type="dxa"/>
            <w:vAlign w:val="bottom"/>
          </w:tcPr>
          <w:p>
            <w:pPr>
              <w:spacing w:after="0"/>
              <w:rPr>
                <w:sz w:val="16"/>
                <w:szCs w:val="16"/>
                <w:color w:val="auto"/>
              </w:rPr>
            </w:pPr>
          </w:p>
        </w:tc>
        <w:tc>
          <w:tcPr>
            <w:tcW w:w="8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4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Income:</w:t>
            </w: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1.0</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5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Investment Securities</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Available-for-Sale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Taxable</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center"/>
              <w:ind w:left="520"/>
              <w:spacing w:after="0"/>
              <w:rPr>
                <w:sz w:val="20"/>
                <w:szCs w:val="20"/>
                <w:color w:val="auto"/>
              </w:rPr>
            </w:pPr>
            <w:r>
              <w:rPr>
                <w:rFonts w:ascii="Times New Roman" w:cs="Times New Roman" w:eastAsia="Times New Roman" w:hAnsi="Times New Roman"/>
                <w:sz w:val="16"/>
                <w:szCs w:val="16"/>
                <w:color w:val="auto"/>
                <w:w w:val="99"/>
              </w:rPr>
              <w:t>6.8</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33"/>
        </w:trPr>
        <w:tc>
          <w:tcPr>
            <w:tcW w:w="4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Non-Taxable</w:t>
            </w:r>
          </w:p>
        </w:tc>
        <w:tc>
          <w:tcPr>
            <w:tcW w:w="200" w:type="dxa"/>
            <w:vAlign w:val="bottom"/>
          </w:tcPr>
          <w:p>
            <w:pPr>
              <w:spacing w:after="0"/>
              <w:rPr>
                <w:sz w:val="20"/>
                <w:szCs w:val="20"/>
                <w:color w:val="auto"/>
              </w:rPr>
            </w:pPr>
          </w:p>
        </w:tc>
        <w:tc>
          <w:tcPr>
            <w:tcW w:w="9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0.3</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53"/>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Held-to-Maturity</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Taxable</w:t>
            </w:r>
          </w:p>
        </w:tc>
        <w:tc>
          <w:tcPr>
            <w:tcW w:w="200" w:type="dxa"/>
            <w:vAlign w:val="bottom"/>
          </w:tcPr>
          <w:p>
            <w:pPr>
              <w:spacing w:after="0"/>
              <w:rPr>
                <w:sz w:val="20"/>
                <w:szCs w:val="20"/>
                <w:color w:val="auto"/>
              </w:rPr>
            </w:pPr>
          </w:p>
        </w:tc>
        <w:tc>
          <w:tcPr>
            <w:tcW w:w="92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46"/>
        </w:trPr>
        <w:tc>
          <w:tcPr>
            <w:tcW w:w="442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Non-Taxable</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center"/>
              <w:ind w:left="520"/>
              <w:spacing w:after="0"/>
              <w:rPr>
                <w:sz w:val="20"/>
                <w:szCs w:val="20"/>
                <w:color w:val="auto"/>
              </w:rPr>
            </w:pPr>
            <w:r>
              <w:rPr>
                <w:rFonts w:ascii="Times New Roman" w:cs="Times New Roman" w:eastAsia="Times New Roman" w:hAnsi="Times New Roman"/>
                <w:sz w:val="16"/>
                <w:szCs w:val="16"/>
                <w:color w:val="auto"/>
                <w:w w:val="99"/>
              </w:rPr>
              <w:t>0.0</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Investment Securities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6"/>
                <w:szCs w:val="16"/>
                <w:color w:val="auto"/>
                <w:w w:val="99"/>
              </w:rPr>
              <w:t>5.5</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3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and Leases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center"/>
              <w:ind w:left="520"/>
              <w:spacing w:after="0"/>
              <w:rPr>
                <w:sz w:val="20"/>
                <w:szCs w:val="20"/>
                <w:color w:val="auto"/>
              </w:rPr>
            </w:pPr>
            <w:r>
              <w:rPr>
                <w:rFonts w:ascii="Times New Roman" w:cs="Times New Roman" w:eastAsia="Times New Roman" w:hAnsi="Times New Roman"/>
                <w:sz w:val="16"/>
                <w:szCs w:val="16"/>
                <w:color w:val="auto"/>
                <w:w w:val="99"/>
              </w:rPr>
              <w:t>3.7</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33"/>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00" w:type="dxa"/>
            <w:vAlign w:val="bottom"/>
          </w:tcPr>
          <w:p>
            <w:pPr>
              <w:spacing w:after="0"/>
              <w:rPr>
                <w:sz w:val="20"/>
                <w:szCs w:val="20"/>
                <w:color w:val="auto"/>
              </w:rPr>
            </w:pPr>
          </w:p>
        </w:tc>
        <w:tc>
          <w:tcPr>
            <w:tcW w:w="92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53"/>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center"/>
              <w:ind w:left="520"/>
              <w:spacing w:after="0"/>
              <w:rPr>
                <w:sz w:val="20"/>
                <w:szCs w:val="20"/>
                <w:color w:val="auto"/>
              </w:rPr>
            </w:pPr>
            <w:r>
              <w:rPr>
                <w:rFonts w:ascii="Times New Roman" w:cs="Times New Roman" w:eastAsia="Times New Roman" w:hAnsi="Times New Roman"/>
                <w:sz w:val="16"/>
                <w:szCs w:val="16"/>
                <w:color w:val="auto"/>
                <w:w w:val="99"/>
              </w:rPr>
              <w:t>0.8</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33"/>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Lease Financing</w:t>
            </w:r>
          </w:p>
        </w:tc>
        <w:tc>
          <w:tcPr>
            <w:tcW w:w="200" w:type="dxa"/>
            <w:vAlign w:val="bottom"/>
          </w:tcPr>
          <w:p>
            <w:pPr>
              <w:spacing w:after="0"/>
              <w:rPr>
                <w:sz w:val="20"/>
                <w:szCs w:val="20"/>
                <w:color w:val="auto"/>
              </w:rPr>
            </w:pPr>
          </w:p>
        </w:tc>
        <w:tc>
          <w:tcPr>
            <w:tcW w:w="9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0.5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53"/>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center"/>
              <w:ind w:left="520"/>
              <w:spacing w:after="0"/>
              <w:rPr>
                <w:sz w:val="20"/>
                <w:szCs w:val="20"/>
                <w:color w:val="auto"/>
              </w:rPr>
            </w:pPr>
            <w:r>
              <w:rPr>
                <w:rFonts w:ascii="Times New Roman" w:cs="Times New Roman" w:eastAsia="Times New Roman" w:hAnsi="Times New Roman"/>
                <w:sz w:val="16"/>
                <w:szCs w:val="16"/>
                <w:color w:val="auto"/>
                <w:w w:val="99"/>
              </w:rPr>
              <w:t>0.4</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3"/>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200" w:type="dxa"/>
            <w:vAlign w:val="bottom"/>
          </w:tcPr>
          <w:p>
            <w:pPr>
              <w:spacing w:after="0"/>
              <w:rPr>
                <w:sz w:val="20"/>
                <w:szCs w:val="20"/>
                <w:color w:val="auto"/>
              </w:rPr>
            </w:pPr>
          </w:p>
        </w:tc>
        <w:tc>
          <w:tcPr>
            <w:tcW w:w="920" w:type="dxa"/>
            <w:vAlign w:val="bottom"/>
          </w:tcPr>
          <w:p>
            <w:pPr>
              <w:jc w:val="center"/>
              <w:ind w:left="480"/>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53"/>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6"/>
                <w:szCs w:val="16"/>
                <w:color w:val="auto"/>
                <w:w w:val="99"/>
              </w:rPr>
              <w:t>0.3</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Loans and Leases</w:t>
            </w: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center"/>
              <w:ind w:left="520"/>
              <w:spacing w:after="0"/>
              <w:rPr>
                <w:sz w:val="20"/>
                <w:szCs w:val="20"/>
                <w:color w:val="auto"/>
              </w:rPr>
            </w:pPr>
            <w:r>
              <w:rPr>
                <w:rFonts w:ascii="Times New Roman" w:cs="Times New Roman" w:eastAsia="Times New Roman" w:hAnsi="Times New Roman"/>
                <w:sz w:val="16"/>
                <w:szCs w:val="16"/>
                <w:color w:val="auto"/>
                <w:w w:val="99"/>
              </w:rPr>
              <w:t>3.0</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6"/>
                <w:szCs w:val="16"/>
                <w:color w:val="auto"/>
                <w:w w:val="99"/>
              </w:rPr>
              <w:t>0.1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Interest Income</w:t>
            </w: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center"/>
              <w:ind w:left="520"/>
              <w:spacing w:after="0"/>
              <w:rPr>
                <w:sz w:val="20"/>
                <w:szCs w:val="20"/>
                <w:color w:val="auto"/>
              </w:rPr>
            </w:pPr>
            <w:r>
              <w:rPr>
                <w:rFonts w:ascii="Times New Roman" w:cs="Times New Roman" w:eastAsia="Times New Roman" w:hAnsi="Times New Roman"/>
                <w:sz w:val="16"/>
                <w:szCs w:val="16"/>
                <w:color w:val="auto"/>
                <w:w w:val="99"/>
              </w:rPr>
              <w:t>9.5</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Interest Expense:</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Interest-Bearing Deposits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Demand</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center"/>
              <w:ind w:left="520"/>
              <w:spacing w:after="0"/>
              <w:rPr>
                <w:sz w:val="20"/>
                <w:szCs w:val="20"/>
                <w:color w:val="auto"/>
              </w:rPr>
            </w:pPr>
            <w:r>
              <w:rPr>
                <w:rFonts w:ascii="Times New Roman" w:cs="Times New Roman" w:eastAsia="Times New Roman" w:hAnsi="Times New Roman"/>
                <w:sz w:val="16"/>
                <w:szCs w:val="16"/>
                <w:color w:val="auto"/>
                <w:w w:val="99"/>
              </w:rPr>
              <w:t>0.0</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3"/>
        </w:trPr>
        <w:tc>
          <w:tcPr>
            <w:tcW w:w="4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w:t>
            </w:r>
          </w:p>
        </w:tc>
        <w:tc>
          <w:tcPr>
            <w:tcW w:w="200" w:type="dxa"/>
            <w:vAlign w:val="bottom"/>
          </w:tcPr>
          <w:p>
            <w:pPr>
              <w:spacing w:after="0"/>
              <w:rPr>
                <w:sz w:val="20"/>
                <w:szCs w:val="20"/>
                <w:color w:val="auto"/>
              </w:rPr>
            </w:pPr>
          </w:p>
        </w:tc>
        <w:tc>
          <w:tcPr>
            <w:tcW w:w="920" w:type="dxa"/>
            <w:vAlign w:val="bottom"/>
          </w:tcPr>
          <w:p>
            <w:pPr>
              <w:jc w:val="center"/>
              <w:ind w:left="520"/>
              <w:spacing w:after="0"/>
              <w:rPr>
                <w:sz w:val="20"/>
                <w:szCs w:val="20"/>
                <w:color w:val="auto"/>
              </w:rPr>
            </w:pPr>
            <w:r>
              <w:rPr>
                <w:rFonts w:ascii="Times New Roman" w:cs="Times New Roman" w:eastAsia="Times New Roman" w:hAnsi="Times New Roman"/>
                <w:sz w:val="16"/>
                <w:szCs w:val="16"/>
                <w:color w:val="auto"/>
                <w:w w:val="99"/>
              </w:rPr>
              <w:t>2.7</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46"/>
        </w:trPr>
        <w:tc>
          <w:tcPr>
            <w:tcW w:w="442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Time</w:t>
            </w: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center"/>
              <w:ind w:left="520"/>
              <w:spacing w:after="0"/>
              <w:rPr>
                <w:sz w:val="20"/>
                <w:szCs w:val="20"/>
                <w:color w:val="auto"/>
              </w:rPr>
            </w:pPr>
            <w:r>
              <w:rPr>
                <w:rFonts w:ascii="Times New Roman" w:cs="Times New Roman" w:eastAsia="Times New Roman" w:hAnsi="Times New Roman"/>
                <w:sz w:val="16"/>
                <w:szCs w:val="16"/>
                <w:color w:val="auto"/>
                <w:w w:val="99"/>
              </w:rPr>
              <w:t>0.6</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Interest-Bearing Deposits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6"/>
                <w:szCs w:val="16"/>
                <w:color w:val="auto"/>
                <w:w w:val="99"/>
              </w:rPr>
              <w:t>3.3</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43"/>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center"/>
              <w:ind w:left="480"/>
              <w:spacing w:after="0"/>
              <w:rPr>
                <w:sz w:val="20"/>
                <w:szCs w:val="20"/>
                <w:color w:val="auto"/>
              </w:rPr>
            </w:pPr>
            <w:r>
              <w:rPr>
                <w:rFonts w:ascii="Times New Roman" w:cs="Times New Roman" w:eastAsia="Times New Roman" w:hAnsi="Times New Roman"/>
                <w:sz w:val="16"/>
                <w:szCs w:val="16"/>
                <w:color w:val="auto"/>
              </w:rPr>
              <w:t>(0.5)</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Debt</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6"/>
                <w:szCs w:val="16"/>
                <w:color w:val="auto"/>
                <w:w w:val="99"/>
              </w:rPr>
              <w:t>0.0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 Change in Interest Expense</w:t>
            </w: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center"/>
              <w:ind w:left="520"/>
              <w:spacing w:after="0"/>
              <w:rPr>
                <w:sz w:val="20"/>
                <w:szCs w:val="20"/>
                <w:color w:val="auto"/>
              </w:rPr>
            </w:pPr>
            <w:r>
              <w:rPr>
                <w:rFonts w:ascii="Times New Roman" w:cs="Times New Roman" w:eastAsia="Times New Roman" w:hAnsi="Times New Roman"/>
                <w:sz w:val="16"/>
                <w:szCs w:val="16"/>
                <w:color w:val="auto"/>
                <w:w w:val="99"/>
              </w:rPr>
              <w:t>2.8</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257"/>
        </w:trPr>
        <w:tc>
          <w:tcPr>
            <w:tcW w:w="44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Change in Net Interest Income</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center"/>
              <w:ind w:left="520"/>
              <w:spacing w:after="0"/>
              <w:rPr>
                <w:sz w:val="20"/>
                <w:szCs w:val="20"/>
                <w:color w:val="auto"/>
              </w:rPr>
            </w:pPr>
            <w:r>
              <w:rPr>
                <w:rFonts w:ascii="Times New Roman" w:cs="Times New Roman" w:eastAsia="Times New Roman" w:hAnsi="Times New Roman"/>
                <w:sz w:val="16"/>
                <w:szCs w:val="16"/>
                <w:color w:val="auto"/>
                <w:w w:val="99"/>
              </w:rPr>
              <w:t>6.7</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20" w:right="100" w:hanging="412"/>
        <w:spacing w:after="0" w:line="230" w:lineRule="auto"/>
        <w:tabs>
          <w:tab w:leader="none" w:pos="413"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change in interest income or expense due to both rate and volume has been allocated between the factors in proportion to the relationship of the absolute dollar amounts of the change in each.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w:t>
      </w:r>
    </w:p>
    <w:p>
      <w:pPr>
        <w:spacing w:after="0" w:line="187"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pacing w:after="0" w:line="9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average balance of our earning assets for the three and nine months ended September 30, 2025 increased by $624.6 million or 3% and $452.4 million or 2%, respectively, compared to the same periods in 2024. These increases were due to increases in the average balances of available-for-sale investment securities and commercial mortgage loans. As compared to the same periods last year, yields on our investment securities portfolio increased by 13 and 9 basis points during the three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and nine months ended September 30, 2025, respectively, primarily due to the amortization of lower yielding investments being reinvested into new investments at higher current interest rates. This increase was partially offset by lower income earned from interest rate swaps that hedge a portion of our available-for-sale (“AFS”) securities portfolio. As compared to the same periods last year, yields on our loan and lease portfolio increased by 4 and 6 basis points during the three and nine months ended September 30, 2025, respectively, primarily due to higher rates on home equity lines and automobile loans originated, partially offset by the payoffs of higher yielding commercial mortgage and commercial and industrial loans.</w:t>
      </w:r>
    </w:p>
    <w:p>
      <w:pPr>
        <w:spacing w:after="0" w:line="1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average balance of our interest-bearing liabilities for the three and nine months ended September 30, 2025 increased by $430.1 million or 3% and $342.7 million or 2%, respectively, compared to the same periods in 2024 primarily due to an increase in savings deposits. As compared to the same periods last year, the cost of our interest-bearing liabilities decreased by 37 and 30 basis points during the three and nine months ended September 30, 2025, respectively, primarily due to a decrease in the prevailing interest rate environment, which was driven by 125 basis points of interest rate cuts by the Federal Open Market Committee from September 2024 through September 2025.</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3 presents the components of noninterest income.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3</w:t>
            </w:r>
          </w:p>
        </w:tc>
        <w:tc>
          <w:tcPr>
            <w:tcW w:w="0" w:type="dxa"/>
            <w:vAlign w:val="bottom"/>
          </w:tcPr>
          <w:p>
            <w:pPr>
              <w:spacing w:after="0"/>
              <w:rPr>
                <w:sz w:val="1"/>
                <w:szCs w:val="1"/>
                <w:color w:val="auto"/>
              </w:rPr>
            </w:pPr>
          </w:p>
        </w:tc>
      </w:tr>
      <w:tr>
        <w:trPr>
          <w:trHeight w:val="193"/>
        </w:trPr>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60" w:type="dxa"/>
            <w:vAlign w:val="bottom"/>
            <w:gridSpan w:val="6"/>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120" w:type="dxa"/>
            <w:vAlign w:val="bottom"/>
            <w:gridSpan w:val="5"/>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76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220" w:type="dxa"/>
            <w:vAlign w:val="bottom"/>
          </w:tcPr>
          <w:p>
            <w:pPr>
              <w:spacing w:after="0"/>
              <w:rPr>
                <w:sz w:val="16"/>
                <w:szCs w:val="16"/>
                <w:color w:val="auto"/>
              </w:rPr>
            </w:pPr>
          </w:p>
        </w:tc>
        <w:tc>
          <w:tcPr>
            <w:tcW w:w="7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7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37"/>
        </w:trPr>
        <w:tc>
          <w:tcPr>
            <w:tcW w:w="2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Fees, Exchange, and Other Service Charges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15,219</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14,945</w:t>
            </w:r>
          </w:p>
        </w:tc>
        <w:tc>
          <w:tcPr>
            <w:tcW w:w="340" w:type="dxa"/>
            <w:vAlign w:val="bottom"/>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274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44,039</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42,837</w:t>
            </w:r>
          </w:p>
        </w:tc>
        <w:tc>
          <w:tcPr>
            <w:tcW w:w="340" w:type="dxa"/>
            <w:vAlign w:val="bottom"/>
            <w:shd w:val="clear" w:color="auto" w:fill="CCEEFF"/>
          </w:tcPr>
          <w:p>
            <w:pPr>
              <w:jc w:val="center"/>
              <w:ind w:right="1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40"/>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Trust and Asset Management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12,598</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11,916</w:t>
            </w:r>
          </w:p>
        </w:tc>
        <w:tc>
          <w:tcPr>
            <w:tcW w:w="340" w:type="dxa"/>
            <w:vAlign w:val="bottom"/>
          </w:tcPr>
          <w:p>
            <w:pPr>
              <w:spacing w:after="0"/>
              <w:rPr>
                <w:sz w:val="20"/>
                <w:szCs w:val="20"/>
                <w:color w:val="auto"/>
              </w:rPr>
            </w:pPr>
          </w:p>
        </w:tc>
        <w:tc>
          <w:tcPr>
            <w:tcW w:w="6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682</w:t>
            </w: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36,436</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35,328</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Charges on Deposit Accounts</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8,510</w:t>
            </w: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8,075</w:t>
            </w: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435</w:t>
            </w: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24,888</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23,752</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40"/>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Bank-Owned Life Insurance</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340" w:type="dxa"/>
            <w:vAlign w:val="bottom"/>
          </w:tcPr>
          <w:p>
            <w:pPr>
              <w:spacing w:after="0"/>
              <w:rPr>
                <w:sz w:val="20"/>
                <w:szCs w:val="20"/>
                <w:color w:val="auto"/>
              </w:rPr>
            </w:pPr>
          </w:p>
        </w:tc>
        <w:tc>
          <w:tcPr>
            <w:tcW w:w="660" w:type="dxa"/>
            <w:vAlign w:val="bottom"/>
          </w:tcPr>
          <w:p>
            <w:pPr>
              <w:jc w:val="center"/>
              <w:ind w:left="179"/>
              <w:spacing w:after="0"/>
              <w:rPr>
                <w:sz w:val="20"/>
                <w:szCs w:val="20"/>
                <w:color w:val="auto"/>
              </w:rPr>
            </w:pPr>
            <w:r>
              <w:rPr>
                <w:rFonts w:ascii="Times New Roman" w:cs="Times New Roman" w:eastAsia="Times New Roman" w:hAnsi="Times New Roman"/>
                <w:sz w:val="16"/>
                <w:szCs w:val="16"/>
                <w:color w:val="auto"/>
                <w:w w:val="99"/>
              </w:rPr>
              <w:t>148</w:t>
            </w: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11,006</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10,285</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Annuity and Insurance</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w:t>
            </w:r>
          </w:p>
        </w:tc>
        <w:tc>
          <w:tcPr>
            <w:tcW w:w="3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(365)</w:t>
            </w:r>
          </w:p>
        </w:tc>
        <w:tc>
          <w:tcPr>
            <w:tcW w:w="11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Banking</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340" w:type="dxa"/>
            <w:vAlign w:val="bottom"/>
          </w:tcPr>
          <w:p>
            <w:pPr>
              <w:spacing w:after="0"/>
              <w:rPr>
                <w:sz w:val="20"/>
                <w:szCs w:val="20"/>
                <w:color w:val="auto"/>
              </w:rPr>
            </w:pPr>
          </w:p>
        </w:tc>
        <w:tc>
          <w:tcPr>
            <w:tcW w:w="660" w:type="dxa"/>
            <w:vAlign w:val="bottom"/>
          </w:tcPr>
          <w:p>
            <w:pPr>
              <w:jc w:val="center"/>
              <w:ind w:left="139"/>
              <w:spacing w:after="0"/>
              <w:rPr>
                <w:sz w:val="20"/>
                <w:szCs w:val="20"/>
                <w:color w:val="auto"/>
              </w:rPr>
            </w:pPr>
            <w:r>
              <w:rPr>
                <w:rFonts w:ascii="Times New Roman" w:cs="Times New Roman" w:eastAsia="Times New Roman" w:hAnsi="Times New Roman"/>
                <w:sz w:val="16"/>
                <w:szCs w:val="16"/>
                <w:color w:val="auto"/>
              </w:rPr>
              <w:t>(282)</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2,743</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1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Securities Losses, Net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(1,945)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rPr>
              <w:t>(842)</w:t>
            </w: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(4,678)</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1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40"/>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5,902</w:t>
            </w: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w w:val="99"/>
              </w:rPr>
              <w:t>806</w:t>
            </w:r>
          </w:p>
        </w:tc>
        <w:tc>
          <w:tcPr>
            <w:tcW w:w="11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16,298</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14,225</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11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58"/>
        </w:trPr>
        <w:tc>
          <w:tcPr>
            <w:tcW w:w="2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45,966</w:t>
            </w:r>
          </w:p>
        </w:tc>
        <w:tc>
          <w:tcPr>
            <w:tcW w:w="3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45,110</w:t>
            </w:r>
          </w:p>
        </w:tc>
        <w:tc>
          <w:tcPr>
            <w:tcW w:w="340" w:type="dxa"/>
            <w:vAlign w:val="bottom"/>
            <w:tcBorders>
              <w:bottom w:val="single" w:sz="8" w:color="auto"/>
            </w:tcBorders>
            <w:shd w:val="clear" w:color="auto" w:fill="CCEEFF"/>
          </w:tcPr>
          <w:p>
            <w:pPr>
              <w:jc w:val="center"/>
              <w:ind w:right="14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856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134,819</w:t>
            </w: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129,482</w:t>
            </w:r>
          </w:p>
        </w:tc>
        <w:tc>
          <w:tcPr>
            <w:tcW w:w="340" w:type="dxa"/>
            <w:vAlign w:val="bottom"/>
            <w:tcBorders>
              <w:bottom w:val="single" w:sz="8" w:color="auto"/>
            </w:tcBorders>
            <w:shd w:val="clear" w:color="auto" w:fill="CCEEFF"/>
          </w:tcPr>
          <w:p>
            <w:pPr>
              <w:jc w:val="center"/>
              <w:ind w:right="1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Investment securities losses increased by $0.8 million or 76.3% in the third quarter of 2025 compared to the same period last year, primarily due to higher fees paid to counterparties for Visa Class B share conversion rate expense during the third quarter of 2025. In October 2025, we initiated the process of repositioning a portion of our AFS securities. As a result, we expect to realize a loss on the sale of certain securities during the quarter ending December 31, 2025 that is expected to range from $16 million to $17 million.</w:t>
      </w:r>
    </w:p>
    <w:p>
      <w:pPr>
        <w:spacing w:after="0" w:line="13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Other income increased by $0.8 million or 15.8% in the third quarter of 2025 compared to the same period last year, primarily due to an increase in customer derivative transactions during the quarter. Other income increased by $2.1 million or 14.6% for the first nine months of 2025 compared to the same period last year, primarily due to an increase in customer derivative transactions, a gain on sale of an other real estate owned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OREO”) property, and the recovery of a previously charged-off bank-owned life insurance policy.</w:t>
      </w:r>
    </w:p>
    <w:p>
      <w:pPr>
        <w:spacing w:after="0" w:line="13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October 1, 2025, we sold the economic interests of our merchant services portfolio. As a result of this transaction, we will recognize a one-time gain of approximately $18 million during the quarter ending December 31, 2025. The noninterest income generated from our merchant services portfolio during the three and nine months ended September 30, 2025 was $3.1 million and $8.7 million, respectively. These amounts were recognized in Fees, Exchange, and Other Service Charges.</w:t>
      </w:r>
    </w:p>
    <w:p>
      <w:pPr>
        <w:spacing w:after="0" w:line="15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Annuity and insurance decreased by $0.4 million or 25.0% in the third quarter of 2025 compared to the same period last year, primarily due to the onboarding of our new broker-dealer service provider during the quarter.</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Mortgage banking decreased by $0.3 million or 23.7% in the third quarter of 2025 compared to the same period last year, primarily due to a decrease in the amount of loans sold to third parties.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4 presents the components of noninterest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4</w:t>
            </w:r>
          </w:p>
        </w:tc>
        <w:tc>
          <w:tcPr>
            <w:tcW w:w="0" w:type="dxa"/>
            <w:vAlign w:val="bottom"/>
          </w:tcPr>
          <w:p>
            <w:pPr>
              <w:spacing w:after="0"/>
              <w:rPr>
                <w:sz w:val="1"/>
                <w:szCs w:val="1"/>
                <w:color w:val="auto"/>
              </w:rPr>
            </w:pPr>
          </w:p>
        </w:tc>
      </w:tr>
      <w:tr>
        <w:trPr>
          <w:trHeight w:val="193"/>
        </w:trPr>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60" w:type="dxa"/>
            <w:vAlign w:val="bottom"/>
            <w:gridSpan w:val="6"/>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140" w:type="dxa"/>
            <w:vAlign w:val="bottom"/>
            <w:gridSpan w:val="5"/>
          </w:tcPr>
          <w:p>
            <w:pPr>
              <w:jc w:val="center"/>
              <w:ind w:right="8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220" w:type="dxa"/>
            <w:vAlign w:val="bottom"/>
          </w:tcPr>
          <w:p>
            <w:pPr>
              <w:spacing w:after="0"/>
              <w:rPr>
                <w:sz w:val="16"/>
                <w:szCs w:val="16"/>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37"/>
        </w:trPr>
        <w:tc>
          <w:tcPr>
            <w:tcW w:w="2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Salaries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40,428</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38,993</w:t>
            </w:r>
          </w:p>
        </w:tc>
        <w:tc>
          <w:tcPr>
            <w:tcW w:w="340" w:type="dxa"/>
            <w:vAlign w:val="bottom"/>
            <w:shd w:val="clear" w:color="auto" w:fill="CCEEFF"/>
          </w:tcPr>
          <w:p>
            <w:pPr>
              <w:jc w:val="center"/>
              <w:ind w:right="1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118,314</w:t>
            </w:r>
          </w:p>
        </w:tc>
        <w:tc>
          <w:tcPr>
            <w:tcW w:w="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115,686</w:t>
            </w:r>
          </w:p>
        </w:tc>
        <w:tc>
          <w:tcPr>
            <w:tcW w:w="320" w:type="dxa"/>
            <w:vAlign w:val="bottom"/>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40"/>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Incentive Compensation</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4,280</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14,920</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11,285</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3,635</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Retirement and Other Benefits</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3,692</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12,850</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11,952</w:t>
            </w: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40"/>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11,148</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10,459</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Medical, Dental, and Life Insurance</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12,055</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9,935</w:t>
            </w: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40"/>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Payroll Taxes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10,762</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Separation Expense</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148.3</w:t>
            </w:r>
          </w:p>
        </w:tc>
        <w:tc>
          <w:tcPr>
            <w:tcW w:w="0" w:type="dxa"/>
            <w:vAlign w:val="bottom"/>
          </w:tcPr>
          <w:p>
            <w:pPr>
              <w:spacing w:after="0"/>
              <w:rPr>
                <w:sz w:val="1"/>
                <w:szCs w:val="1"/>
                <w:color w:val="auto"/>
              </w:rPr>
            </w:pPr>
          </w:p>
        </w:tc>
      </w:tr>
      <w:tr>
        <w:trPr>
          <w:trHeight w:val="240"/>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Commission Expense</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37"/>
        </w:trPr>
        <w:tc>
          <w:tcPr>
            <w:tcW w:w="2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Salaries and Benefits</w:t>
            </w:r>
          </w:p>
        </w:tc>
        <w:tc>
          <w:tcPr>
            <w:tcW w:w="2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62,905</w:t>
            </w:r>
          </w:p>
        </w:tc>
        <w:tc>
          <w:tcPr>
            <w:tcW w:w="3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58,626</w:t>
            </w:r>
          </w:p>
        </w:tc>
        <w:tc>
          <w:tcPr>
            <w:tcW w:w="3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4,279</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187,097</w:t>
            </w:r>
          </w:p>
        </w:tc>
        <w:tc>
          <w:tcPr>
            <w:tcW w:w="2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173,874</w:t>
            </w:r>
          </w:p>
        </w:tc>
        <w:tc>
          <w:tcPr>
            <w:tcW w:w="3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13,223</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Occupancy</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10,932</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10,806</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31,990</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31,821</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Equipment</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10,285</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10,120</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30,454</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30,578</w:t>
            </w: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40"/>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Data Processing</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4,712</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16,326</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14,227</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4,725</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12,549</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14,331</w:t>
            </w: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40"/>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FDIC Insurance</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8,790</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14,139</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Advertising</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6,098</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5,802</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5"/>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Merchant Transaction and Card</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Processing Fees</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5,163</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w:t>
            </w: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1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40"/>
        </w:trPr>
        <w:tc>
          <w:tcPr>
            <w:tcW w:w="2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Delivery and Postage Services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5,009</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5,090</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46"/>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Mileage Program Travel</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3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40"/>
        </w:trPr>
        <w:tc>
          <w:tcPr>
            <w:tcW w:w="29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Broker's Charges</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243"/>
        </w:trPr>
        <w:tc>
          <w:tcPr>
            <w:tcW w:w="29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7,918</w:t>
            </w:r>
          </w:p>
        </w:tc>
        <w:tc>
          <w:tcPr>
            <w:tcW w:w="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7,528</w:t>
            </w:r>
          </w:p>
        </w:tc>
        <w:tc>
          <w:tcPr>
            <w:tcW w:w="3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25,043</w:t>
            </w:r>
          </w:p>
        </w:tc>
        <w:tc>
          <w:tcPr>
            <w:tcW w:w="2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22,718</w:t>
            </w:r>
          </w:p>
        </w:tc>
        <w:tc>
          <w:tcPr>
            <w:tcW w:w="3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37"/>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15,132</w:t>
            </w: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14,748</w:t>
            </w: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46,423</w:t>
            </w: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43,207</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3,216</w:t>
            </w:r>
          </w:p>
        </w:tc>
        <w:tc>
          <w:tcPr>
            <w:tcW w:w="11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58"/>
        </w:trPr>
        <w:tc>
          <w:tcPr>
            <w:tcW w:w="2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Noninterest Expense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112,387</w:t>
            </w:r>
          </w:p>
        </w:tc>
        <w:tc>
          <w:tcPr>
            <w:tcW w:w="3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107,092</w:t>
            </w:r>
          </w:p>
        </w:tc>
        <w:tc>
          <w:tcPr>
            <w:tcW w:w="340" w:type="dxa"/>
            <w:vAlign w:val="bottom"/>
            <w:tcBorders>
              <w:bottom w:val="single" w:sz="8" w:color="auto"/>
            </w:tcBorders>
            <w:shd w:val="clear" w:color="auto" w:fill="CCEEFF"/>
          </w:tcPr>
          <w:p>
            <w:pPr>
              <w:jc w:val="center"/>
              <w:ind w:right="10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9,958</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333,629</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322,177</w:t>
            </w:r>
          </w:p>
        </w:tc>
        <w:tc>
          <w:tcPr>
            <w:tcW w:w="320" w:type="dxa"/>
            <w:vAlign w:val="bottom"/>
            <w:tcBorders>
              <w:bottom w:val="single" w:sz="8" w:color="auto"/>
            </w:tcBorders>
            <w:shd w:val="clear" w:color="auto" w:fill="CCEEFF"/>
          </w:tcPr>
          <w:p>
            <w:pPr>
              <w:jc w:val="center"/>
              <w:ind w:right="4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Total salaries and benefits expense increased by $4.3 million or 7.3% in the third quarter of 2025 compared to the same period last year, primarily due to increases in base salaries and separation expense, partially offset by lower incentive compensation. Total salaries and benefits expense increased by $13.2 million or 7.6% for the first nine months of 2025, compared to the same period last year, primarily due to increases in base salaries, incentive compensation, medical, dental, and life insurance and separation expense.</w:t>
      </w:r>
    </w:p>
    <w:p>
      <w:pPr>
        <w:spacing w:after="0" w:line="126" w:lineRule="exact"/>
        <w:rPr>
          <w:sz w:val="20"/>
          <w:szCs w:val="20"/>
          <w:color w:val="auto"/>
        </w:rPr>
      </w:pPr>
    </w:p>
    <w:p>
      <w:pPr>
        <w:jc w:val="both"/>
        <w:ind w:right="640"/>
        <w:spacing w:after="0" w:line="250" w:lineRule="auto"/>
        <w:rPr>
          <w:sz w:val="20"/>
          <w:szCs w:val="20"/>
          <w:color w:val="auto"/>
        </w:rPr>
      </w:pPr>
      <w:r>
        <w:rPr>
          <w:rFonts w:ascii="Times New Roman" w:cs="Times New Roman" w:eastAsia="Times New Roman" w:hAnsi="Times New Roman"/>
          <w:sz w:val="18"/>
          <w:szCs w:val="18"/>
          <w:color w:val="auto"/>
        </w:rPr>
        <w:t>Data processing fees increased by $0.9 million or 18.9% in the third quarter of 2025 and by $2.1 million or 14.8% for the first nine months of 2025 compared to the same periods last year, primarily due to an increase in data service fees, our online banking platform, and an increase in debit card transactions.</w:t>
      </w:r>
    </w:p>
    <w:p>
      <w:pPr>
        <w:spacing w:after="0" w:line="21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Professional fees decreased by $0.7 million or 14.9% in the third quarter of 2025 and by $1.8 million or 12.4% for the first nine months of 2025 compared to the same periods last year, primarily due to a decrease in consulting and outsourcing costs incurred.</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FDIC insurance expense decreased by $5.3 million or 37.8% for the first nine months of 2025 compared to the same period last year, primarily due to a partial recovery of the FDIC special assessment in 2025.</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Other expense increased by $2.3 million or 10.2% for the first nine months of 2025 compared to the same period last year, primarily due to an increase in operational losses, telephone charges, and travel expenses.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5 presents our provision for income taxes and effective tax rates.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for Income Taxes and Effective Tax Rates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5</w:t>
            </w:r>
          </w:p>
        </w:tc>
        <w:tc>
          <w:tcPr>
            <w:tcW w:w="0" w:type="dxa"/>
            <w:vAlign w:val="bottom"/>
          </w:tcPr>
          <w:p>
            <w:pPr>
              <w:spacing w:after="0"/>
              <w:rPr>
                <w:sz w:val="1"/>
                <w:szCs w:val="1"/>
                <w:color w:val="auto"/>
              </w:rPr>
            </w:pPr>
          </w:p>
        </w:tc>
      </w:tr>
      <w:tr>
        <w:trPr>
          <w:trHeight w:val="193"/>
        </w:trPr>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00" w:type="dxa"/>
            <w:vAlign w:val="bottom"/>
            <w:gridSpan w:val="3"/>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6"/>
                <w:szCs w:val="16"/>
                <w:color w:val="auto"/>
              </w:rPr>
            </w:pPr>
          </w:p>
        </w:tc>
        <w:tc>
          <w:tcPr>
            <w:tcW w:w="116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18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9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14,409</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12,278</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FF0FC"/>
          </w:tcPr>
          <w:p>
            <w:pPr>
              <w:jc w:val="right"/>
              <w:ind w:right="124"/>
              <w:spacing w:after="0"/>
              <w:rPr>
                <w:sz w:val="20"/>
                <w:szCs w:val="20"/>
                <w:color w:val="auto"/>
              </w:rPr>
            </w:pPr>
            <w:r>
              <w:rPr>
                <w:rFonts w:ascii="Times New Roman" w:cs="Times New Roman" w:eastAsia="Times New Roman" w:hAnsi="Times New Roman"/>
                <w:sz w:val="16"/>
                <w:szCs w:val="16"/>
                <w:color w:val="auto"/>
              </w:rPr>
              <w:t>39,388</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35,475</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$14.4 million in the third quarter of 2025, an increase of $2.1 million compared to the same period in 2024. The effective tax rate for the third quarter of 2025 was 21.3%, a decrease from 23.3% for the same period in 2024. The lower effective tax rate in the third quarter of 2025 compared to the same period in 2024 was primarily due to a decrease in tax expense from discrete items and an increase in tax-exempt investment income.</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$39.4 million in the first nine months of 2025, an increase of $3.9 million compared to the same period in 2024. The effective tax rate for the first nine months of 2025 was 21.4%, a decrease from 24.2% for the same period in 2024. The lower effective tax rate for the first nine months of 2025 compared to the same period in 2024 was due to a decrease in tax expense from discrete items and an increase in tax-exempt investment income.</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July 2025, the One Big Beautiful Bill Act (“OBBA”) was enacted, permanently extending several tax provisions originally introduced under the 2017 Tax Cuts and Jobs Act that were set to expire at the end of 2025. The OBBA also introduces changes to certain U.S. corporate tax rules, most of which take effect in 2026. We have evaluated the impact of the OBBA and do not expect any material changes to our effective tax rate or results of operations.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Unaudited Statements of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Securities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carrying value of our investment securities portfolio was $7.6 billion and $7.3 billion as of September 30, 2025 and December 31, 2024, respectively. The increase was primarily due to the purchase of $738.1 million in available-for-sale investment securities during the nine months ended September 30, 2025, of which $333.7 million were floating rate securities. The increase was partially offset by the amortization of existing securities. Floating rate securities represented 19.3% of the investment securities portfolio, measured by par value, as of September 30, 2025, compared to 16.5% as of December 31, 2024.</w:t>
      </w:r>
    </w:p>
    <w:p>
      <w:pPr>
        <w:spacing w:after="0" w:line="14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continually evaluate our investment securities portfolio in conjunction with our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adjust hedge positions, and change the proportion of investments made into the AFS and held-to-maturity (“HTM”) investment categories.</w:t>
      </w:r>
    </w:p>
    <w:p>
      <w:pPr>
        <w:spacing w:after="0" w:line="15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Mortgage-backed securities issued by Ginnie Mae, Fannie Mae, and Freddie Mac represent the largest concentration in our portfolio. As of September 30, 2025, the issuers of these securities carry credit ratings equivalent to those of the U.S. Government, reflecting the explicit and/or implicit guarantees provided.</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Net unrealized losses in our AFS and HTM investment securities were $0.8 billion as of September 30, 2025 and $1.1 billion as of December 31, 2024. In addition, we transferred AFS investment securities to the HTM category in 2022. At the time of transfer, these securities had a fair value of $1.3 billion. The unrealized losses at the time of transfer are being amortized over the estimated remaining life of the securities as an adjustment of yield and recognized as a reduction of interest income. The unamortized balance of these losses was $160.5 million and $177.9 million as of September 30, 2025 and December 31, 2024, respectively. See Note 2 </w:t>
      </w:r>
      <w:r>
        <w:rPr>
          <w:rFonts w:ascii="Times New Roman" w:cs="Times New Roman" w:eastAsia="Times New Roman" w:hAnsi="Times New Roman"/>
          <w:sz w:val="18"/>
          <w:szCs w:val="18"/>
          <w:i w:val="1"/>
          <w:iCs w:val="1"/>
          <w:color w:val="auto"/>
        </w:rPr>
        <w:t>Investment Securities</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to the unaudited Consolidated Financial Statements for more information. In October 2025, we initiated the process of repositioning a portion of our AFS securities. As a result, we expect to realize a loss on the sale of certain securities during the quarter ending December 31, 2025 that is expected to range from $16 million to $17 million.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6 presents the composition of our loan and lease portfolio by major categories.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Loan and Lease Portfolio Balances</w:t>
            </w:r>
          </w:p>
        </w:tc>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w w:val="97"/>
              </w:rPr>
              <w:t>Table 6</w:t>
            </w:r>
          </w:p>
        </w:tc>
      </w:tr>
      <w:tr>
        <w:trPr>
          <w:trHeight w:val="186"/>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060" w:type="dxa"/>
            <w:vAlign w:val="bottom"/>
          </w:tcPr>
          <w:p>
            <w:pPr>
              <w:spacing w:after="0"/>
              <w:rPr>
                <w:sz w:val="16"/>
                <w:szCs w:val="16"/>
                <w:color w:val="auto"/>
              </w:rPr>
            </w:pPr>
          </w:p>
        </w:tc>
        <w:tc>
          <w:tcPr>
            <w:tcW w:w="15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6"/>
                <w:szCs w:val="16"/>
                <w:color w:val="auto"/>
              </w:rPr>
            </w:pPr>
          </w:p>
        </w:tc>
        <w:tc>
          <w:tcPr>
            <w:tcW w:w="16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3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0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3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4,040,711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4,020,622</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20,089</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5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10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1,581,232</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1,705,133</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(123,901)</w:t>
            </w:r>
          </w:p>
        </w:tc>
        <w:tc>
          <w:tcPr>
            <w:tcW w:w="16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(7.3)</w:t>
            </w:r>
          </w:p>
        </w:tc>
      </w:tr>
      <w:tr>
        <w:trPr>
          <w:trHeight w:val="23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10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380,944</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308,898</w:t>
            </w:r>
          </w:p>
        </w:tc>
        <w:tc>
          <w:tcPr>
            <w:tcW w:w="320" w:type="dxa"/>
            <w:vAlign w:val="bottom"/>
          </w:tcPr>
          <w:p>
            <w:pPr>
              <w:spacing w:after="0"/>
              <w:rPr>
                <w:sz w:val="20"/>
                <w:szCs w:val="20"/>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72,046</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23.3</w:t>
            </w:r>
          </w:p>
        </w:tc>
      </w:tr>
      <w:tr>
        <w:trPr>
          <w:trHeight w:val="246"/>
        </w:trPr>
        <w:tc>
          <w:tcPr>
            <w:tcW w:w="3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10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92,213</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90,756</w:t>
            </w: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1,457</w:t>
            </w: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r>
      <w:tr>
        <w:trPr>
          <w:trHeight w:val="236"/>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6,095,100</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6,125,409</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(30,309)</w:t>
            </w:r>
          </w:p>
        </w:tc>
        <w:tc>
          <w:tcPr>
            <w:tcW w:w="16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(0.5)</w:t>
            </w:r>
          </w:p>
        </w:tc>
      </w:tr>
      <w:tr>
        <w:trPr>
          <w:trHeight w:val="24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0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3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10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4,685,214</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4,628,283</w:t>
            </w:r>
          </w:p>
        </w:tc>
        <w:tc>
          <w:tcPr>
            <w:tcW w:w="320" w:type="dxa"/>
            <w:vAlign w:val="bottom"/>
          </w:tcPr>
          <w:p>
            <w:pPr>
              <w:spacing w:after="0"/>
              <w:rPr>
                <w:sz w:val="20"/>
                <w:szCs w:val="20"/>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56,931</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r>
      <w:tr>
        <w:trPr>
          <w:trHeight w:val="25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10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2,129,599</w:t>
            </w:r>
          </w:p>
        </w:tc>
        <w:tc>
          <w:tcPr>
            <w:tcW w:w="2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2,165,514</w:t>
            </w:r>
          </w:p>
        </w:tc>
        <w:tc>
          <w:tcPr>
            <w:tcW w:w="32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(35,915)</w:t>
            </w:r>
          </w:p>
        </w:tc>
        <w:tc>
          <w:tcPr>
            <w:tcW w:w="16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(1.7)</w:t>
            </w:r>
          </w:p>
        </w:tc>
      </w:tr>
      <w:tr>
        <w:trPr>
          <w:trHeight w:val="233"/>
        </w:trPr>
        <w:tc>
          <w:tcPr>
            <w:tcW w:w="3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10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699,244</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764,146</w:t>
            </w:r>
          </w:p>
        </w:tc>
        <w:tc>
          <w:tcPr>
            <w:tcW w:w="320" w:type="dxa"/>
            <w:vAlign w:val="bottom"/>
          </w:tcPr>
          <w:p>
            <w:pPr>
              <w:spacing w:after="0"/>
              <w:rPr>
                <w:sz w:val="20"/>
                <w:szCs w:val="20"/>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(64,902)</w:t>
            </w:r>
          </w:p>
        </w:tc>
        <w:tc>
          <w:tcPr>
            <w:tcW w:w="164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(8.5)</w:t>
            </w:r>
          </w:p>
        </w:tc>
      </w:tr>
      <w:tr>
        <w:trPr>
          <w:trHeight w:val="246"/>
        </w:trPr>
        <w:tc>
          <w:tcPr>
            <w:tcW w:w="3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412,422</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392,628</w:t>
            </w:r>
          </w:p>
        </w:tc>
        <w:tc>
          <w:tcPr>
            <w:tcW w:w="3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19,794</w:t>
            </w: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236"/>
        </w:trPr>
        <w:tc>
          <w:tcPr>
            <w:tcW w:w="3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10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7,926,479</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7,950,571</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(24,092)</w:t>
            </w:r>
          </w:p>
        </w:tc>
        <w:tc>
          <w:tcPr>
            <w:tcW w:w="16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(0.3)</w:t>
            </w:r>
          </w:p>
        </w:tc>
      </w:tr>
      <w:tr>
        <w:trPr>
          <w:trHeight w:val="262"/>
        </w:trPr>
        <w:tc>
          <w:tcPr>
            <w:tcW w:w="3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14,021,579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14,075,980</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(54,401)</w:t>
            </w:r>
          </w:p>
        </w:tc>
        <w:tc>
          <w:tcPr>
            <w:tcW w:w="164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(0.4)%</w:t>
            </w: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loans and leases as of September 30, 2025 decreased by $54.4 million or 0.4% from December 31, 2024 due to reductions in both our commercial and consumer loans.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Commercial loans and leases as of September 30, 2025 decreased by $30.3 million or 0.5% from December 31, 2024, primarily due to a decline in commercial and industrial loans, which decreased by $123.9 million or 7.3% largely as a result of paydowns. This was partially offset by construction loans, which increased by $72.0 million or 23.3%, primarily due to increased construction activity during the year. Consumer loans and leases as of September 30, 2025 decreased by $24.1 million or 0.3% from December 31, 2024, primarily due to paydowns in our home equity portfolio and a slowdown in production for our automobile loans. This was partially offset by residential mortgage loans, which increased by $56.9 million or 1.2%, primarily due to a decrease in the amount of loans sold to third parties during the nine months ended September 30,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6a presents an additional breakdown of the Company’s commercial mortgage portfolio.</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Breakdown</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w w:val="98"/>
              </w:rPr>
              <w:t>Table 6a</w:t>
            </w:r>
          </w:p>
        </w:tc>
        <w:tc>
          <w:tcPr>
            <w:tcW w:w="0" w:type="dxa"/>
            <w:vAlign w:val="bottom"/>
          </w:tcPr>
          <w:p>
            <w:pPr>
              <w:spacing w:after="0"/>
              <w:rPr>
                <w:sz w:val="1"/>
                <w:szCs w:val="1"/>
                <w:color w:val="auto"/>
              </w:rPr>
            </w:pPr>
          </w:p>
        </w:tc>
      </w:tr>
      <w:tr>
        <w:trPr>
          <w:trHeight w:val="193"/>
        </w:trPr>
        <w:tc>
          <w:tcPr>
            <w:tcW w:w="4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1"/>
                <w:szCs w:val="11"/>
                <w:color w:val="auto"/>
              </w:rPr>
            </w:pPr>
          </w:p>
        </w:tc>
        <w:tc>
          <w:tcPr>
            <w:tcW w:w="92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040" w:type="dxa"/>
            <w:vAlign w:val="bottom"/>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 Owner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1040" w:type="dxa"/>
            <w:vAlign w:val="bottom"/>
          </w:tcPr>
          <w:p>
            <w:pPr>
              <w:ind w:left="140"/>
              <w:spacing w:after="0" w:line="137" w:lineRule="exact"/>
              <w:rPr>
                <w:sz w:val="20"/>
                <w:szCs w:val="20"/>
                <w:color w:val="auto"/>
              </w:rPr>
            </w:pPr>
            <w:r>
              <w:rPr>
                <w:rFonts w:ascii="Times New Roman" w:cs="Times New Roman" w:eastAsia="Times New Roman" w:hAnsi="Times New Roman"/>
                <w:sz w:val="14"/>
                <w:szCs w:val="14"/>
                <w:b w:val="1"/>
                <w:bCs w:val="1"/>
                <w:color w:val="auto"/>
              </w:rPr>
              <w:t>% Owner</w:t>
            </w:r>
          </w:p>
        </w:tc>
        <w:tc>
          <w:tcPr>
            <w:tcW w:w="0" w:type="dxa"/>
            <w:vAlign w:val="bottom"/>
          </w:tcPr>
          <w:p>
            <w:pPr>
              <w:spacing w:after="0"/>
              <w:rPr>
                <w:sz w:val="1"/>
                <w:szCs w:val="1"/>
                <w:color w:val="auto"/>
              </w:rPr>
            </w:pPr>
          </w:p>
        </w:tc>
      </w:tr>
      <w:tr>
        <w:trPr>
          <w:trHeight w:val="195"/>
        </w:trPr>
        <w:tc>
          <w:tcPr>
            <w:tcW w:w="41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Occupied</w:t>
            </w:r>
          </w:p>
        </w:tc>
        <w:tc>
          <w:tcPr>
            <w:tcW w:w="0" w:type="dxa"/>
            <w:vAlign w:val="bottom"/>
          </w:tcPr>
          <w:p>
            <w:pPr>
              <w:spacing w:after="0"/>
              <w:rPr>
                <w:sz w:val="1"/>
                <w:szCs w:val="1"/>
                <w:color w:val="auto"/>
              </w:rPr>
            </w:pPr>
          </w:p>
        </w:tc>
      </w:tr>
      <w:tr>
        <w:trPr>
          <w:trHeight w:val="215"/>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Multi-family</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1,013,811</w:t>
            </w:r>
          </w:p>
        </w:tc>
        <w:tc>
          <w:tcPr>
            <w:tcW w:w="13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25 %</w:t>
            </w:r>
          </w:p>
        </w:tc>
        <w:tc>
          <w:tcPr>
            <w:tcW w:w="10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1,025,247</w:t>
            </w:r>
          </w:p>
        </w:tc>
        <w:tc>
          <w:tcPr>
            <w:tcW w:w="13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25 %</w:t>
            </w:r>
          </w:p>
        </w:tc>
        <w:tc>
          <w:tcPr>
            <w:tcW w:w="10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735,926</w:t>
            </w: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724,645</w:t>
            </w: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Lodging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684,507</w:t>
            </w:r>
          </w:p>
        </w:tc>
        <w:tc>
          <w:tcPr>
            <w:tcW w:w="13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17</w:t>
            </w:r>
          </w:p>
        </w:tc>
        <w:tc>
          <w:tcPr>
            <w:tcW w:w="11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676,350</w:t>
            </w:r>
          </w:p>
        </w:tc>
        <w:tc>
          <w:tcPr>
            <w:tcW w:w="13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17</w:t>
            </w: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690,878</w:t>
            </w: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17</w:t>
            </w:r>
          </w:p>
        </w:tc>
        <w:tc>
          <w:tcPr>
            <w:tcW w:w="10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704,780</w:t>
            </w:r>
          </w:p>
        </w:tc>
        <w:tc>
          <w:tcPr>
            <w:tcW w:w="136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343,417</w:t>
            </w:r>
          </w:p>
        </w:tc>
        <w:tc>
          <w:tcPr>
            <w:tcW w:w="13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9</w:t>
            </w: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371,474</w:t>
            </w:r>
          </w:p>
        </w:tc>
        <w:tc>
          <w:tcPr>
            <w:tcW w:w="136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rPr>
              <w:t>9</w:t>
            </w: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auto"/>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572,172</w:t>
            </w:r>
          </w:p>
        </w:tc>
        <w:tc>
          <w:tcPr>
            <w:tcW w:w="13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14</w:t>
            </w:r>
          </w:p>
        </w:tc>
        <w:tc>
          <w:tcPr>
            <w:tcW w:w="1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518,126</w:t>
            </w:r>
          </w:p>
        </w:tc>
        <w:tc>
          <w:tcPr>
            <w:tcW w:w="13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rPr>
              <w:t>13</w:t>
            </w:r>
          </w:p>
        </w:tc>
        <w:tc>
          <w:tcPr>
            <w:tcW w:w="10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3"/>
        </w:trPr>
        <w:tc>
          <w:tcPr>
            <w:tcW w:w="4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Commercial Mortgage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4,040,711</w:t>
            </w:r>
          </w:p>
        </w:tc>
        <w:tc>
          <w:tcPr>
            <w:tcW w:w="1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100 %</w:t>
            </w: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4,020,622</w:t>
            </w:r>
          </w:p>
        </w:tc>
        <w:tc>
          <w:tcPr>
            <w:tcW w:w="13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100 %</w:t>
            </w:r>
          </w:p>
        </w:tc>
        <w:tc>
          <w:tcPr>
            <w:tcW w:w="104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ind w:left="400" w:hanging="392"/>
        <w:spacing w:after="0"/>
        <w:tabs>
          <w:tab w:leader="none" w:pos="40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 includes unamortized loan origination fees.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7 presents the composition of our loan and lease portfolio by geographic area and by major categories.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Distribution of Loan and Lease Portfolio</w:t>
            </w:r>
          </w:p>
        </w:tc>
        <w:tc>
          <w:tcPr>
            <w:tcW w:w="4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7</w:t>
            </w:r>
          </w:p>
        </w:tc>
      </w:tr>
      <w:tr>
        <w:trPr>
          <w:trHeight w:val="200"/>
        </w:trPr>
        <w:tc>
          <w:tcPr>
            <w:tcW w:w="3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Other Pacific</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4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Hawai‘i</w:t>
            </w:r>
          </w:p>
        </w:tc>
        <w:tc>
          <w:tcPr>
            <w:tcW w:w="144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 xml:space="preserve">U.S. Mainland </w:t>
            </w:r>
            <w:r>
              <w:rPr>
                <w:rFonts w:ascii="Times New Roman" w:cs="Times New Roman" w:eastAsia="Times New Roman" w:hAnsi="Times New Roman"/>
                <w:sz w:val="21"/>
                <w:szCs w:val="21"/>
                <w:b w:val="1"/>
                <w:bCs w:val="1"/>
                <w:color w:val="auto"/>
                <w:vertAlign w:val="superscript"/>
              </w:rPr>
              <w:t>1</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Guam</w:t>
            </w: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Islands</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4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r>
      <w:tr>
        <w:trPr>
          <w:trHeight w:val="23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3,611,818</w:t>
            </w:r>
          </w:p>
        </w:tc>
        <w:tc>
          <w:tcPr>
            <w:tcW w:w="4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253,670</w:t>
            </w:r>
          </w:p>
        </w:tc>
        <w:tc>
          <w:tcPr>
            <w:tcW w:w="3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174,800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423</w:t>
            </w:r>
          </w:p>
        </w:tc>
        <w:tc>
          <w:tcPr>
            <w:tcW w:w="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4,040,711</w:t>
            </w:r>
          </w:p>
        </w:tc>
      </w:tr>
      <w:tr>
        <w:trPr>
          <w:trHeight w:val="233"/>
        </w:trPr>
        <w:tc>
          <w:tcPr>
            <w:tcW w:w="3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46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1,368,505</w:t>
            </w:r>
          </w:p>
        </w:tc>
        <w:tc>
          <w:tcPr>
            <w:tcW w:w="44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135,520</w:t>
            </w: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66,132</w:t>
            </w:r>
          </w:p>
        </w:tc>
        <w:tc>
          <w:tcPr>
            <w:tcW w:w="2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11,075</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1,581,232</w:t>
            </w:r>
          </w:p>
        </w:tc>
      </w:tr>
      <w:tr>
        <w:trPr>
          <w:trHeight w:val="253"/>
        </w:trPr>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4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380,944</w:t>
            </w:r>
          </w:p>
        </w:tc>
        <w:tc>
          <w:tcPr>
            <w:tcW w:w="4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380,944</w:t>
            </w:r>
          </w:p>
        </w:tc>
      </w:tr>
      <w:tr>
        <w:trPr>
          <w:trHeight w:val="237"/>
        </w:trPr>
        <w:tc>
          <w:tcPr>
            <w:tcW w:w="3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91,912</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301</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92,213</w:t>
            </w:r>
          </w:p>
        </w:tc>
      </w:tr>
      <w:tr>
        <w:trPr>
          <w:trHeight w:val="237"/>
        </w:trPr>
        <w:tc>
          <w:tcPr>
            <w:tcW w:w="3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4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5,453,179</w:t>
            </w:r>
          </w:p>
        </w:tc>
        <w:tc>
          <w:tcPr>
            <w:tcW w:w="4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389,190</w:t>
            </w: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241,233</w:t>
            </w:r>
          </w:p>
        </w:tc>
        <w:tc>
          <w:tcPr>
            <w:tcW w:w="2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11,498</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6,095,100</w:t>
            </w:r>
          </w:p>
        </w:tc>
      </w:tr>
      <w:tr>
        <w:trPr>
          <w:trHeight w:val="23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4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4,607,506</w:t>
            </w:r>
          </w:p>
        </w:tc>
        <w:tc>
          <w:tcPr>
            <w:tcW w:w="4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5,409</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72,024</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275</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4,685,214</w:t>
            </w:r>
          </w:p>
        </w:tc>
      </w:tr>
      <w:tr>
        <w:trPr>
          <w:trHeight w:val="233"/>
        </w:trPr>
        <w:tc>
          <w:tcPr>
            <w:tcW w:w="3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46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2,085,655</w:t>
            </w:r>
          </w:p>
        </w:tc>
        <w:tc>
          <w:tcPr>
            <w:tcW w:w="44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43,906</w:t>
            </w:r>
          </w:p>
        </w:tc>
        <w:tc>
          <w:tcPr>
            <w:tcW w:w="2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2,129,599</w:t>
            </w:r>
          </w:p>
        </w:tc>
      </w:tr>
      <w:tr>
        <w:trPr>
          <w:trHeight w:val="253"/>
        </w:trPr>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4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557,335</w:t>
            </w:r>
          </w:p>
        </w:tc>
        <w:tc>
          <w:tcPr>
            <w:tcW w:w="4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110,810</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31,099</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699,244</w:t>
            </w:r>
          </w:p>
        </w:tc>
      </w:tr>
      <w:tr>
        <w:trPr>
          <w:trHeight w:val="237"/>
        </w:trPr>
        <w:tc>
          <w:tcPr>
            <w:tcW w:w="3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355,938</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54,221</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2,263</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412,422</w:t>
            </w:r>
          </w:p>
        </w:tc>
      </w:tr>
      <w:tr>
        <w:trPr>
          <w:trHeight w:val="236"/>
        </w:trPr>
        <w:tc>
          <w:tcPr>
            <w:tcW w:w="3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4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7,606,434</w:t>
            </w:r>
          </w:p>
        </w:tc>
        <w:tc>
          <w:tcPr>
            <w:tcW w:w="4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5,447</w:t>
            </w: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280,961</w:t>
            </w:r>
          </w:p>
        </w:tc>
        <w:tc>
          <w:tcPr>
            <w:tcW w:w="2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33,637</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7,926,479</w:t>
            </w:r>
          </w:p>
        </w:tc>
      </w:tr>
      <w:tr>
        <w:trPr>
          <w:trHeight w:val="237"/>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13,059,613</w:t>
            </w:r>
          </w:p>
        </w:tc>
        <w:tc>
          <w:tcPr>
            <w:tcW w:w="4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394,637</w:t>
            </w:r>
          </w:p>
        </w:tc>
        <w:tc>
          <w:tcPr>
            <w:tcW w:w="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522,194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45,135</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14,021,579</w:t>
            </w:r>
          </w:p>
        </w:tc>
      </w:tr>
      <w:tr>
        <w:trPr>
          <w:trHeight w:val="262"/>
        </w:trPr>
        <w:tc>
          <w:tcPr>
            <w:tcW w:w="3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Percentage of Total Loans and Leases</w:t>
            </w:r>
          </w:p>
        </w:tc>
        <w:tc>
          <w:tcPr>
            <w:tcW w:w="46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4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3 %</w:t>
            </w: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22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3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3940" w:type="dxa"/>
            <w:vAlign w:val="bottom"/>
            <w:tcBorders>
              <w:top w:val="single" w:sz="8" w:color="CFF0FC"/>
              <w:bottom w:val="single" w:sz="8" w:color="auto"/>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r>
        <w:trPr>
          <w:trHeight w:val="62"/>
        </w:trPr>
        <w:tc>
          <w:tcPr>
            <w:tcW w:w="39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43"/>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46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r>
      <w:tr>
        <w:trPr>
          <w:trHeight w:val="23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Commercial Mortgage</w:t>
            </w:r>
          </w:p>
        </w:tc>
        <w:tc>
          <w:tcPr>
            <w:tcW w:w="4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3,534,658</w:t>
            </w:r>
          </w:p>
        </w:tc>
        <w:tc>
          <w:tcPr>
            <w:tcW w:w="4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297,758</w:t>
            </w:r>
          </w:p>
        </w:tc>
        <w:tc>
          <w:tcPr>
            <w:tcW w:w="3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187,777</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429</w:t>
            </w:r>
          </w:p>
        </w:tc>
        <w:tc>
          <w:tcPr>
            <w:tcW w:w="3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4,020,622</w:t>
            </w:r>
          </w:p>
        </w:tc>
      </w:tr>
      <w:tr>
        <w:trPr>
          <w:trHeight w:val="233"/>
        </w:trPr>
        <w:tc>
          <w:tcPr>
            <w:tcW w:w="3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46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1,493,386</w:t>
            </w:r>
          </w:p>
        </w:tc>
        <w:tc>
          <w:tcPr>
            <w:tcW w:w="44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139,968</w:t>
            </w: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62,824</w:t>
            </w:r>
          </w:p>
        </w:tc>
        <w:tc>
          <w:tcPr>
            <w:tcW w:w="2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8,955</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1,705,133</w:t>
            </w:r>
          </w:p>
        </w:tc>
      </w:tr>
      <w:tr>
        <w:trPr>
          <w:trHeight w:val="253"/>
        </w:trPr>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Construction</w:t>
            </w:r>
          </w:p>
        </w:tc>
        <w:tc>
          <w:tcPr>
            <w:tcW w:w="4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308,898</w:t>
            </w:r>
          </w:p>
        </w:tc>
        <w:tc>
          <w:tcPr>
            <w:tcW w:w="4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308,898</w:t>
            </w:r>
          </w:p>
        </w:tc>
      </w:tr>
      <w:tr>
        <w:trPr>
          <w:trHeight w:val="237"/>
        </w:trPr>
        <w:tc>
          <w:tcPr>
            <w:tcW w:w="3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Lease Financing</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90,260</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496</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90,756</w:t>
            </w:r>
          </w:p>
        </w:tc>
      </w:tr>
      <w:tr>
        <w:trPr>
          <w:trHeight w:val="237"/>
        </w:trPr>
        <w:tc>
          <w:tcPr>
            <w:tcW w:w="3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Commercial</w:t>
            </w:r>
          </w:p>
        </w:tc>
        <w:tc>
          <w:tcPr>
            <w:tcW w:w="4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5,427,202</w:t>
            </w:r>
          </w:p>
        </w:tc>
        <w:tc>
          <w:tcPr>
            <w:tcW w:w="4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437,726</w:t>
            </w: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251,097</w:t>
            </w:r>
          </w:p>
        </w:tc>
        <w:tc>
          <w:tcPr>
            <w:tcW w:w="2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9,384</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6,125,409</w:t>
            </w:r>
          </w:p>
        </w:tc>
      </w:tr>
      <w:tr>
        <w:trPr>
          <w:trHeight w:val="23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Residential Mortgage</w:t>
            </w:r>
          </w:p>
        </w:tc>
        <w:tc>
          <w:tcPr>
            <w:tcW w:w="4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4,553,553</w:t>
            </w:r>
          </w:p>
        </w:tc>
        <w:tc>
          <w:tcPr>
            <w:tcW w:w="4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5,469</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68,932</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329</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4,628,283</w:t>
            </w:r>
          </w:p>
        </w:tc>
      </w:tr>
      <w:tr>
        <w:trPr>
          <w:trHeight w:val="233"/>
        </w:trPr>
        <w:tc>
          <w:tcPr>
            <w:tcW w:w="3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Home Equity</w:t>
            </w:r>
          </w:p>
        </w:tc>
        <w:tc>
          <w:tcPr>
            <w:tcW w:w="46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2,119,548</w:t>
            </w:r>
          </w:p>
        </w:tc>
        <w:tc>
          <w:tcPr>
            <w:tcW w:w="44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w:t>
            </w:r>
          </w:p>
        </w:tc>
        <w:tc>
          <w:tcPr>
            <w:tcW w:w="340" w:type="dxa"/>
            <w:vAlign w:val="bottom"/>
          </w:tcPr>
          <w:p>
            <w:pPr>
              <w:spacing w:after="0"/>
              <w:rPr>
                <w:sz w:val="20"/>
                <w:szCs w:val="20"/>
                <w:color w:val="auto"/>
              </w:rPr>
            </w:pPr>
          </w:p>
        </w:tc>
        <w:tc>
          <w:tcPr>
            <w:tcW w:w="10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45,925</w:t>
            </w:r>
          </w:p>
        </w:tc>
        <w:tc>
          <w:tcPr>
            <w:tcW w:w="22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2,165,514</w:t>
            </w:r>
          </w:p>
        </w:tc>
      </w:tr>
      <w:tr>
        <w:trPr>
          <w:trHeight w:val="253"/>
        </w:trPr>
        <w:tc>
          <w:tcPr>
            <w:tcW w:w="3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Automobile</w:t>
            </w:r>
          </w:p>
        </w:tc>
        <w:tc>
          <w:tcPr>
            <w:tcW w:w="46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601,359</w:t>
            </w:r>
          </w:p>
        </w:tc>
        <w:tc>
          <w:tcPr>
            <w:tcW w:w="4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125,331</w:t>
            </w:r>
          </w:p>
        </w:tc>
        <w:tc>
          <w:tcPr>
            <w:tcW w:w="22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37,456</w:t>
            </w: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764,146</w:t>
            </w:r>
          </w:p>
        </w:tc>
      </w:tr>
      <w:tr>
        <w:trPr>
          <w:trHeight w:val="237"/>
        </w:trPr>
        <w:tc>
          <w:tcPr>
            <w:tcW w:w="3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336,718</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47,279</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8,631</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392,628</w:t>
            </w:r>
          </w:p>
        </w:tc>
      </w:tr>
      <w:tr>
        <w:trPr>
          <w:trHeight w:val="236"/>
        </w:trPr>
        <w:tc>
          <w:tcPr>
            <w:tcW w:w="3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Consumer</w:t>
            </w:r>
          </w:p>
        </w:tc>
        <w:tc>
          <w:tcPr>
            <w:tcW w:w="4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7,611,178</w:t>
            </w:r>
          </w:p>
        </w:tc>
        <w:tc>
          <w:tcPr>
            <w:tcW w:w="4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5,510</w:t>
            </w: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287,467</w:t>
            </w:r>
          </w:p>
        </w:tc>
        <w:tc>
          <w:tcPr>
            <w:tcW w:w="2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46,416</w:t>
            </w:r>
          </w:p>
        </w:tc>
        <w:tc>
          <w:tcPr>
            <w:tcW w:w="3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7,950,571</w:t>
            </w:r>
          </w:p>
        </w:tc>
      </w:tr>
      <w:tr>
        <w:trPr>
          <w:trHeight w:val="237"/>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Loans and Leases</w:t>
            </w:r>
          </w:p>
        </w:tc>
        <w:tc>
          <w:tcPr>
            <w:tcW w:w="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13,038,380</w:t>
            </w:r>
          </w:p>
        </w:tc>
        <w:tc>
          <w:tcPr>
            <w:tcW w:w="4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443,236</w:t>
            </w:r>
          </w:p>
        </w:tc>
        <w:tc>
          <w:tcPr>
            <w:tcW w:w="3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538,564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55,800</w:t>
            </w:r>
          </w:p>
        </w:tc>
        <w:tc>
          <w:tcPr>
            <w:tcW w:w="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14,075,980</w:t>
            </w:r>
          </w:p>
        </w:tc>
      </w:tr>
      <w:tr>
        <w:trPr>
          <w:trHeight w:val="261"/>
        </w:trPr>
        <w:tc>
          <w:tcPr>
            <w:tcW w:w="3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Percentage of Total Loans and Leases</w:t>
            </w:r>
          </w:p>
        </w:tc>
        <w:tc>
          <w:tcPr>
            <w:tcW w:w="46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4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3 %</w:t>
            </w:r>
          </w:p>
        </w:tc>
        <w:tc>
          <w:tcPr>
            <w:tcW w:w="3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22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36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
        </w:trPr>
        <w:tc>
          <w:tcPr>
            <w:tcW w:w="3940" w:type="dxa"/>
            <w:vAlign w:val="bottom"/>
            <w:tcBorders>
              <w:top w:val="single" w:sz="8" w:color="CFF0FC"/>
              <w:bottom w:val="single" w:sz="8" w:color="auto"/>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44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420" w:right="40" w:hanging="412"/>
        <w:spacing w:after="0" w:line="302" w:lineRule="auto"/>
        <w:tabs>
          <w:tab w:leader="none" w:pos="413"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For secured loans and leases, classification is made based on where the collateral is located. For unsecured loans and leases, classification is made based on the location where the majority of the borrower’s business operations are conducted.</w:t>
      </w:r>
    </w:p>
    <w:p>
      <w:pPr>
        <w:spacing w:after="0" w:line="19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commercial and consumer lending activities are concentrated primarily in Hawai‘i and the West Pacific. Our commercial loan and lease portfolio to borrowers based on the U.S. Mainland includes participation in shared national credits for customers whose operations and assets extend beyond Hawai‘i.</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8 presents the major components of other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5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Table 8</w:t>
            </w:r>
          </w:p>
        </w:tc>
      </w:tr>
      <w:tr>
        <w:trPr>
          <w:trHeight w:val="186"/>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560" w:type="dxa"/>
            <w:vAlign w:val="bottom"/>
          </w:tcPr>
          <w:p>
            <w:pPr>
              <w:spacing w:after="0"/>
              <w:rPr>
                <w:sz w:val="16"/>
                <w:szCs w:val="16"/>
                <w:color w:val="auto"/>
              </w:rPr>
            </w:pPr>
          </w:p>
        </w:tc>
        <w:tc>
          <w:tcPr>
            <w:tcW w:w="15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6"/>
                <w:szCs w:val="16"/>
                <w:color w:val="auto"/>
              </w:rPr>
            </w:pPr>
          </w:p>
        </w:tc>
        <w:tc>
          <w:tcPr>
            <w:tcW w:w="1640" w:type="dxa"/>
            <w:vAlign w:val="bottom"/>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38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7"/>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Low-Income Housing and Other Equity Investments</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216,333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233,202</w:t>
            </w:r>
          </w:p>
        </w:tc>
        <w:tc>
          <w:tcPr>
            <w:tcW w:w="3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(16,869)</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and Tax Receivable</w:t>
            </w:r>
          </w:p>
        </w:tc>
        <w:tc>
          <w:tcPr>
            <w:tcW w:w="5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159,586</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172,499</w:t>
            </w:r>
          </w:p>
        </w:tc>
        <w:tc>
          <w:tcPr>
            <w:tcW w:w="340" w:type="dxa"/>
            <w:vAlign w:val="bottom"/>
          </w:tcPr>
          <w:p>
            <w:pPr>
              <w:spacing w:after="0"/>
              <w:rPr>
                <w:sz w:val="20"/>
                <w:szCs w:val="20"/>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(12,913)</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w:t>
            </w:r>
          </w:p>
        </w:tc>
      </w:tr>
      <w:tr>
        <w:trPr>
          <w:trHeight w:val="25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5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104,111</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161,473</w:t>
            </w:r>
          </w:p>
        </w:tc>
        <w:tc>
          <w:tcPr>
            <w:tcW w:w="3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(57,362)</w:t>
            </w: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(35.5)</w:t>
            </w: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 Home Loan Bank of Des Moines Stock</w:t>
            </w:r>
          </w:p>
        </w:tc>
        <w:tc>
          <w:tcPr>
            <w:tcW w:w="5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34,750</w:t>
            </w:r>
          </w:p>
        </w:tc>
        <w:tc>
          <w:tcPr>
            <w:tcW w:w="340" w:type="dxa"/>
            <w:vAlign w:val="bottom"/>
          </w:tcPr>
          <w:p>
            <w:pPr>
              <w:spacing w:after="0"/>
              <w:rPr>
                <w:sz w:val="20"/>
                <w:szCs w:val="20"/>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Federal Reserve Bank Stock</w:t>
            </w:r>
          </w:p>
        </w:tc>
        <w:tc>
          <w:tcPr>
            <w:tcW w:w="5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30,651</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30,339</w:t>
            </w:r>
          </w:p>
        </w:tc>
        <w:tc>
          <w:tcPr>
            <w:tcW w:w="3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312</w:t>
            </w:r>
          </w:p>
        </w:tc>
        <w:tc>
          <w:tcPr>
            <w:tcW w:w="1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w:t>
            </w: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w:t>
            </w:r>
          </w:p>
        </w:tc>
        <w:tc>
          <w:tcPr>
            <w:tcW w:w="5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24,075</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22,623</w:t>
            </w:r>
          </w:p>
        </w:tc>
        <w:tc>
          <w:tcPr>
            <w:tcW w:w="340" w:type="dxa"/>
            <w:vAlign w:val="bottom"/>
          </w:tcPr>
          <w:p>
            <w:pPr>
              <w:spacing w:after="0"/>
              <w:rPr>
                <w:sz w:val="20"/>
                <w:szCs w:val="20"/>
                <w:color w:val="auto"/>
              </w:rPr>
            </w:pPr>
          </w:p>
        </w:tc>
        <w:tc>
          <w:tcPr>
            <w:tcW w:w="164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1,452</w:t>
            </w:r>
          </w:p>
        </w:tc>
        <w:tc>
          <w:tcPr>
            <w:tcW w:w="1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r>
      <w:tr>
        <w:trPr>
          <w:trHeight w:val="25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Compensation Plan Assets</w:t>
            </w:r>
          </w:p>
        </w:tc>
        <w:tc>
          <w:tcPr>
            <w:tcW w:w="5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15,277</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18,155</w:t>
            </w:r>
          </w:p>
        </w:tc>
        <w:tc>
          <w:tcPr>
            <w:tcW w:w="3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(2,878)</w:t>
            </w: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(15.9)</w:t>
            </w:r>
          </w:p>
        </w:tc>
      </w:tr>
      <w:tr>
        <w:trPr>
          <w:trHeight w:val="23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5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15,029</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16,981</w:t>
            </w:r>
          </w:p>
        </w:tc>
        <w:tc>
          <w:tcPr>
            <w:tcW w:w="340" w:type="dxa"/>
            <w:vAlign w:val="bottom"/>
          </w:tcPr>
          <w:p>
            <w:pPr>
              <w:spacing w:after="0"/>
              <w:rPr>
                <w:sz w:val="20"/>
                <w:szCs w:val="20"/>
                <w:color w:val="auto"/>
              </w:rPr>
            </w:pPr>
          </w:p>
        </w:tc>
        <w:tc>
          <w:tcPr>
            <w:tcW w:w="16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(1,952)</w:t>
            </w:r>
          </w:p>
        </w:tc>
        <w:tc>
          <w:tcPr>
            <w:tcW w:w="1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(11.5)</w:t>
            </w:r>
          </w:p>
        </w:tc>
      </w:tr>
      <w:tr>
        <w:trPr>
          <w:trHeight w:val="253"/>
        </w:trPr>
        <w:tc>
          <w:tcPr>
            <w:tcW w:w="3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Foreclosed Real Estate</w:t>
            </w:r>
          </w:p>
        </w:tc>
        <w:tc>
          <w:tcPr>
            <w:tcW w:w="5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34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(2,532)</w:t>
            </w:r>
          </w:p>
        </w:tc>
        <w:tc>
          <w:tcPr>
            <w:tcW w:w="16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(95.3)</w:t>
            </w:r>
          </w:p>
        </w:tc>
      </w:tr>
      <w:tr>
        <w:trPr>
          <w:trHeight w:val="237"/>
        </w:trPr>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5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43,364</w:t>
            </w: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44,279</w:t>
            </w: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(915)</w:t>
            </w:r>
          </w:p>
        </w:tc>
        <w:tc>
          <w:tcPr>
            <w:tcW w:w="16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r>
      <w:tr>
        <w:trPr>
          <w:trHeight w:val="261"/>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Assets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643,301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736,958</w:t>
            </w:r>
          </w:p>
        </w:tc>
        <w:tc>
          <w:tcPr>
            <w:tcW w:w="3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(93,657)</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0"/>
        </w:trPr>
        <w:tc>
          <w:tcPr>
            <w:tcW w:w="3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Derivative financial instruments decreased by $57.4 million or 35.5% due to changes in interest rates from December 2024 to September 2025, decreasing the valuation of customer swaps and fair value hedges. Deferred compensation plan assets decreased by $2.9 million or 15.9%, primarily due to distributions from the executive deferred compensation plan in 2025. Foreclosed real estate decreased by 2.5 million or 95.3%, primarily due to the sale of foreclosed properties during the nine months ended September 30, 2025. Accounts receivable decreased by $2.0 million or 11.5%, primarily due to changes in accruals and timing of payments.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9 presents the composition of our deposits by major customer categories.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Deposits</w:t>
            </w:r>
          </w:p>
        </w:tc>
        <w:tc>
          <w:tcPr>
            <w:tcW w:w="16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9</w:t>
            </w:r>
          </w:p>
        </w:tc>
      </w:tr>
      <w:tr>
        <w:trPr>
          <w:trHeight w:val="189"/>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640" w:type="dxa"/>
            <w:vAlign w:val="bottom"/>
          </w:tcPr>
          <w:p>
            <w:pPr>
              <w:spacing w:after="0"/>
              <w:rPr>
                <w:sz w:val="16"/>
                <w:szCs w:val="16"/>
                <w:color w:val="auto"/>
              </w:rPr>
            </w:pPr>
          </w:p>
        </w:tc>
        <w:tc>
          <w:tcPr>
            <w:tcW w:w="15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16"/>
                <w:szCs w:val="16"/>
                <w:color w:val="auto"/>
              </w:rPr>
            </w:pPr>
          </w:p>
        </w:tc>
        <w:tc>
          <w:tcPr>
            <w:tcW w:w="15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6"/>
                <w:szCs w:val="16"/>
                <w:color w:val="auto"/>
              </w:rPr>
            </w:pPr>
          </w:p>
        </w:tc>
        <w:tc>
          <w:tcPr>
            <w:tcW w:w="16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27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37"/>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10,393,932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10,397,777</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(3,845)</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640" w:type="dxa"/>
            <w:vAlign w:val="bottom"/>
          </w:tcPr>
          <w:p>
            <w:pPr>
              <w:spacing w:after="0"/>
              <w:rPr>
                <w:sz w:val="20"/>
                <w:szCs w:val="20"/>
                <w:color w:val="auto"/>
              </w:rPr>
            </w:pPr>
          </w:p>
        </w:tc>
        <w:tc>
          <w:tcPr>
            <w:tcW w:w="15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8,348,396</w:t>
            </w:r>
          </w:p>
        </w:tc>
        <w:tc>
          <w:tcPr>
            <w:tcW w:w="240" w:type="dxa"/>
            <w:vAlign w:val="bottom"/>
          </w:tcPr>
          <w:p>
            <w:pPr>
              <w:spacing w:after="0"/>
              <w:rPr>
                <w:sz w:val="20"/>
                <w:szCs w:val="20"/>
                <w:color w:val="auto"/>
              </w:rPr>
            </w:pPr>
          </w:p>
        </w:tc>
        <w:tc>
          <w:tcPr>
            <w:tcW w:w="15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8,299,590</w:t>
            </w:r>
          </w:p>
        </w:tc>
        <w:tc>
          <w:tcPr>
            <w:tcW w:w="300" w:type="dxa"/>
            <w:vAlign w:val="bottom"/>
          </w:tcPr>
          <w:p>
            <w:pPr>
              <w:spacing w:after="0"/>
              <w:rPr>
                <w:sz w:val="20"/>
                <w:szCs w:val="20"/>
                <w:color w:val="auto"/>
              </w:rPr>
            </w:pPr>
          </w:p>
        </w:tc>
        <w:tc>
          <w:tcPr>
            <w:tcW w:w="164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48,806</w:t>
            </w:r>
          </w:p>
        </w:tc>
        <w:tc>
          <w:tcPr>
            <w:tcW w:w="16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0.6</w:t>
            </w:r>
          </w:p>
        </w:tc>
      </w:tr>
      <w:tr>
        <w:trPr>
          <w:trHeight w:val="246"/>
        </w:trPr>
        <w:tc>
          <w:tcPr>
            <w:tcW w:w="2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and Other</w:t>
            </w:r>
          </w:p>
        </w:tc>
        <w:tc>
          <w:tcPr>
            <w:tcW w:w="16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2,338,341</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1,935,670</w:t>
            </w:r>
          </w:p>
        </w:tc>
        <w:tc>
          <w:tcPr>
            <w:tcW w:w="3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402,671</w:t>
            </w:r>
          </w:p>
        </w:tc>
        <w:tc>
          <w:tcPr>
            <w:tcW w:w="16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20.8</w:t>
            </w:r>
          </w:p>
        </w:tc>
      </w:tr>
      <w:tr>
        <w:trPr>
          <w:trHeight w:val="236"/>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Deposits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21,080,669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20,633,037</w:t>
            </w:r>
          </w:p>
        </w:tc>
        <w:tc>
          <w:tcPr>
            <w:tcW w:w="3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447,632</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7"/>
        </w:trPr>
        <w:tc>
          <w:tcPr>
            <w:tcW w:w="27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Total deposits were $21.1 billion as of September 30, 2025, an increase of $447.6 million or 2.2% from December 31, 2024. Consumer deposits decreased by $3.8 million due to decreases of $101.2 million in interest-bearing deposits and $58.3 million in time deposits, partially offset by increases of 149.4 million in savings deposits and $6.3 million in non-interest bearing deposits. Commercial deposits increased by $48.8 million primarily from increases of $69.1 million in interest-bearing deposits, partially offset by a decrease of $20.3 million in non-interest bearing deposits. Public and other deposits increased by $402.7 million due to an increase of $411.3 million in interest-bearing deposits, partially offset by a decrease of $8.6 million in non-interest bearing deposits.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10 presents the composition of our savings deposits.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Savings Deposits</w:t>
            </w:r>
          </w:p>
        </w:tc>
        <w:tc>
          <w:tcPr>
            <w:tcW w:w="1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10</w:t>
            </w:r>
          </w:p>
        </w:tc>
      </w:tr>
      <w:tr>
        <w:trPr>
          <w:trHeight w:val="23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(dollars in thousands)</w:t>
            </w:r>
          </w:p>
        </w:tc>
        <w:tc>
          <w:tcPr>
            <w:tcW w:w="1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3,396,404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3,430,047</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(33,643)</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6"/>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Regular Savings</w:t>
            </w:r>
          </w:p>
        </w:tc>
        <w:tc>
          <w:tcPr>
            <w:tcW w:w="1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5,418,047</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4,934,869</w:t>
            </w: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483,178</w:t>
            </w:r>
          </w:p>
        </w:tc>
        <w:tc>
          <w:tcPr>
            <w:tcW w:w="16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9.8</w:t>
            </w:r>
          </w:p>
        </w:tc>
      </w:tr>
      <w:tr>
        <w:trPr>
          <w:trHeight w:val="262"/>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Savings Deposits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8,814,451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8,364,916</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449,535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0"/>
        </w:trPr>
        <w:tc>
          <w:tcPr>
            <w:tcW w:w="29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increase in Regular Savings was primarily due to increases in consumer deposits of $162.4 million, public deposits of $295.7 million, and commercial deposits of $25.1 million. The decrease in Money Market was primarily due to decreases in commercial deposits of $20.7 million and consumer deposits of $13.0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11 presents the maturity distribution of the estimated uninsured time deposits.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Distribution of Estimated Uninsured Time Deposits</w:t>
            </w:r>
          </w:p>
        </w:tc>
        <w:tc>
          <w:tcPr>
            <w:tcW w:w="9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11</w:t>
            </w:r>
          </w:p>
        </w:tc>
      </w:tr>
      <w:tr>
        <w:trPr>
          <w:trHeight w:val="193"/>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900" w:type="dxa"/>
            <w:vAlign w:val="bottom"/>
          </w:tcPr>
          <w:p>
            <w:pPr>
              <w:spacing w:after="0"/>
              <w:rPr>
                <w:sz w:val="16"/>
                <w:szCs w:val="16"/>
                <w:color w:val="auto"/>
              </w:rPr>
            </w:pPr>
          </w:p>
        </w:tc>
        <w:tc>
          <w:tcPr>
            <w:tcW w:w="16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6"/>
                <w:szCs w:val="16"/>
                <w:color w:val="auto"/>
              </w:rPr>
            </w:pPr>
          </w:p>
        </w:tc>
        <w:tc>
          <w:tcPr>
            <w:tcW w:w="16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60" w:type="dxa"/>
            <w:vAlign w:val="bottom"/>
          </w:tcPr>
          <w:p>
            <w:pPr>
              <w:spacing w:after="0"/>
              <w:rPr>
                <w:sz w:val="16"/>
                <w:szCs w:val="16"/>
                <w:color w:val="auto"/>
              </w:rPr>
            </w:pPr>
          </w:p>
        </w:tc>
        <w:tc>
          <w:tcPr>
            <w:tcW w:w="140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49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Remaining maturity:</w:t>
            </w:r>
          </w:p>
        </w:tc>
        <w:tc>
          <w:tcPr>
            <w:tcW w:w="90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33"/>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Three months or less</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817,093</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635,812</w:t>
            </w:r>
          </w:p>
        </w:tc>
        <w:tc>
          <w:tcPr>
            <w:tcW w:w="4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181,281</w:t>
            </w:r>
          </w:p>
        </w:tc>
      </w:tr>
      <w:tr>
        <w:trPr>
          <w:trHeight w:val="253"/>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After three through six months</w:t>
            </w:r>
          </w:p>
        </w:tc>
        <w:tc>
          <w:tcPr>
            <w:tcW w:w="90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352,526</w:t>
            </w:r>
          </w:p>
        </w:tc>
        <w:tc>
          <w:tcPr>
            <w:tcW w:w="28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365,354</w:t>
            </w:r>
          </w:p>
        </w:tc>
        <w:tc>
          <w:tcPr>
            <w:tcW w:w="4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(12,828)</w:t>
            </w:r>
          </w:p>
        </w:tc>
      </w:tr>
      <w:tr>
        <w:trPr>
          <w:trHeight w:val="233"/>
        </w:trPr>
        <w:tc>
          <w:tcPr>
            <w:tcW w:w="4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After six through twelve months</w:t>
            </w:r>
          </w:p>
        </w:tc>
        <w:tc>
          <w:tcPr>
            <w:tcW w:w="900" w:type="dxa"/>
            <w:vAlign w:val="bottom"/>
          </w:tcPr>
          <w:p>
            <w:pPr>
              <w:spacing w:after="0"/>
              <w:rPr>
                <w:sz w:val="20"/>
                <w:szCs w:val="20"/>
                <w:color w:val="auto"/>
              </w:rPr>
            </w:pP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305,785</w:t>
            </w:r>
          </w:p>
        </w:tc>
        <w:tc>
          <w:tcPr>
            <w:tcW w:w="280" w:type="dxa"/>
            <w:vAlign w:val="bottom"/>
          </w:tcPr>
          <w:p>
            <w:pPr>
              <w:spacing w:after="0"/>
              <w:rPr>
                <w:sz w:val="20"/>
                <w:szCs w:val="20"/>
                <w:color w:val="auto"/>
              </w:rPr>
            </w:pPr>
          </w:p>
        </w:tc>
        <w:tc>
          <w:tcPr>
            <w:tcW w:w="1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524,286</w:t>
            </w:r>
          </w:p>
        </w:tc>
        <w:tc>
          <w:tcPr>
            <w:tcW w:w="4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(218,501)</w:t>
            </w:r>
          </w:p>
        </w:tc>
      </w:tr>
      <w:tr>
        <w:trPr>
          <w:trHeight w:val="246"/>
        </w:trPr>
        <w:tc>
          <w:tcPr>
            <w:tcW w:w="49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After twelve months</w:t>
            </w:r>
          </w:p>
        </w:tc>
        <w:tc>
          <w:tcPr>
            <w:tcW w:w="900" w:type="dxa"/>
            <w:vAlign w:val="bottom"/>
            <w:tcBorders>
              <w:bottom w:val="single" w:sz="8" w:color="auto"/>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177,147</w:t>
            </w:r>
          </w:p>
        </w:tc>
        <w:tc>
          <w:tcPr>
            <w:tcW w:w="2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102,795</w:t>
            </w:r>
          </w:p>
        </w:tc>
        <w:tc>
          <w:tcPr>
            <w:tcW w:w="4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74,352</w:t>
            </w:r>
          </w:p>
        </w:tc>
      </w:tr>
      <w:tr>
        <w:trPr>
          <w:trHeight w:val="237"/>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1,652,551</w:t>
            </w:r>
          </w:p>
        </w:tc>
        <w:tc>
          <w:tcPr>
            <w:tcW w:w="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1,628,247</w:t>
            </w:r>
          </w:p>
        </w:tc>
        <w:tc>
          <w:tcPr>
            <w:tcW w:w="4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24,304</w:t>
            </w:r>
          </w:p>
        </w:tc>
      </w:tr>
      <w:tr>
        <w:trPr>
          <w:trHeight w:val="27"/>
        </w:trPr>
        <w:tc>
          <w:tcPr>
            <w:tcW w:w="49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Estimated uninsured deposits are calculated pursuant to regulatory guidance and reported in our Call Report and include deposits collateralized by government-backed securities and intercompany deposits of wholly-owned subsidiaries. Table 12 presents a reconciliation of our estimated uninsured deposits as reported in our Call Report to our adjusted uninsured deposits. We believe the adjusted uninsured deposits reconciliation provides useful information about our deposits at risk.</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Uninsured Deposits Reconciliation</w:t>
            </w:r>
          </w:p>
        </w:tc>
        <w:tc>
          <w:tcPr>
            <w:tcW w:w="18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12</w:t>
            </w:r>
          </w:p>
        </w:tc>
      </w:tr>
      <w:tr>
        <w:trPr>
          <w:trHeight w:val="19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840" w:type="dxa"/>
            <w:vAlign w:val="bottom"/>
          </w:tcPr>
          <w:p>
            <w:pPr>
              <w:spacing w:after="0"/>
              <w:rPr>
                <w:sz w:val="16"/>
                <w:szCs w:val="16"/>
                <w:color w:val="auto"/>
              </w:rPr>
            </w:pPr>
          </w:p>
        </w:tc>
        <w:tc>
          <w:tcPr>
            <w:tcW w:w="174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 xml:space="preserve">September 30, 2025 </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16"/>
                <w:szCs w:val="16"/>
                <w:color w:val="auto"/>
              </w:rPr>
            </w:pPr>
          </w:p>
        </w:tc>
        <w:tc>
          <w:tcPr>
            <w:tcW w:w="168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 xml:space="preserve">December 31, 2024 </w:t>
            </w:r>
            <w:r>
              <w:rPr>
                <w:rFonts w:ascii="Times New Roman" w:cs="Times New Roman" w:eastAsia="Times New Roman" w:hAnsi="Times New Roman"/>
                <w:sz w:val="9"/>
                <w:szCs w:val="9"/>
                <w:b w:val="1"/>
                <w:bCs w:val="1"/>
                <w:color w:val="auto"/>
              </w:rPr>
              <w:t>2</w:t>
            </w:r>
          </w:p>
        </w:tc>
      </w:tr>
      <w:tr>
        <w:trPr>
          <w:trHeight w:val="37"/>
        </w:trPr>
        <w:tc>
          <w:tcPr>
            <w:tcW w:w="572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3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Estimated Uninsured Deposits, as Reported in our Call Report</w:t>
            </w:r>
          </w:p>
        </w:tc>
        <w:tc>
          <w:tcPr>
            <w:tcW w:w="1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10,092,260</w:t>
            </w:r>
          </w:p>
        </w:tc>
        <w:tc>
          <w:tcPr>
            <w:tcW w:w="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9,754,299</w:t>
            </w:r>
          </w:p>
        </w:tc>
      </w:tr>
      <w:tr>
        <w:trPr>
          <w:trHeight w:val="23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8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53"/>
        </w:trPr>
        <w:tc>
          <w:tcPr>
            <w:tcW w:w="5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Deposits Collateralized by Government-Backed Securities</w:t>
            </w:r>
          </w:p>
        </w:tc>
        <w:tc>
          <w:tcPr>
            <w:tcW w:w="184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(2,205,398)</w:t>
            </w: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(1,794,050)</w:t>
            </w:r>
          </w:p>
        </w:tc>
      </w:tr>
      <w:tr>
        <w:trPr>
          <w:trHeight w:val="233"/>
        </w:trPr>
        <w:tc>
          <w:tcPr>
            <w:tcW w:w="5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Intercompany Deposits of Wholly-Owned Subsidiaries</w:t>
            </w:r>
          </w:p>
        </w:tc>
        <w:tc>
          <w:tcPr>
            <w:tcW w:w="1840" w:type="dxa"/>
            <w:vAlign w:val="bottom"/>
          </w:tcPr>
          <w:p>
            <w:pPr>
              <w:spacing w:after="0"/>
              <w:rPr>
                <w:sz w:val="20"/>
                <w:szCs w:val="20"/>
                <w:color w:val="auto"/>
              </w:rPr>
            </w:pP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(122,510)</w:t>
            </w: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(121,932)</w:t>
            </w:r>
          </w:p>
        </w:tc>
      </w:tr>
      <w:tr>
        <w:trPr>
          <w:trHeight w:val="246"/>
        </w:trPr>
        <w:tc>
          <w:tcPr>
            <w:tcW w:w="572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184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(109,607)</w:t>
            </w:r>
          </w:p>
        </w:tc>
        <w:tc>
          <w:tcPr>
            <w:tcW w:w="26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(110,995)</w:t>
            </w:r>
          </w:p>
        </w:tc>
      </w:tr>
      <w:tr>
        <w:trPr>
          <w:trHeight w:val="237"/>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Uninsured Deposits</w:t>
            </w:r>
          </w:p>
        </w:tc>
        <w:tc>
          <w:tcPr>
            <w:tcW w:w="1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7,654,745</w:t>
            </w:r>
          </w:p>
        </w:tc>
        <w:tc>
          <w:tcPr>
            <w:tcW w:w="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7,727,322</w:t>
            </w:r>
          </w:p>
        </w:tc>
      </w:tr>
      <w:tr>
        <w:trPr>
          <w:trHeight w:val="27"/>
        </w:trPr>
        <w:tc>
          <w:tcPr>
            <w:tcW w:w="5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bl>
    <w:p>
      <w:pPr>
        <w:spacing w:after="0" w:line="36"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presented as of September 30, 2025 are preliminary.</w:t>
      </w:r>
    </w:p>
    <w:p>
      <w:pPr>
        <w:ind w:left="400" w:hanging="392"/>
        <w:spacing w:after="0" w:line="199" w:lineRule="auto"/>
        <w:tabs>
          <w:tab w:leader="none" w:pos="40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Balances presented as of December 31, 2024 were revised to reflect changes made in our Call Report.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Sold Under Agreements to Repurchase</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Securities sold under agreements to repurchase were $50.0 million and $100.0 million as of September 30, 2025 and December 31, 2024, respectively. In February 2025, a private institution exercised its right to call on a repurchase agreement with a balance of $50.0 million, resulting in its termination. As of September 30, 2025, our remaining repurchase agreement was at a fixed interest rate of 3.89% with a remaining maturity of 4.13 years. Our repurchase agreement was accounted for as a collateralized financing arrangement (i.e., a secured borrowing) and not as a sale and subsequent repurchase of securities.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13 presents the composition of our other debt.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Debt</w:t>
            </w:r>
          </w:p>
        </w:tc>
        <w:tc>
          <w:tcPr>
            <w:tcW w:w="1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w w:val="96"/>
              </w:rPr>
              <w:t>Table 13</w:t>
            </w:r>
          </w:p>
        </w:tc>
      </w:tr>
      <w:tr>
        <w:trPr>
          <w:trHeight w:val="186"/>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340" w:type="dxa"/>
            <w:vAlign w:val="bottom"/>
          </w:tcPr>
          <w:p>
            <w:pPr>
              <w:spacing w:after="0"/>
              <w:rPr>
                <w:sz w:val="16"/>
                <w:szCs w:val="16"/>
                <w:color w:val="auto"/>
              </w:rPr>
            </w:pPr>
          </w:p>
        </w:tc>
        <w:tc>
          <w:tcPr>
            <w:tcW w:w="16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6"/>
                <w:szCs w:val="16"/>
                <w:color w:val="auto"/>
              </w:rPr>
            </w:pPr>
          </w:p>
        </w:tc>
        <w:tc>
          <w:tcPr>
            <w:tcW w:w="160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40" w:type="dxa"/>
            <w:vAlign w:val="bottom"/>
          </w:tcPr>
          <w:p>
            <w:pPr>
              <w:spacing w:after="0"/>
              <w:rPr>
                <w:sz w:val="16"/>
                <w:szCs w:val="16"/>
                <w:color w:val="auto"/>
              </w:rPr>
            </w:pPr>
          </w:p>
        </w:tc>
        <w:tc>
          <w:tcPr>
            <w:tcW w:w="15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Dollar Change</w:t>
            </w:r>
          </w:p>
        </w:tc>
      </w:tr>
      <w:tr>
        <w:trPr>
          <w:trHeight w:val="37"/>
        </w:trPr>
        <w:tc>
          <w:tcPr>
            <w:tcW w:w="45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 of Des Moines Advances</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550,000</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550,000</w:t>
            </w:r>
          </w:p>
        </w:tc>
        <w:tc>
          <w:tcPr>
            <w:tcW w:w="3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center"/>
              <w:ind w:left="1159"/>
              <w:spacing w:after="0"/>
              <w:rPr>
                <w:sz w:val="20"/>
                <w:szCs w:val="20"/>
                <w:color w:val="auto"/>
              </w:rPr>
            </w:pPr>
            <w:r>
              <w:rPr>
                <w:rFonts w:ascii="Times New Roman" w:cs="Times New Roman" w:eastAsia="Times New Roman" w:hAnsi="Times New Roman"/>
                <w:sz w:val="16"/>
                <w:szCs w:val="16"/>
                <w:color w:val="auto"/>
                <w:w w:val="99"/>
              </w:rPr>
              <w:t>—</w:t>
            </w:r>
          </w:p>
        </w:tc>
      </w:tr>
      <w:tr>
        <w:trPr>
          <w:trHeight w:val="237"/>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Finance Lease Obligations</w:t>
            </w:r>
          </w:p>
        </w:tc>
        <w:tc>
          <w:tcPr>
            <w:tcW w:w="1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8,201</w:t>
            </w: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8,274</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left="1119"/>
              <w:spacing w:after="0"/>
              <w:rPr>
                <w:sz w:val="20"/>
                <w:szCs w:val="20"/>
                <w:color w:val="auto"/>
              </w:rPr>
            </w:pPr>
            <w:r>
              <w:rPr>
                <w:rFonts w:ascii="Times New Roman" w:cs="Times New Roman" w:eastAsia="Times New Roman" w:hAnsi="Times New Roman"/>
                <w:sz w:val="16"/>
                <w:szCs w:val="16"/>
                <w:color w:val="auto"/>
              </w:rPr>
              <w:t>(73)</w:t>
            </w:r>
          </w:p>
        </w:tc>
      </w:tr>
      <w:tr>
        <w:trPr>
          <w:trHeight w:val="261"/>
        </w:trPr>
        <w:tc>
          <w:tcPr>
            <w:tcW w:w="4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558,201</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558,274</w:t>
            </w:r>
          </w:p>
        </w:tc>
        <w:tc>
          <w:tcPr>
            <w:tcW w:w="3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center"/>
              <w:ind w:left="1119"/>
              <w:spacing w:after="0"/>
              <w:rPr>
                <w:sz w:val="20"/>
                <w:szCs w:val="20"/>
                <w:color w:val="auto"/>
              </w:rPr>
            </w:pPr>
            <w:r>
              <w:rPr>
                <w:rFonts w:ascii="Times New Roman" w:cs="Times New Roman" w:eastAsia="Times New Roman" w:hAnsi="Times New Roman"/>
                <w:sz w:val="16"/>
                <w:szCs w:val="16"/>
                <w:color w:val="auto"/>
              </w:rPr>
              <w:t>(73)</w:t>
            </w:r>
          </w:p>
        </w:tc>
      </w:tr>
      <w:tr>
        <w:trPr>
          <w:trHeight w:val="20"/>
        </w:trPr>
        <w:tc>
          <w:tcPr>
            <w:tcW w:w="45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Business Segments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segments are defined as Consumer Banking, Commercial Banking, and Treasury and Other.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Table 14 summarizes net income from our business segments. Additional information about segment performance is presented in Note 9 </w:t>
      </w:r>
      <w:r>
        <w:rPr>
          <w:rFonts w:ascii="Times New Roman" w:cs="Times New Roman" w:eastAsia="Times New Roman" w:hAnsi="Times New Roman"/>
          <w:sz w:val="18"/>
          <w:szCs w:val="18"/>
          <w:i w:val="1"/>
          <w:iCs w:val="1"/>
          <w:color w:val="auto"/>
        </w:rPr>
        <w:t>Business Segments</w:t>
      </w:r>
      <w:r>
        <w:rPr>
          <w:rFonts w:ascii="Times New Roman" w:cs="Times New Roman" w:eastAsia="Times New Roman" w:hAnsi="Times New Roman"/>
          <w:sz w:val="18"/>
          <w:szCs w:val="18"/>
          <w:color w:val="auto"/>
        </w:rPr>
        <w:t xml:space="preserve"> to the unaudited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Business Segment Net Income</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14</w:t>
            </w:r>
          </w:p>
        </w:tc>
      </w:tr>
      <w:tr>
        <w:trPr>
          <w:trHeight w:val="193"/>
        </w:trPr>
        <w:tc>
          <w:tcPr>
            <w:tcW w:w="2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40" w:type="dxa"/>
            <w:vAlign w:val="bottom"/>
          </w:tcPr>
          <w:p>
            <w:pPr>
              <w:spacing w:after="0"/>
              <w:rPr>
                <w:sz w:val="16"/>
                <w:szCs w:val="16"/>
                <w:color w:val="auto"/>
              </w:rPr>
            </w:pPr>
          </w:p>
        </w:tc>
      </w:tr>
      <w:tr>
        <w:trPr>
          <w:trHeight w:val="37"/>
        </w:trPr>
        <w:tc>
          <w:tcPr>
            <w:tcW w:w="20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00" w:type="dxa"/>
            <w:vAlign w:val="bottom"/>
          </w:tcPr>
          <w:p>
            <w:pPr>
              <w:spacing w:after="0"/>
              <w:rPr>
                <w:sz w:val="16"/>
                <w:szCs w:val="16"/>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22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84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Percent Change</w:t>
            </w:r>
          </w:p>
        </w:tc>
      </w:tr>
      <w:tr>
        <w:trPr>
          <w:trHeight w:val="37"/>
        </w:trPr>
        <w:tc>
          <w:tcPr>
            <w:tcW w:w="2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Consumer Banking</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29,918</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center"/>
              <w:ind w:left="101"/>
              <w:spacing w:after="0"/>
              <w:rPr>
                <w:sz w:val="20"/>
                <w:szCs w:val="20"/>
                <w:color w:val="auto"/>
              </w:rPr>
            </w:pPr>
            <w:r>
              <w:rPr>
                <w:rFonts w:ascii="Times New Roman" w:cs="Times New Roman" w:eastAsia="Times New Roman" w:hAnsi="Times New Roman"/>
                <w:sz w:val="16"/>
                <w:szCs w:val="16"/>
                <w:color w:val="auto"/>
              </w:rPr>
              <w:t>32,993</w:t>
            </w:r>
          </w:p>
        </w:tc>
        <w:tc>
          <w:tcPr>
            <w:tcW w:w="3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(3,075)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89,107</w:t>
            </w:r>
          </w:p>
        </w:tc>
        <w:tc>
          <w:tcPr>
            <w:tcW w:w="28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97,086</w:t>
            </w:r>
          </w:p>
        </w:tc>
        <w:tc>
          <w:tcPr>
            <w:tcW w:w="36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(7,979)</w:t>
            </w:r>
          </w:p>
        </w:tc>
        <w:tc>
          <w:tcPr>
            <w:tcW w:w="11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(8.2)%</w:t>
            </w:r>
          </w:p>
        </w:tc>
      </w:tr>
      <w:tr>
        <w:trPr>
          <w:trHeight w:val="237"/>
        </w:trPr>
        <w:tc>
          <w:tcPr>
            <w:tcW w:w="2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Commercial Banking</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color w:val="auto"/>
              </w:rPr>
              <w:t>33,091</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101"/>
              <w:spacing w:after="0"/>
              <w:rPr>
                <w:sz w:val="20"/>
                <w:szCs w:val="20"/>
                <w:color w:val="auto"/>
              </w:rPr>
            </w:pPr>
            <w:r>
              <w:rPr>
                <w:rFonts w:ascii="Times New Roman" w:cs="Times New Roman" w:eastAsia="Times New Roman" w:hAnsi="Times New Roman"/>
                <w:sz w:val="16"/>
                <w:szCs w:val="16"/>
                <w:color w:val="auto"/>
              </w:rPr>
              <w:t>28,929</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4,162</w:t>
            </w: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95,474</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87,784</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7,690</w:t>
            </w: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8.8</w:t>
            </w:r>
          </w:p>
        </w:tc>
      </w:tr>
      <w:tr>
        <w:trPr>
          <w:trHeight w:val="243"/>
        </w:trPr>
        <w:tc>
          <w:tcPr>
            <w:tcW w:w="2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63,009</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center"/>
              <w:ind w:left="101"/>
              <w:spacing w:after="0"/>
              <w:rPr>
                <w:sz w:val="20"/>
                <w:szCs w:val="20"/>
                <w:color w:val="auto"/>
              </w:rPr>
            </w:pPr>
            <w:r>
              <w:rPr>
                <w:rFonts w:ascii="Times New Roman" w:cs="Times New Roman" w:eastAsia="Times New Roman" w:hAnsi="Times New Roman"/>
                <w:sz w:val="16"/>
                <w:szCs w:val="16"/>
                <w:color w:val="auto"/>
              </w:rPr>
              <w:t>61,922</w:t>
            </w:r>
          </w:p>
        </w:tc>
        <w:tc>
          <w:tcPr>
            <w:tcW w:w="36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1,087</w:t>
            </w:r>
          </w:p>
        </w:tc>
        <w:tc>
          <w:tcPr>
            <w:tcW w:w="112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184,581</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184,870</w:t>
            </w: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(289)</w:t>
            </w:r>
          </w:p>
        </w:tc>
        <w:tc>
          <w:tcPr>
            <w:tcW w:w="114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(0.2)</w:t>
            </w:r>
          </w:p>
        </w:tc>
      </w:tr>
      <w:tr>
        <w:trPr>
          <w:trHeight w:val="236"/>
        </w:trPr>
        <w:tc>
          <w:tcPr>
            <w:tcW w:w="2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Treasury and Other</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(9,664)</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left="81"/>
              <w:spacing w:after="0"/>
              <w:rPr>
                <w:sz w:val="20"/>
                <w:szCs w:val="20"/>
                <w:color w:val="auto"/>
              </w:rPr>
            </w:pPr>
            <w:r>
              <w:rPr>
                <w:rFonts w:ascii="Times New Roman" w:cs="Times New Roman" w:eastAsia="Times New Roman" w:hAnsi="Times New Roman"/>
                <w:sz w:val="16"/>
                <w:szCs w:val="16"/>
                <w:color w:val="auto"/>
              </w:rPr>
              <w:t>(21,564)</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11,900</w:t>
            </w:r>
          </w:p>
        </w:tc>
        <w:tc>
          <w:tcPr>
            <w:tcW w:w="11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55.2</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(39,614)</w:t>
            </w: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(74,038)</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34,424</w:t>
            </w:r>
          </w:p>
        </w:tc>
        <w:tc>
          <w:tcPr>
            <w:tcW w:w="114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46.5</w:t>
            </w:r>
          </w:p>
        </w:tc>
      </w:tr>
      <w:tr>
        <w:trPr>
          <w:trHeight w:val="262"/>
        </w:trPr>
        <w:tc>
          <w:tcPr>
            <w:tcW w:w="210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Total</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53,345</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center"/>
              <w:ind w:left="101"/>
              <w:spacing w:after="0"/>
              <w:rPr>
                <w:sz w:val="20"/>
                <w:szCs w:val="20"/>
                <w:color w:val="auto"/>
              </w:rPr>
            </w:pPr>
            <w:r>
              <w:rPr>
                <w:rFonts w:ascii="Times New Roman" w:cs="Times New Roman" w:eastAsia="Times New Roman" w:hAnsi="Times New Roman"/>
                <w:sz w:val="16"/>
                <w:szCs w:val="16"/>
                <w:color w:val="auto"/>
              </w:rPr>
              <w:t>40,358</w:t>
            </w:r>
          </w:p>
        </w:tc>
        <w:tc>
          <w:tcPr>
            <w:tcW w:w="36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12,987</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32.2 %</w:t>
            </w:r>
          </w:p>
        </w:tc>
        <w:tc>
          <w:tcPr>
            <w:tcW w:w="10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144,967</w:t>
            </w:r>
          </w:p>
        </w:tc>
        <w:tc>
          <w:tcPr>
            <w:tcW w:w="28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110,832</w:t>
            </w:r>
          </w:p>
        </w:tc>
        <w:tc>
          <w:tcPr>
            <w:tcW w:w="360" w:type="dxa"/>
            <w:vAlign w:val="bottom"/>
            <w:tcBorders>
              <w:bottom w:val="single" w:sz="8" w:color="auto"/>
            </w:tcBorders>
            <w:shd w:val="clear" w:color="auto" w:fill="CFF0FC"/>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34,135</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30.8 %</w:t>
            </w:r>
          </w:p>
        </w:tc>
      </w:tr>
      <w:tr>
        <w:trPr>
          <w:trHeight w:val="20"/>
        </w:trPr>
        <w:tc>
          <w:tcPr>
            <w:tcW w:w="208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Banking</w:t>
      </w:r>
    </w:p>
    <w:p>
      <w:pPr>
        <w:spacing w:after="0" w:line="18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8"/>
          <w:szCs w:val="18"/>
          <w:color w:val="auto"/>
        </w:rPr>
        <w:t>Net income decreased by $3.1 million or 9% in the third quarter of 2025 compared to the same period last year, primarily due to an increase in noninterest expense and a decrease in net interest income. This was partially offset by a decrease in the provision for loan losses. Noninterest expense increased by $2.4 million or 3%, primarily due to higher salaries and benefits expense, mobile and online banking platform costs, and allocated administrative and support unit costs. Net interest income decreased by $2.0 million or 2%, primarily due to lower deposit spreads on higher deposit balances. The provision for loan losses decreased by $0.5 million or 16%, primarily due to lower net charge-offs in the auto loan portfolio.</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decreased by $8.0 million or 8% in the first nine months of 2025 compared to the same period last year, primarily due to a decrease in net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and an increase in noninterest expense. This was partially offset by an increase in noninterest income. Net interest income decreased by</w:t>
      </w:r>
    </w:p>
    <w:p>
      <w:pPr>
        <w:spacing w:after="0" w:line="234" w:lineRule="auto"/>
        <w:rPr>
          <w:sz w:val="20"/>
          <w:szCs w:val="20"/>
          <w:color w:val="auto"/>
        </w:rPr>
      </w:pPr>
      <w:r>
        <w:rPr>
          <w:rFonts w:ascii="Times New Roman" w:cs="Times New Roman" w:eastAsia="Times New Roman" w:hAnsi="Times New Roman"/>
          <w:sz w:val="18"/>
          <w:szCs w:val="18"/>
          <w:color w:val="auto"/>
        </w:rPr>
        <w:t>$6.2 million or 2%, primarily due to lower deposit spreads on higher deposit balances. Noninterest expense increased by $5.9 million or 2%, primarily due</w:t>
      </w:r>
    </w:p>
    <w:p>
      <w:pPr>
        <w:spacing w:after="0" w:line="235" w:lineRule="auto"/>
        <w:rPr>
          <w:sz w:val="20"/>
          <w:szCs w:val="20"/>
          <w:color w:val="auto"/>
        </w:rPr>
      </w:pPr>
      <w:r>
        <w:rPr>
          <w:rFonts w:ascii="Times New Roman" w:cs="Times New Roman" w:eastAsia="Times New Roman" w:hAnsi="Times New Roman"/>
          <w:sz w:val="18"/>
          <w:szCs w:val="18"/>
          <w:color w:val="auto"/>
        </w:rPr>
        <w:t>to higher salaries and benefits expense, mobile and online banking platform costs, operational losses, card production costs, and allocated administrative</w:t>
      </w:r>
    </w:p>
    <w:p>
      <w:pPr>
        <w:spacing w:after="0" w:line="235" w:lineRule="auto"/>
        <w:rPr>
          <w:sz w:val="20"/>
          <w:szCs w:val="20"/>
          <w:color w:val="auto"/>
        </w:rPr>
      </w:pPr>
      <w:r>
        <w:rPr>
          <w:rFonts w:ascii="Times New Roman" w:cs="Times New Roman" w:eastAsia="Times New Roman" w:hAnsi="Times New Roman"/>
          <w:sz w:val="18"/>
          <w:szCs w:val="18"/>
          <w:color w:val="auto"/>
        </w:rPr>
        <w:t>and support unit costs. Noninterest income increased by $1.6 million or 2%, primarily due to increases in trust and asset management income, monthly</w:t>
      </w:r>
    </w:p>
    <w:p>
      <w:pPr>
        <w:spacing w:after="0"/>
        <w:rPr>
          <w:sz w:val="20"/>
          <w:szCs w:val="20"/>
          <w:color w:val="auto"/>
        </w:rPr>
      </w:pPr>
      <w:r>
        <w:rPr>
          <w:rFonts w:ascii="Times New Roman" w:cs="Times New Roman" w:eastAsia="Times New Roman" w:hAnsi="Times New Roman"/>
          <w:sz w:val="18"/>
          <w:szCs w:val="18"/>
          <w:color w:val="auto"/>
        </w:rPr>
        <w:t>service fees, and credit card commissions, partially offset by a decrease in mortgage banking income.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Banking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increased by $4.2 million or 14% in the third quarter of 2025 compared to the same period last year, primarily due to an increase in net interest income and noninterest income, partially offset by an increase in noninterest expense. Net interest income increased by $3.6 million or 7%, primarily due to an increase in loan balances, primarily in commercial mortgages, as well as a net increase in allocated interest income related to increases in balances and spreads on interest-bearing and savings deposits, partially offset by a decline in noninterest-bearing deposits. Noninterest income increased by $1.8 million or 23%, primarily due to higher customer derivative program revenue, merchant revenue, loan and commitment fees, and analyzed deposit account fees. Noninterest expense increased by $0.4 million or 2%, primarily due to higher allocated administrative, support unit and branch expenses, professional fees, and data processing, partially offset by lower equipment expense and fewer operational losses in the period.</w:t>
      </w:r>
    </w:p>
    <w:p>
      <w:pPr>
        <w:spacing w:after="0" w:line="21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Net income increased by $7.7 million or 9% in the first nine months of 2025 compared to the same period last year, primarily due to an increase in net interest income and noninterest income, partially offset by an increase in noninterest expense. Net interest income increased by $10.8 million or 7%, primarily due to an increase in loan balances, primarily in commercial mortgages, as well as a net increase in allocated interest income related to increases in balances and spreads on interest-bearing and savings deposits, partially offset by a decline in noninterest-bearing deposit balances. Noninterest income increased by $2.2 million or 10%, primarily due to higher customer derivative program revenue, merchant revenue, loan and commitment fees, analyzed deposit account fees and a one-time gain on sale of leased assets. Noninterest expense increased by $2.3 million or 4%, primarily due to higher allocated administrative, support unit and branch expenses, professional, data processing, and merchant transaction fees, partially offset by lower salaries and benefits, occupancy and equipment expenses, and fewer operational losses in the period.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and Other</w:t>
      </w:r>
    </w:p>
    <w:p>
      <w:pPr>
        <w:spacing w:after="0" w:line="17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Net loss decreased by $11.9 million or 55% in the third quarter of 2025 compared to the same period last year, primarily due to a decrease in net interest expense and an increase in noninterest income, partially offset by an increase in the provision for credit losses. Net interest expense decreased by $17.4 million or 56%, primarily due to a decrease in funding costs reflecting the current lower rate environment. Noninterest income decreased by $0.6 million or 20%, primarily due to an increase in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investment securities losses. The provision for credit losses and income taxes in this business segment represents the residual amounts to arrive at the total amount for the Company.</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loss decreased by $34.4 million or 46% in the first nine months of 2025 compared to the same period last year, primarily due to a decrease in net interest expense and an increase in noninterest income, partially offset by an increase in noninterest expense and provision for credit losses. Net interest expense decreased by $41.2 million or 70%, primarily due to lower funding costs and an increase in interest income from higher asset yields. Noninterest income increased by $1.6 million or 19%, primarily due to increases in other income and bank-owned life insurance income. The provision for credit losses and income taxes in this business segment represents the residual amounts to arrive at the total amount for the Company.</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Risk Profile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87"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7"/>
          <w:szCs w:val="17"/>
          <w:color w:val="auto"/>
        </w:rPr>
        <w:t>We actively manage exposures with deteriorating asset quality to reduce levels of potential loss exposure and closely monitor our reserves and capital to address both anticipated and unforeseen issues. Risk management activities include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 and Accruing Loans and Leases Past Due 90 Days or More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15 presents information on NPAs and accruing loans and leases past due 90 days or more.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4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Non-Performing Assets and Accruing Loans and Leases Past Due 90 Days or More</w:t>
            </w: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Table 15</w:t>
            </w:r>
          </w:p>
        </w:tc>
      </w:tr>
      <w:tr>
        <w:trPr>
          <w:trHeight w:val="35"/>
        </w:trPr>
        <w:tc>
          <w:tcPr>
            <w:tcW w:w="5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2"/>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20" w:type="dxa"/>
            <w:vAlign w:val="bottom"/>
          </w:tcPr>
          <w:p>
            <w:pPr>
              <w:spacing w:after="0"/>
              <w:rPr>
                <w:sz w:val="17"/>
                <w:szCs w:val="17"/>
                <w:color w:val="auto"/>
              </w:rPr>
            </w:pPr>
          </w:p>
        </w:tc>
        <w:tc>
          <w:tcPr>
            <w:tcW w:w="16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20" w:type="dxa"/>
            <w:vAlign w:val="bottom"/>
          </w:tcPr>
          <w:p>
            <w:pPr>
              <w:spacing w:after="0"/>
              <w:rPr>
                <w:sz w:val="17"/>
                <w:szCs w:val="17"/>
                <w:color w:val="auto"/>
              </w:rPr>
            </w:pPr>
          </w:p>
        </w:tc>
        <w:tc>
          <w:tcPr>
            <w:tcW w:w="16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40" w:type="dxa"/>
            <w:vAlign w:val="bottom"/>
          </w:tcPr>
          <w:p>
            <w:pPr>
              <w:spacing w:after="0"/>
              <w:rPr>
                <w:sz w:val="17"/>
                <w:szCs w:val="17"/>
                <w:color w:val="auto"/>
              </w:rPr>
            </w:pPr>
          </w:p>
        </w:tc>
        <w:tc>
          <w:tcPr>
            <w:tcW w:w="1460" w:type="dxa"/>
            <w:vAlign w:val="bottom"/>
          </w:tcPr>
          <w:p>
            <w:pPr>
              <w:jc w:val="right"/>
              <w:ind w:right="608"/>
              <w:spacing w:after="0"/>
              <w:rPr>
                <w:sz w:val="20"/>
                <w:szCs w:val="20"/>
                <w:color w:val="auto"/>
              </w:rPr>
            </w:pPr>
            <w:r>
              <w:rPr>
                <w:rFonts w:ascii="Times New Roman" w:cs="Times New Roman" w:eastAsia="Times New Roman" w:hAnsi="Times New Roman"/>
                <w:sz w:val="15"/>
                <w:szCs w:val="15"/>
                <w:b w:val="1"/>
                <w:bCs w:val="1"/>
                <w:color w:val="auto"/>
              </w:rPr>
              <w:t>Change</w:t>
            </w:r>
          </w:p>
        </w:tc>
      </w:tr>
      <w:tr>
        <w:trPr>
          <w:trHeight w:val="35"/>
        </w:trPr>
        <w:tc>
          <w:tcPr>
            <w:tcW w:w="5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Non-Performing Assets</w:t>
            </w:r>
          </w:p>
        </w:tc>
        <w:tc>
          <w:tcPr>
            <w:tcW w:w="2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93"/>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Non-Accrual Loans and Leases</w:t>
            </w: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
        </w:trPr>
        <w:tc>
          <w:tcPr>
            <w:tcW w:w="5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09"/>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2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193"/>
        </w:trPr>
        <w:tc>
          <w:tcPr>
            <w:tcW w:w="5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 Mortgage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2,498</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2,450</w:t>
            </w:r>
          </w:p>
        </w:tc>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48</w:t>
            </w:r>
          </w:p>
        </w:tc>
      </w:tr>
      <w:tr>
        <w:trPr>
          <w:trHeight w:val="37"/>
        </w:trPr>
        <w:tc>
          <w:tcPr>
            <w:tcW w:w="5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5"/>
        </w:trPr>
        <w:tc>
          <w:tcPr>
            <w:tcW w:w="5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3,506</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4,627</w:t>
            </w: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(1,121)</w:t>
            </w:r>
          </w:p>
        </w:tc>
      </w:tr>
      <w:tr>
        <w:trPr>
          <w:trHeight w:val="186"/>
        </w:trPr>
        <w:tc>
          <w:tcPr>
            <w:tcW w:w="54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Commercial</w:t>
            </w:r>
          </w:p>
        </w:tc>
        <w:tc>
          <w:tcPr>
            <w:tcW w:w="2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6,004</w:t>
            </w: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7,077</w:t>
            </w: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(1,073)</w:t>
            </w:r>
          </w:p>
        </w:tc>
      </w:tr>
      <w:tr>
        <w:trPr>
          <w:trHeight w:val="37"/>
        </w:trPr>
        <w:tc>
          <w:tcPr>
            <w:tcW w:w="5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3"/>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w:t>
            </w:r>
          </w:p>
        </w:tc>
        <w:tc>
          <w:tcPr>
            <w:tcW w:w="2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193"/>
        </w:trPr>
        <w:tc>
          <w:tcPr>
            <w:tcW w:w="54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Residential Mortgage</w:t>
            </w:r>
          </w:p>
        </w:tc>
        <w:tc>
          <w:tcPr>
            <w:tcW w:w="220" w:type="dxa"/>
            <w:vAlign w:val="bottom"/>
          </w:tcPr>
          <w:p>
            <w:pPr>
              <w:spacing w:after="0"/>
              <w:rPr>
                <w:sz w:val="16"/>
                <w:szCs w:val="16"/>
                <w:color w:val="auto"/>
              </w:rPr>
            </w:pP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5,628</w:t>
            </w:r>
          </w:p>
        </w:tc>
        <w:tc>
          <w:tcPr>
            <w:tcW w:w="320" w:type="dxa"/>
            <w:vAlign w:val="bottom"/>
          </w:tcPr>
          <w:p>
            <w:pPr>
              <w:spacing w:after="0"/>
              <w:rPr>
                <w:sz w:val="16"/>
                <w:szCs w:val="16"/>
                <w:color w:val="auto"/>
              </w:rPr>
            </w:pP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5,052</w:t>
            </w:r>
          </w:p>
        </w:tc>
        <w:tc>
          <w:tcPr>
            <w:tcW w:w="44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576</w:t>
            </w:r>
          </w:p>
        </w:tc>
      </w:tr>
      <w:tr>
        <w:trPr>
          <w:trHeight w:val="37"/>
        </w:trPr>
        <w:tc>
          <w:tcPr>
            <w:tcW w:w="5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5"/>
        </w:trPr>
        <w:tc>
          <w:tcPr>
            <w:tcW w:w="5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Home Equity</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5,107</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4,514</w:t>
            </w: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593</w:t>
            </w:r>
          </w:p>
        </w:tc>
      </w:tr>
      <w:tr>
        <w:trPr>
          <w:trHeight w:val="186"/>
        </w:trPr>
        <w:tc>
          <w:tcPr>
            <w:tcW w:w="54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Total Consumer</w:t>
            </w:r>
          </w:p>
        </w:tc>
        <w:tc>
          <w:tcPr>
            <w:tcW w:w="2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10,735</w:t>
            </w: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9,566</w:t>
            </w: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1,169</w:t>
            </w:r>
          </w:p>
        </w:tc>
      </w:tr>
      <w:tr>
        <w:trPr>
          <w:trHeight w:val="37"/>
        </w:trPr>
        <w:tc>
          <w:tcPr>
            <w:tcW w:w="5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2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Non-Accrual Loans and Leases</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16,739</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16,643</w:t>
            </w: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96</w:t>
            </w:r>
          </w:p>
        </w:tc>
      </w:tr>
      <w:tr>
        <w:trPr>
          <w:trHeight w:val="186"/>
        </w:trPr>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Foreclosed Real Estate</w:t>
            </w:r>
          </w:p>
        </w:tc>
        <w:tc>
          <w:tcPr>
            <w:tcW w:w="2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125</w:t>
            </w: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2,657</w:t>
            </w: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(2,532)</w:t>
            </w:r>
          </w:p>
        </w:tc>
      </w:tr>
      <w:tr>
        <w:trPr>
          <w:trHeight w:val="37"/>
        </w:trPr>
        <w:tc>
          <w:tcPr>
            <w:tcW w:w="5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Non-Performing Assets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16,864</w:t>
            </w:r>
          </w:p>
        </w:tc>
        <w:tc>
          <w:tcPr>
            <w:tcW w:w="3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19,300</w:t>
            </w:r>
          </w:p>
        </w:tc>
        <w:tc>
          <w:tcPr>
            <w:tcW w:w="44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(2,436)</w:t>
            </w:r>
          </w:p>
        </w:tc>
      </w:tr>
      <w:tr>
        <w:trPr>
          <w:trHeight w:val="20"/>
        </w:trPr>
        <w:tc>
          <w:tcPr>
            <w:tcW w:w="5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Accruing Loans and Leases Past Due 90 Days or More</w:t>
            </w: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7"/>
        </w:trPr>
        <w:tc>
          <w:tcPr>
            <w:tcW w:w="5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1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2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193"/>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Residential Mortgage</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7,456</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3,984</w:t>
            </w:r>
          </w:p>
        </w:tc>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3,472</w:t>
            </w:r>
          </w:p>
        </w:tc>
      </w:tr>
      <w:tr>
        <w:trPr>
          <w:trHeight w:val="37"/>
        </w:trPr>
        <w:tc>
          <w:tcPr>
            <w:tcW w:w="5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09"/>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Home Equity</w:t>
            </w:r>
          </w:p>
        </w:tc>
        <w:tc>
          <w:tcPr>
            <w:tcW w:w="2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2,765</w:t>
            </w: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2,845</w:t>
            </w: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(80)</w:t>
            </w:r>
          </w:p>
        </w:tc>
      </w:tr>
      <w:tr>
        <w:trPr>
          <w:trHeight w:val="193"/>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Automobile</w:t>
            </w:r>
          </w:p>
        </w:tc>
        <w:tc>
          <w:tcPr>
            <w:tcW w:w="220" w:type="dxa"/>
            <w:vAlign w:val="bottom"/>
          </w:tcPr>
          <w:p>
            <w:pPr>
              <w:spacing w:after="0"/>
              <w:rPr>
                <w:sz w:val="16"/>
                <w:szCs w:val="16"/>
                <w:color w:val="auto"/>
              </w:rPr>
            </w:pP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525</w:t>
            </w:r>
          </w:p>
        </w:tc>
        <w:tc>
          <w:tcPr>
            <w:tcW w:w="320" w:type="dxa"/>
            <w:vAlign w:val="bottom"/>
          </w:tcPr>
          <w:p>
            <w:pPr>
              <w:spacing w:after="0"/>
              <w:rPr>
                <w:sz w:val="16"/>
                <w:szCs w:val="16"/>
                <w:color w:val="auto"/>
              </w:rPr>
            </w:pP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776</w:t>
            </w:r>
          </w:p>
        </w:tc>
        <w:tc>
          <w:tcPr>
            <w:tcW w:w="440" w:type="dxa"/>
            <w:vAlign w:val="bottom"/>
          </w:tcPr>
          <w:p>
            <w:pPr>
              <w:spacing w:after="0"/>
              <w:rPr>
                <w:sz w:val="16"/>
                <w:szCs w:val="16"/>
                <w:color w:val="auto"/>
              </w:rPr>
            </w:pP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(251)</w:t>
            </w:r>
          </w:p>
        </w:tc>
      </w:tr>
      <w:tr>
        <w:trPr>
          <w:trHeight w:val="37"/>
        </w:trPr>
        <w:tc>
          <w:tcPr>
            <w:tcW w:w="5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34"/>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578</w:t>
            </w:r>
          </w:p>
        </w:tc>
        <w:tc>
          <w:tcPr>
            <w:tcW w:w="32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677</w:t>
            </w:r>
          </w:p>
        </w:tc>
        <w:tc>
          <w:tcPr>
            <w:tcW w:w="4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(99)</w:t>
            </w:r>
          </w:p>
        </w:tc>
      </w:tr>
      <w:tr>
        <w:trPr>
          <w:trHeight w:val="186"/>
        </w:trPr>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Consumer</w:t>
            </w:r>
          </w:p>
        </w:tc>
        <w:tc>
          <w:tcPr>
            <w:tcW w:w="2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11,324</w:t>
            </w:r>
          </w:p>
        </w:tc>
        <w:tc>
          <w:tcPr>
            <w:tcW w:w="3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8,282</w:t>
            </w: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3,042</w:t>
            </w:r>
          </w:p>
        </w:tc>
      </w:tr>
      <w:tr>
        <w:trPr>
          <w:trHeight w:val="37"/>
        </w:trPr>
        <w:tc>
          <w:tcPr>
            <w:tcW w:w="5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Accruing Loans and Leases Past Due 90 Days or More</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11,324</w:t>
            </w:r>
          </w:p>
        </w:tc>
        <w:tc>
          <w:tcPr>
            <w:tcW w:w="3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8,282</w:t>
            </w:r>
          </w:p>
        </w:tc>
        <w:tc>
          <w:tcPr>
            <w:tcW w:w="440" w:type="dxa"/>
            <w:vAlign w:val="bottom"/>
            <w:tcBorders>
              <w:bottom w:val="single" w:sz="8" w:color="CCEEFF"/>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3,042</w:t>
            </w:r>
          </w:p>
        </w:tc>
      </w:tr>
      <w:tr>
        <w:trPr>
          <w:trHeight w:val="20"/>
        </w:trPr>
        <w:tc>
          <w:tcPr>
            <w:tcW w:w="5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67"/>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14,021,579</w:t>
            </w:r>
          </w:p>
        </w:tc>
        <w:tc>
          <w:tcPr>
            <w:tcW w:w="3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14,075,980</w:t>
            </w:r>
          </w:p>
        </w:tc>
        <w:tc>
          <w:tcPr>
            <w:tcW w:w="4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(54,401)</w:t>
            </w:r>
          </w:p>
        </w:tc>
      </w:tr>
      <w:tr>
        <w:trPr>
          <w:trHeight w:val="37"/>
        </w:trPr>
        <w:tc>
          <w:tcPr>
            <w:tcW w:w="5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0"/>
        </w:trPr>
        <w:tc>
          <w:tcPr>
            <w:tcW w:w="5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Non-Accrual Loans and Leases to Total Loans and Leases</w:t>
            </w:r>
          </w:p>
        </w:tc>
        <w:tc>
          <w:tcPr>
            <w:tcW w:w="2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93"/>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Ratio of Non-Performing Assets to Total Loans and Leases and Foreclosed Real Estate</w:t>
            </w: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37"/>
        </w:trPr>
        <w:tc>
          <w:tcPr>
            <w:tcW w:w="5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1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Non-Performing Assets to 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0.07 %</w:t>
            </w: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0.08 %</w:t>
            </w: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8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Ratio of Commercial Non-Performing Assets to Total Commercial Loans and Leases and</w:t>
            </w: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8"/>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Foreclosed Real Estate</w:t>
            </w: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0.12 %</w:t>
            </w: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37"/>
        </w:trPr>
        <w:tc>
          <w:tcPr>
            <w:tcW w:w="5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18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Consumer Non-Performing Assets to Total Consumer Loans and Leases and</w:t>
            </w: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05"/>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Foreclosed Real Estate</w:t>
            </w:r>
          </w:p>
        </w:tc>
        <w:tc>
          <w:tcPr>
            <w:tcW w:w="22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0.14 %</w:t>
            </w: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0.15 %</w:t>
            </w: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18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Ratio of Non-Performing Assets and Accruing Loans and Leases Past Due 90 Days or More</w:t>
            </w: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8"/>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Total Loans and Leases and Foreclosed Real Estate</w:t>
            </w:r>
          </w:p>
        </w:tc>
        <w:tc>
          <w:tcPr>
            <w:tcW w:w="2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0.20 %</w:t>
            </w:r>
          </w:p>
        </w:tc>
        <w:tc>
          <w:tcPr>
            <w:tcW w:w="3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0.20 %</w:t>
            </w:r>
          </w:p>
        </w:tc>
        <w:tc>
          <w:tcPr>
            <w:tcW w:w="4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37"/>
        </w:trPr>
        <w:tc>
          <w:tcPr>
            <w:tcW w:w="5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6"/>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Non-Performing Assets</w:t>
            </w: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
        </w:trPr>
        <w:tc>
          <w:tcPr>
            <w:tcW w:w="5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68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r>
      <w:tr>
        <w:trPr>
          <w:trHeight w:val="203"/>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19,300</w:t>
            </w:r>
          </w:p>
        </w:tc>
        <w:tc>
          <w:tcPr>
            <w:tcW w:w="32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Additions</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9"/>
                <w:szCs w:val="19"/>
                <w:color w:val="auto"/>
              </w:rPr>
            </w:pPr>
          </w:p>
        </w:tc>
        <w:tc>
          <w:tcPr>
            <w:tcW w:w="16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6,690</w:t>
            </w:r>
          </w:p>
        </w:tc>
        <w:tc>
          <w:tcPr>
            <w:tcW w:w="3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9"/>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Reductions</w:t>
            </w:r>
          </w:p>
        </w:tc>
        <w:tc>
          <w:tcPr>
            <w:tcW w:w="2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193"/>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w:t>
            </w:r>
          </w:p>
        </w:tc>
        <w:tc>
          <w:tcPr>
            <w:tcW w:w="220" w:type="dxa"/>
            <w:vAlign w:val="bottom"/>
          </w:tcPr>
          <w:p>
            <w:pPr>
              <w:spacing w:after="0"/>
              <w:rPr>
                <w:sz w:val="16"/>
                <w:szCs w:val="16"/>
                <w:color w:val="auto"/>
              </w:rPr>
            </w:pPr>
          </w:p>
        </w:tc>
        <w:tc>
          <w:tcPr>
            <w:tcW w:w="1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(3,440)</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
        </w:trPr>
        <w:tc>
          <w:tcPr>
            <w:tcW w:w="5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10"/>
        </w:trPr>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Return to Accrual Status</w:t>
            </w:r>
          </w:p>
        </w:tc>
        <w:tc>
          <w:tcPr>
            <w:tcW w:w="22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(1,139)</w:t>
            </w:r>
          </w:p>
        </w:tc>
        <w:tc>
          <w:tcPr>
            <w:tcW w:w="32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193"/>
        </w:trPr>
        <w:tc>
          <w:tcPr>
            <w:tcW w:w="54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of Foreclosed Real Estate</w:t>
            </w:r>
          </w:p>
        </w:tc>
        <w:tc>
          <w:tcPr>
            <w:tcW w:w="220" w:type="dxa"/>
            <w:vAlign w:val="bottom"/>
          </w:tcPr>
          <w:p>
            <w:pPr>
              <w:spacing w:after="0"/>
              <w:rPr>
                <w:sz w:val="16"/>
                <w:szCs w:val="16"/>
                <w:color w:val="auto"/>
              </w:rPr>
            </w:pPr>
          </w:p>
        </w:tc>
        <w:tc>
          <w:tcPr>
            <w:tcW w:w="1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(2,748)</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
        </w:trPr>
        <w:tc>
          <w:tcPr>
            <w:tcW w:w="5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29"/>
        </w:trPr>
        <w:tc>
          <w:tcPr>
            <w:tcW w:w="5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Charge-offs/Write-downs</w:t>
            </w:r>
            <w:r>
              <w:rPr>
                <w:rFonts w:ascii="Times New Roman" w:cs="Times New Roman" w:eastAsia="Times New Roman" w:hAnsi="Times New Roman"/>
                <w:sz w:val="18"/>
                <w:szCs w:val="18"/>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(1,799)</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86"/>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Reductions</w:t>
            </w:r>
          </w:p>
        </w:tc>
        <w:tc>
          <w:tcPr>
            <w:tcW w:w="220" w:type="dxa"/>
            <w:vAlign w:val="bottom"/>
          </w:tcPr>
          <w:p>
            <w:pPr>
              <w:spacing w:after="0"/>
              <w:rPr>
                <w:sz w:val="16"/>
                <w:szCs w:val="16"/>
                <w:color w:val="auto"/>
              </w:rPr>
            </w:pPr>
          </w:p>
        </w:tc>
        <w:tc>
          <w:tcPr>
            <w:tcW w:w="1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(9,126)</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7"/>
        </w:trPr>
        <w:tc>
          <w:tcPr>
            <w:tcW w:w="5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68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1460" w:type="dxa"/>
            <w:vAlign w:val="bottom"/>
            <w:tcBorders>
              <w:bottom w:val="single" w:sz="8" w:color="CCEEFF"/>
            </w:tcBorders>
          </w:tcPr>
          <w:p>
            <w:pPr>
              <w:spacing w:after="0"/>
              <w:rPr>
                <w:sz w:val="3"/>
                <w:szCs w:val="3"/>
                <w:color w:val="auto"/>
              </w:rPr>
            </w:pPr>
          </w:p>
        </w:tc>
      </w:tr>
      <w:tr>
        <w:trPr>
          <w:trHeight w:val="24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16,864</w:t>
            </w:r>
          </w:p>
        </w:tc>
        <w:tc>
          <w:tcPr>
            <w:tcW w:w="3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
        </w:trPr>
        <w:tc>
          <w:tcPr>
            <w:tcW w:w="5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42"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loans that are fully charged-off and placed on non-accrual status during the same period.</w:t>
      </w:r>
    </w:p>
    <w:p>
      <w:pPr>
        <w:spacing w:after="0" w:line="16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NPAs consist of non-accrual loans and leases and foreclosed real estate. Changes in the level of non-accrual loans and leases typically are caused by loans and leases that reach a specified past due status, offset by reductions for loans and leases that are charged-off, written down, paid down, sold, transferred to foreclosed real estate, or are no longer classified as non-accrual because they have returned to accrual status.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Non-accrual loans and leases as of September 30, 2025 were $16.7 million, an increase of $0.1 million or 1% from December 31, 2024 primarily due to increases in home equity and residential mortgage partially offset by a decline in commercial and industrial. Residential mortgage non-accrual loans increased by $0.6 million or 11% from December 31, 2024. As of September 30, 2025, our residential mortgage non-accrual loans were comprised of 18 loans with a weighted average current loan-to-value ratio of 73.3%. Home equity non-accrual loans increased by $0.6 million or 13% from December 31, 2024. As of September 30, 2025, our home equity non-accrual loans were comprised of 54 loans with a weighted average current loan-to-value ratio of</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52.2%. Commercial and industrial non-accrual loans decreased by $1.1 million or 24% from December 31, 2024, primarily due to the partial charge-off of a significant loan.</w:t>
      </w:r>
    </w:p>
    <w:p>
      <w:pPr>
        <w:spacing w:after="0" w:line="1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was $0.1 million as of September 30, 2025 compared to $2.7 million as of December 31, 2024. The decrease was due to the sale of foreclosed properties during the nine months ended September 30,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Leases Past Due 90 Days or More and Still Accruing Interest</w:t>
      </w:r>
    </w:p>
    <w:p>
      <w:pPr>
        <w:spacing w:after="0" w:line="18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Loans and leases past due 90 days or more and still accruing interest were $11.3 million as of September 30, 2025, a $3.0 million or 37% increase from December 31, 2024. The increase was primarily in our residential mortgage portfolio. This category includes loans and leases that are well-secured and in the process of collection, as well as loans and leases that have not reached the specified past due status to be placed on non-accrual.</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Credit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16 presents the activity in our reserve for credit losses.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Reserve for Credit Losses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16</w:t>
            </w:r>
          </w:p>
        </w:tc>
        <w:tc>
          <w:tcPr>
            <w:tcW w:w="0" w:type="dxa"/>
            <w:vAlign w:val="bottom"/>
          </w:tcPr>
          <w:p>
            <w:pPr>
              <w:spacing w:after="0"/>
              <w:rPr>
                <w:sz w:val="1"/>
                <w:szCs w:val="1"/>
                <w:color w:val="auto"/>
              </w:rPr>
            </w:pPr>
          </w:p>
        </w:tc>
      </w:tr>
      <w:tr>
        <w:trPr>
          <w:trHeight w:val="193"/>
        </w:trPr>
        <w:tc>
          <w:tcPr>
            <w:tcW w:w="4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86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11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Beginning of Period</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150,128</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151,155</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150,649</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152,429</w:t>
            </w:r>
          </w:p>
        </w:tc>
        <w:tc>
          <w:tcPr>
            <w:tcW w:w="0" w:type="dxa"/>
            <w:vAlign w:val="bottom"/>
          </w:tcPr>
          <w:p>
            <w:pPr>
              <w:spacing w:after="0"/>
              <w:rPr>
                <w:sz w:val="1"/>
                <w:szCs w:val="1"/>
                <w:color w:val="auto"/>
              </w:rPr>
            </w:pPr>
          </w:p>
        </w:tc>
      </w:tr>
      <w:tr>
        <w:trPr>
          <w:trHeight w:val="193"/>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and Leases Charged-Off</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(171)</w:t>
            </w:r>
          </w:p>
        </w:tc>
        <w:tc>
          <w:tcPr>
            <w:tcW w:w="4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(1,776)</w:t>
            </w:r>
          </w:p>
        </w:tc>
        <w:tc>
          <w:tcPr>
            <w:tcW w:w="4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(2,256)</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Consumer</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Residential Mortgage</w:t>
            </w:r>
          </w:p>
        </w:tc>
        <w:tc>
          <w:tcPr>
            <w:tcW w:w="28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Home Equity</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(258)</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93"/>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Automobile</w:t>
            </w: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(1,368)</w:t>
            </w:r>
          </w:p>
        </w:tc>
        <w:tc>
          <w:tcPr>
            <w:tcW w:w="4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(4,372)</w:t>
            </w:r>
          </w:p>
        </w:tc>
        <w:tc>
          <w:tcPr>
            <w:tcW w:w="40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(3,794)</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(2,392)</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(2,539)</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(7,273)</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(7,461)</w:t>
            </w:r>
          </w:p>
        </w:tc>
        <w:tc>
          <w:tcPr>
            <w:tcW w:w="0" w:type="dxa"/>
            <w:vAlign w:val="bottom"/>
          </w:tcPr>
          <w:p>
            <w:pPr>
              <w:spacing w:after="0"/>
              <w:rPr>
                <w:sz w:val="1"/>
                <w:szCs w:val="1"/>
                <w:color w:val="auto"/>
              </w:rPr>
            </w:pPr>
          </w:p>
        </w:tc>
      </w:tr>
      <w:tr>
        <w:trPr>
          <w:trHeight w:val="186"/>
        </w:trPr>
        <w:tc>
          <w:tcPr>
            <w:tcW w:w="4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Leases Charged-Off</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(3,959)</w:t>
            </w:r>
          </w:p>
        </w:tc>
        <w:tc>
          <w:tcPr>
            <w:tcW w:w="4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(5,336)</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(13,679)</w:t>
            </w:r>
          </w:p>
        </w:tc>
        <w:tc>
          <w:tcPr>
            <w:tcW w:w="4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(13,921)</w:t>
            </w:r>
          </w:p>
        </w:tc>
        <w:tc>
          <w:tcPr>
            <w:tcW w:w="0" w:type="dxa"/>
            <w:vAlign w:val="bottom"/>
          </w:tcPr>
          <w:p>
            <w:pPr>
              <w:spacing w:after="0"/>
              <w:rPr>
                <w:sz w:val="1"/>
                <w:szCs w:val="1"/>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Recoveries on Loans and Leases Previously Charged-Off</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98</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253</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Consumer</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Residential Mortgage</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58</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80</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93"/>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Home Equity</w:t>
            </w:r>
          </w:p>
        </w:tc>
        <w:tc>
          <w:tcPr>
            <w:tcW w:w="28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177</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485</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615</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Automobile</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559</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1,749</w:t>
            </w: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1,559</w:t>
            </w:r>
          </w:p>
        </w:tc>
        <w:tc>
          <w:tcPr>
            <w:tcW w:w="0" w:type="dxa"/>
            <w:vAlign w:val="bottom"/>
          </w:tcPr>
          <w:p>
            <w:pPr>
              <w:spacing w:after="0"/>
              <w:rPr>
                <w:sz w:val="1"/>
                <w:szCs w:val="1"/>
                <w:color w:val="auto"/>
              </w:rPr>
            </w:pPr>
          </w:p>
        </w:tc>
      </w:tr>
      <w:tr>
        <w:trPr>
          <w:trHeight w:val="193"/>
        </w:trPr>
        <w:tc>
          <w:tcPr>
            <w:tcW w:w="48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8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490</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1,514</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1,645</w:t>
            </w:r>
          </w:p>
        </w:tc>
        <w:tc>
          <w:tcPr>
            <w:tcW w:w="0" w:type="dxa"/>
            <w:vAlign w:val="bottom"/>
          </w:tcPr>
          <w:p>
            <w:pPr>
              <w:spacing w:after="0"/>
              <w:rPr>
                <w:sz w:val="1"/>
                <w:szCs w:val="1"/>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Recoveries on Loans and Leases Previously Charged-Off</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1,382</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4,081</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4,417</w:t>
            </w:r>
          </w:p>
        </w:tc>
        <w:tc>
          <w:tcPr>
            <w:tcW w:w="0" w:type="dxa"/>
            <w:vAlign w:val="bottom"/>
          </w:tcPr>
          <w:p>
            <w:pPr>
              <w:spacing w:after="0"/>
              <w:rPr>
                <w:sz w:val="1"/>
                <w:szCs w:val="1"/>
                <w:color w:val="auto"/>
              </w:rPr>
            </w:pPr>
          </w:p>
        </w:tc>
      </w:tr>
      <w:tr>
        <w:trPr>
          <w:trHeight w:val="186"/>
        </w:trPr>
        <w:tc>
          <w:tcPr>
            <w:tcW w:w="4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 Charged-Off - Loans and Leases</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(2,577)</w:t>
            </w:r>
          </w:p>
        </w:tc>
        <w:tc>
          <w:tcPr>
            <w:tcW w:w="4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(3,830)</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(9,598)</w:t>
            </w:r>
          </w:p>
        </w:tc>
        <w:tc>
          <w:tcPr>
            <w:tcW w:w="4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(9,504)</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Loans and Leases</w:t>
            </w:r>
          </w:p>
        </w:tc>
        <w:tc>
          <w:tcPr>
            <w:tcW w:w="28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2,812</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9,848</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10,432</w:t>
            </w: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Unfunded Commitments</w:t>
            </w: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(312)</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(684)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(848)</w:t>
            </w: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(3,032)</w:t>
            </w:r>
          </w:p>
        </w:tc>
        <w:tc>
          <w:tcPr>
            <w:tcW w:w="0" w:type="dxa"/>
            <w:vAlign w:val="bottom"/>
          </w:tcPr>
          <w:p>
            <w:pPr>
              <w:spacing w:after="0"/>
              <w:rPr>
                <w:sz w:val="1"/>
                <w:szCs w:val="1"/>
                <w:color w:val="auto"/>
              </w:rPr>
            </w:pPr>
          </w:p>
        </w:tc>
      </w:tr>
      <w:tr>
        <w:trPr>
          <w:trHeight w:val="186"/>
        </w:trPr>
        <w:tc>
          <w:tcPr>
            <w:tcW w:w="4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Provision for Credit Losses</w:t>
            </w: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2,500</w:t>
            </w:r>
          </w:p>
        </w:tc>
        <w:tc>
          <w:tcPr>
            <w:tcW w:w="4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9,000</w:t>
            </w:r>
          </w:p>
        </w:tc>
        <w:tc>
          <w:tcPr>
            <w:tcW w:w="4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7,400</w:t>
            </w:r>
          </w:p>
        </w:tc>
        <w:tc>
          <w:tcPr>
            <w:tcW w:w="0" w:type="dxa"/>
            <w:vAlign w:val="bottom"/>
          </w:tcPr>
          <w:p>
            <w:pPr>
              <w:spacing w:after="0"/>
              <w:rPr>
                <w:sz w:val="1"/>
                <w:szCs w:val="1"/>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End of Period</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150,051</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150,325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150,051</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150,325</w:t>
            </w:r>
          </w:p>
        </w:tc>
        <w:tc>
          <w:tcPr>
            <w:tcW w:w="0" w:type="dxa"/>
            <w:vAlign w:val="bottom"/>
          </w:tcPr>
          <w:p>
            <w:pPr>
              <w:spacing w:after="0"/>
              <w:rPr>
                <w:sz w:val="1"/>
                <w:szCs w:val="1"/>
                <w:color w:val="auto"/>
              </w:rPr>
            </w:pP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Components</w:t>
            </w: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4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Allowance for Credit Losses - Loans and Leases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148,778</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147,331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148,778</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147,331</w:t>
            </w:r>
          </w:p>
        </w:tc>
        <w:tc>
          <w:tcPr>
            <w:tcW w:w="0" w:type="dxa"/>
            <w:vAlign w:val="bottom"/>
          </w:tcPr>
          <w:p>
            <w:pPr>
              <w:spacing w:after="0"/>
              <w:rPr>
                <w:sz w:val="1"/>
                <w:szCs w:val="1"/>
                <w:color w:val="auto"/>
              </w:rPr>
            </w:pPr>
          </w:p>
        </w:tc>
      </w:tr>
      <w:tr>
        <w:trPr>
          <w:trHeight w:val="193"/>
        </w:trPr>
        <w:tc>
          <w:tcPr>
            <w:tcW w:w="4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Reserve for Unfunded Commitments</w:t>
            </w:r>
          </w:p>
        </w:tc>
        <w:tc>
          <w:tcPr>
            <w:tcW w:w="28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1,273</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1,273</w:t>
            </w:r>
          </w:p>
        </w:tc>
        <w:tc>
          <w:tcPr>
            <w:tcW w:w="40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2,994</w:t>
            </w:r>
          </w:p>
        </w:tc>
        <w:tc>
          <w:tcPr>
            <w:tcW w:w="0" w:type="dxa"/>
            <w:vAlign w:val="bottom"/>
          </w:tcPr>
          <w:p>
            <w:pPr>
              <w:spacing w:after="0"/>
              <w:rPr>
                <w:sz w:val="1"/>
                <w:szCs w:val="1"/>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Reserve for Credit Losses</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150,051</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150,325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150,051</w:t>
            </w:r>
          </w:p>
        </w:tc>
        <w:tc>
          <w:tcPr>
            <w:tcW w:w="40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150,325</w:t>
            </w:r>
          </w:p>
        </w:tc>
        <w:tc>
          <w:tcPr>
            <w:tcW w:w="0" w:type="dxa"/>
            <w:vAlign w:val="bottom"/>
          </w:tcPr>
          <w:p>
            <w:pPr>
              <w:spacing w:after="0"/>
              <w:rPr>
                <w:sz w:val="1"/>
                <w:szCs w:val="1"/>
                <w:color w:val="auto"/>
              </w:rPr>
            </w:pP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Loans and Leases Outstanding</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13,982,003</w:t>
            </w:r>
          </w:p>
        </w:tc>
        <w:tc>
          <w:tcPr>
            <w:tcW w:w="4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13,809,977</w:t>
            </w:r>
          </w:p>
        </w:tc>
        <w:tc>
          <w:tcPr>
            <w:tcW w:w="10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14,030,773</w:t>
            </w:r>
          </w:p>
        </w:tc>
        <w:tc>
          <w:tcPr>
            <w:tcW w:w="4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13,836,760</w:t>
            </w:r>
          </w:p>
        </w:tc>
        <w:tc>
          <w:tcPr>
            <w:tcW w:w="0" w:type="dxa"/>
            <w:vAlign w:val="bottom"/>
          </w:tcPr>
          <w:p>
            <w:pPr>
              <w:spacing w:after="0"/>
              <w:rPr>
                <w:sz w:val="1"/>
                <w:szCs w:val="1"/>
                <w:color w:val="auto"/>
              </w:rPr>
            </w:pPr>
          </w:p>
        </w:tc>
      </w:tr>
      <w:tr>
        <w:trPr>
          <w:trHeight w:val="37"/>
        </w:trPr>
        <w:tc>
          <w:tcPr>
            <w:tcW w:w="4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Ratio of Net Loans and Leases Charged-Off to Average Loans and Leases</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(annualized)</w:t>
            </w: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0.07 %</w:t>
            </w:r>
          </w:p>
        </w:tc>
        <w:tc>
          <w:tcPr>
            <w:tcW w:w="4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0.11 %</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4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0.09 %</w:t>
            </w:r>
          </w:p>
        </w:tc>
        <w:tc>
          <w:tcPr>
            <w:tcW w:w="0" w:type="dxa"/>
            <w:vAlign w:val="bottom"/>
          </w:tcPr>
          <w:p>
            <w:pPr>
              <w:spacing w:after="0"/>
              <w:rPr>
                <w:sz w:val="1"/>
                <w:szCs w:val="1"/>
                <w:color w:val="auto"/>
              </w:rPr>
            </w:pPr>
          </w:p>
        </w:tc>
      </w:tr>
      <w:tr>
        <w:trPr>
          <w:trHeight w:val="248"/>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Ratio of Allowance for Credit Losses to Loans and Leases Outstanding </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numerator comprises the Allowance for Credit Losses - Loans and Leases.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(the “Allowance”)</w:t>
      </w:r>
    </w:p>
    <w:p>
      <w:pPr>
        <w:spacing w:after="0" w:line="20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of September 30, 2025, the Allowance was $148.8 million or 1.06% of total loans and leases outstanding compared with an Allowance of $148.5 million or 1.06% of total loans and leases outstanding December 31, 2024. The Allowance as of September 30, 2025 and December 31, 2024, includes a qualitative overlay to account for economic uncertainty and downside risk of a recession.</w:t>
      </w:r>
    </w:p>
    <w:p>
      <w:pPr>
        <w:spacing w:after="0" w:line="13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charge-offs on loans and leases for the three and nine months ended September 30, 2025 were $2.6 million or 0.07% and $9.6 million or 0.09%, respectively of total average loans and leases on an annualized basis, compared to $3.8 million or 0.11% and $9.5 million or 0.09% of total average loans and leases on an annualized basis for the three and nine months ended September 30, 2024, respectively.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 for Unfunded Commitments</w:t>
      </w:r>
    </w:p>
    <w:p>
      <w:pPr>
        <w:spacing w:after="0" w:line="20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Unfunded Reserve was $1.3 million as of September 30, 2025, a decrease of $0.8 million or 40% from December 31, 2024, primarily due to lower unfunded commitments in our construction portfolio. The reserve for unfunded commitments is recorded in other liabilities in the unaudited consolidated statements of condition.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w:t>
      </w:r>
      <w:r>
        <w:rPr>
          <w:rFonts w:ascii="Times New Roman" w:cs="Times New Roman" w:eastAsia="Times New Roman" w:hAnsi="Times New Roman"/>
          <w:sz w:val="18"/>
          <w:szCs w:val="18"/>
          <w:color w:val="0094FF"/>
        </w:rPr>
        <w:t>,</w:t>
      </w:r>
      <w:r>
        <w:rPr>
          <w:rFonts w:ascii="Times New Roman" w:cs="Times New Roman" w:eastAsia="Times New Roman" w:hAnsi="Times New Roman"/>
          <w:sz w:val="18"/>
          <w:szCs w:val="18"/>
          <w:color w:val="auto"/>
        </w:rPr>
        <w:t xml:space="preserve"> the provision for credit losses was $9.0 million, compared to $7.4 million for the same respective period last year. The increase in the provision for credit losses for the nine months ended September 30, 2025 was primarily due to a smaller recapture in the reserve for unfunded commitments, which was driven by a smaller change in our unfunded commitment balance.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consolidated statements of income and condition. In this management process, we balance market risks with expected returns to enhance earnings performance while managing volatility to an acceptable level.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market risk exposure is interest rate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0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objective of our interest rate risk management process is to optimize net interest income while operating within acceptable limits. This involves balancing expected returns with potential earnings and price volatility due to changes in interest rates over short-term, medium-term, and long-term time horizons, while maintaining adequate levels of funding and liquidity. The potential cash flows, sales, or replacement value of many of our assets and liabilities, especially those that earn or pay interest, are sensitive to changes in interest rates. This interest rate risk arises primarily from our core business activities of extending loans and accepting deposits. Our investment securities portfolio is also subject to significant interest rate risk.</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utilize two management guidelines to measure our interest rate risk exposure: 1) net interest income (“NII”) sensitivity, and 2) economic value of equity (“EVE”) sensitivity. NII and EVE sensitivities measure the estimated percentage change in forward looking net interest income and economic value, respectively, under instantaneous parallel shocks of the yield curve ranging from -400 basis points to +400 basis points. We measure NII sensitivity over two successive 12-month periods to evaluate interest rate risk over short-term and medium-term time horizons. EVE sensitivity, which captures the present value of all on and off-balance sheet positions, measures interest rate risk over a long-term time horizon. The results are measured relative to established limits and early warning indicators that ensure that fluctuation in income and valuation in both up and down rate shocks remain within levels approved by the Asset and Liability Management Committee (“ALCO”) and the Board of Directors. While we recognize that instantaneous parallel shocks of the entire yield curve are unrealistic, we believe that the application of immediate shocks provides us with a sufficient range of potential outcomes to frame our risk exposures. We pay particular attention to the +/-200 basis point shock sensitivities, as we believe they represent a more realistic range of rate movements that could occur in the near to medium term. As of September 30, 2025, we remained within applicable guidelines for such scenarios.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ALCO, which is comprised of members of executive management, utilizes several techniques to manage interest rate risk, which include:</w:t>
      </w:r>
    </w:p>
    <w:p>
      <w:pPr>
        <w:spacing w:after="0" w:line="198"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the balance sheet mix or altering the interest rate characteristics of assets and liabilities;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product pricing strategies;</w:t>
      </w:r>
    </w:p>
    <w:p>
      <w:pPr>
        <w:spacing w:after="0" w:line="1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characteristics, including mix and duration, of the AFS investment securities portfolio; and</w:t>
      </w:r>
    </w:p>
    <w:p>
      <w:pPr>
        <w:spacing w:after="0" w:line="19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derivative financial instruments.</w:t>
      </w:r>
    </w:p>
    <w:p>
      <w:pPr>
        <w:spacing w:after="0" w:line="18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Changes in interest rates may have a material impact on earnings and valuation due to balance sheet cash flow, maturity structure and repricing frequency. The investment portfolio and loan portfolios have significant repricing volumes and cash</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flows from maturities and paydowns, providing opportunities to redeploy funds in order to respond to changes in the rate environment. These assets are primarily funded by deposits, which generally have an indeterminate life. Historically, our deposit base consists primarily of core consumer and commercial deposit relationships. While we strive to position our balance sheet to organically reduce volatility in earnings and valuation, primarily through our funding and investment portfolio positioning, as well as product pricing strategies, we have also established a hedging program designed to allow us to adjust the duration of our earning assets synthetically. As of September 30, 2025, our hedging program consisted primarily of pay-fixed interest rate swaps. As interest rates change, we may use different instruments to manage interest rate risk, including caps, floors, swaptions and other commonly utilized derivative instruments. See Note 10 </w:t>
      </w:r>
      <w:r>
        <w:rPr>
          <w:rFonts w:ascii="Times New Roman" w:cs="Times New Roman" w:eastAsia="Times New Roman" w:hAnsi="Times New Roman"/>
          <w:sz w:val="18"/>
          <w:szCs w:val="18"/>
          <w:i w:val="1"/>
          <w:iCs w:val="1"/>
          <w:color w:val="auto"/>
        </w:rPr>
        <w:t>Derivative Financial Instruments</w:t>
      </w:r>
      <w:r>
        <w:rPr>
          <w:rFonts w:ascii="Times New Roman" w:cs="Times New Roman" w:eastAsia="Times New Roman" w:hAnsi="Times New Roman"/>
          <w:sz w:val="18"/>
          <w:szCs w:val="18"/>
          <w:color w:val="auto"/>
        </w:rPr>
        <w:t xml:space="preserve"> to the unaudited Consolidated Financial Statements.</w:t>
      </w:r>
    </w:p>
    <w:p>
      <w:pPr>
        <w:spacing w:after="0" w:line="16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 key element in our ongoing process to measure and monitor interest rate risk is the utilization of an asset/liability simulation model. This model attempts to capture the dynamic nature of assets and liabilities in various interest rate environments. It estimates and measures our balance sheet sensitivity to changes in interest rates. Given the structure of our balance sheet, model results are particularly sensitive to changes in prepayment rates on mortgage-related assets and the repricing behavior of interest-bearing deposits. We utilize a model to estimate the prepayment behavior of our mortgage-related assets, which considers the characteristics of the underlying mortgage loans, including rate (used to gauge refinance incentive), seasoning or age, and seasonality. The model’s forecasted results are regularly tested against historical prepayment behavior and is, in the ordinary course, recalibrated if the difference between actual and projected prepayments exceed established guidelines. Separate models are utilized to project interest-bearing deposit repricing behavior and deposit account attrition and average lives in various interest rate environments. These models were developed based upon our historical behavior over several interest rate cycles. The models’ forecast results are periodically tested against historical results and have been and may continue to be recalibrated.</w:t>
      </w:r>
    </w:p>
    <w:p>
      <w:pPr>
        <w:spacing w:after="0" w:line="1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utilize net interest income simulations to analyze short-term income sensitivities to changes in interest rates. Table 17a presents as of September 30, 2025 and December 31, 2024, an estimate of the change in net interest income over the next twelve months that would result from an immediate change in interest rates, moving in a parallel fashion over the entire yield curve, relative to the measured base case scenario. The base case scenario assumes the consolidated statements of condition and interest rates are generally unchanged.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 Sensitivity Profile</w:t>
            </w:r>
          </w:p>
        </w:tc>
        <w:tc>
          <w:tcPr>
            <w:tcW w:w="4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Table 17a</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60" w:type="dxa"/>
            <w:vAlign w:val="bottom"/>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Impact on Future Annual Net Interest Income</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1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82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FF0FC"/>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Immediate Change in Interest Rates (basis points)</w:t>
            </w:r>
          </w:p>
        </w:tc>
        <w:tc>
          <w:tcPr>
            <w:tcW w:w="46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rPr>
              <w:t>17,359</w:t>
            </w:r>
          </w:p>
        </w:tc>
        <w:tc>
          <w:tcPr>
            <w:tcW w:w="128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2.9 %  $</w:t>
            </w:r>
          </w:p>
        </w:tc>
        <w:tc>
          <w:tcPr>
            <w:tcW w:w="1760" w:type="dxa"/>
            <w:vAlign w:val="bottom"/>
          </w:tcPr>
          <w:p>
            <w:pPr>
              <w:jc w:val="center"/>
              <w:ind w:right="380"/>
              <w:spacing w:after="0"/>
              <w:rPr>
                <w:sz w:val="20"/>
                <w:szCs w:val="20"/>
                <w:color w:val="auto"/>
              </w:rPr>
            </w:pPr>
            <w:r>
              <w:rPr>
                <w:rFonts w:ascii="Times New Roman" w:cs="Times New Roman" w:eastAsia="Times New Roman" w:hAnsi="Times New Roman"/>
                <w:sz w:val="16"/>
                <w:szCs w:val="16"/>
                <w:color w:val="auto"/>
              </w:rPr>
              <w:t>31,028</w:t>
            </w:r>
          </w:p>
        </w:tc>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5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6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881"/>
              <w:spacing w:after="0"/>
              <w:rPr>
                <w:sz w:val="20"/>
                <w:szCs w:val="20"/>
                <w:color w:val="auto"/>
              </w:rPr>
            </w:pPr>
            <w:r>
              <w:rPr>
                <w:rFonts w:ascii="Times New Roman" w:cs="Times New Roman" w:eastAsia="Times New Roman" w:hAnsi="Times New Roman"/>
                <w:sz w:val="16"/>
                <w:szCs w:val="16"/>
                <w:color w:val="auto"/>
              </w:rPr>
              <w:t>15,780</w:t>
            </w:r>
          </w:p>
        </w:tc>
        <w:tc>
          <w:tcPr>
            <w:tcW w:w="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ind w:right="380"/>
              <w:spacing w:after="0"/>
              <w:rPr>
                <w:sz w:val="20"/>
                <w:szCs w:val="20"/>
                <w:color w:val="auto"/>
              </w:rPr>
            </w:pPr>
            <w:r>
              <w:rPr>
                <w:rFonts w:ascii="Times New Roman" w:cs="Times New Roman" w:eastAsia="Times New Roman" w:hAnsi="Times New Roman"/>
                <w:sz w:val="16"/>
                <w:szCs w:val="16"/>
                <w:color w:val="auto"/>
              </w:rPr>
              <w:t>25,281</w:t>
            </w:r>
          </w:p>
        </w:tc>
        <w:tc>
          <w:tcPr>
            <w:tcW w:w="8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60" w:type="dxa"/>
            <w:vAlign w:val="bottom"/>
          </w:tcPr>
          <w:p>
            <w:pPr>
              <w:spacing w:after="0"/>
              <w:rPr>
                <w:sz w:val="20"/>
                <w:szCs w:val="20"/>
                <w:color w:val="auto"/>
              </w:rPr>
            </w:pPr>
          </w:p>
        </w:tc>
        <w:tc>
          <w:tcPr>
            <w:tcW w:w="182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rPr>
              <w:t>12,918</w:t>
            </w:r>
          </w:p>
        </w:tc>
        <w:tc>
          <w:tcPr>
            <w:tcW w:w="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center"/>
              <w:ind w:right="380"/>
              <w:spacing w:after="0"/>
              <w:rPr>
                <w:sz w:val="20"/>
                <w:szCs w:val="20"/>
                <w:color w:val="auto"/>
              </w:rPr>
            </w:pPr>
            <w:r>
              <w:rPr>
                <w:rFonts w:ascii="Times New Roman" w:cs="Times New Roman" w:eastAsia="Times New Roman" w:hAnsi="Times New Roman"/>
                <w:sz w:val="16"/>
                <w:szCs w:val="16"/>
                <w:color w:val="auto"/>
              </w:rPr>
              <w:t>18,783</w:t>
            </w:r>
          </w:p>
        </w:tc>
        <w:tc>
          <w:tcPr>
            <w:tcW w:w="8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5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6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881"/>
              <w:spacing w:after="0"/>
              <w:rPr>
                <w:sz w:val="20"/>
                <w:szCs w:val="20"/>
                <w:color w:val="auto"/>
              </w:rPr>
            </w:pPr>
            <w:r>
              <w:rPr>
                <w:rFonts w:ascii="Times New Roman" w:cs="Times New Roman" w:eastAsia="Times New Roman" w:hAnsi="Times New Roman"/>
                <w:sz w:val="16"/>
                <w:szCs w:val="16"/>
                <w:color w:val="auto"/>
              </w:rPr>
              <w:t>8,127</w:t>
            </w:r>
          </w:p>
        </w:tc>
        <w:tc>
          <w:tcPr>
            <w:tcW w:w="7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ind w:right="380"/>
              <w:spacing w:after="0"/>
              <w:rPr>
                <w:sz w:val="20"/>
                <w:szCs w:val="20"/>
                <w:color w:val="auto"/>
              </w:rPr>
            </w:pPr>
            <w:r>
              <w:rPr>
                <w:rFonts w:ascii="Times New Roman" w:cs="Times New Roman" w:eastAsia="Times New Roman" w:hAnsi="Times New Roman"/>
                <w:sz w:val="16"/>
                <w:szCs w:val="16"/>
                <w:color w:val="auto"/>
              </w:rPr>
              <w:t>10,393</w:t>
            </w:r>
          </w:p>
        </w:tc>
        <w:tc>
          <w:tcPr>
            <w:tcW w:w="8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60" w:type="dxa"/>
            <w:vAlign w:val="bottom"/>
          </w:tcPr>
          <w:p>
            <w:pPr>
              <w:spacing w:after="0"/>
              <w:rPr>
                <w:sz w:val="20"/>
                <w:szCs w:val="20"/>
                <w:color w:val="auto"/>
              </w:rPr>
            </w:pPr>
          </w:p>
        </w:tc>
        <w:tc>
          <w:tcPr>
            <w:tcW w:w="18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rPr>
              <w:t>(4,423)</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center"/>
              <w:ind w:right="400"/>
              <w:spacing w:after="0"/>
              <w:rPr>
                <w:sz w:val="20"/>
                <w:szCs w:val="20"/>
                <w:color w:val="auto"/>
              </w:rPr>
            </w:pPr>
            <w:r>
              <w:rPr>
                <w:rFonts w:ascii="Times New Roman" w:cs="Times New Roman" w:eastAsia="Times New Roman" w:hAnsi="Times New Roman"/>
                <w:sz w:val="16"/>
                <w:szCs w:val="16"/>
                <w:color w:val="auto"/>
              </w:rPr>
              <w:t>(13,029)</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5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60" w:type="dxa"/>
            <w:vAlign w:val="bottom"/>
            <w:shd w:val="clear" w:color="auto" w:fill="CFF0FC"/>
          </w:tcPr>
          <w:p>
            <w:pPr>
              <w:spacing w:after="0"/>
              <w:rPr>
                <w:sz w:val="21"/>
                <w:szCs w:val="21"/>
                <w:color w:val="auto"/>
              </w:rPr>
            </w:pPr>
          </w:p>
        </w:tc>
        <w:tc>
          <w:tcPr>
            <w:tcW w:w="1820" w:type="dxa"/>
            <w:vAlign w:val="bottom"/>
            <w:shd w:val="clear" w:color="auto" w:fill="CFF0FC"/>
          </w:tcPr>
          <w:p>
            <w:pPr>
              <w:jc w:val="right"/>
              <w:ind w:right="841"/>
              <w:spacing w:after="0"/>
              <w:rPr>
                <w:sz w:val="20"/>
                <w:szCs w:val="20"/>
                <w:color w:val="auto"/>
              </w:rPr>
            </w:pPr>
            <w:r>
              <w:rPr>
                <w:rFonts w:ascii="Times New Roman" w:cs="Times New Roman" w:eastAsia="Times New Roman" w:hAnsi="Times New Roman"/>
                <w:sz w:val="16"/>
                <w:szCs w:val="16"/>
                <w:color w:val="auto"/>
              </w:rPr>
              <w:t>(11,626)</w:t>
            </w: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760" w:type="dxa"/>
            <w:vAlign w:val="bottom"/>
            <w:shd w:val="clear" w:color="auto" w:fill="CFF0FC"/>
          </w:tcPr>
          <w:p>
            <w:pPr>
              <w:jc w:val="center"/>
              <w:ind w:right="400"/>
              <w:spacing w:after="0"/>
              <w:rPr>
                <w:sz w:val="20"/>
                <w:szCs w:val="20"/>
                <w:color w:val="auto"/>
              </w:rPr>
            </w:pPr>
            <w:r>
              <w:rPr>
                <w:rFonts w:ascii="Times New Roman" w:cs="Times New Roman" w:eastAsia="Times New Roman" w:hAnsi="Times New Roman"/>
                <w:sz w:val="16"/>
                <w:szCs w:val="16"/>
                <w:color w:val="auto"/>
              </w:rPr>
              <w:t>(27,883)</w:t>
            </w:r>
          </w:p>
        </w:tc>
        <w:tc>
          <w:tcPr>
            <w:tcW w:w="8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3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60" w:type="dxa"/>
            <w:vAlign w:val="bottom"/>
          </w:tcPr>
          <w:p>
            <w:pPr>
              <w:spacing w:after="0"/>
              <w:rPr>
                <w:sz w:val="20"/>
                <w:szCs w:val="20"/>
                <w:color w:val="auto"/>
              </w:rPr>
            </w:pPr>
          </w:p>
        </w:tc>
        <w:tc>
          <w:tcPr>
            <w:tcW w:w="18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rPr>
              <w:t>(23,736)</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center"/>
              <w:ind w:right="400"/>
              <w:spacing w:after="0"/>
              <w:rPr>
                <w:sz w:val="20"/>
                <w:szCs w:val="20"/>
                <w:color w:val="auto"/>
              </w:rPr>
            </w:pPr>
            <w:r>
              <w:rPr>
                <w:rFonts w:ascii="Times New Roman" w:cs="Times New Roman" w:eastAsia="Times New Roman" w:hAnsi="Times New Roman"/>
                <w:sz w:val="16"/>
                <w:szCs w:val="16"/>
                <w:color w:val="auto"/>
              </w:rPr>
              <w:t>(43,536)</w:t>
            </w:r>
          </w:p>
        </w:tc>
        <w:tc>
          <w:tcPr>
            <w:tcW w:w="8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46"/>
        </w:trPr>
        <w:tc>
          <w:tcPr>
            <w:tcW w:w="5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60" w:type="dxa"/>
            <w:vAlign w:val="bottom"/>
            <w:tcBorders>
              <w:bottom w:val="single" w:sz="8" w:color="auto"/>
            </w:tcBorders>
            <w:shd w:val="clear" w:color="auto" w:fill="CFF0FC"/>
          </w:tcPr>
          <w:p>
            <w:pPr>
              <w:spacing w:after="0"/>
              <w:rPr>
                <w:sz w:val="21"/>
                <w:szCs w:val="21"/>
                <w:color w:val="auto"/>
              </w:rPr>
            </w:pPr>
          </w:p>
        </w:tc>
        <w:tc>
          <w:tcPr>
            <w:tcW w:w="1820" w:type="dxa"/>
            <w:vAlign w:val="bottom"/>
            <w:tcBorders>
              <w:bottom w:val="single" w:sz="8" w:color="auto"/>
            </w:tcBorders>
            <w:shd w:val="clear" w:color="auto" w:fill="CFF0FC"/>
          </w:tcPr>
          <w:p>
            <w:pPr>
              <w:jc w:val="right"/>
              <w:ind w:right="841"/>
              <w:spacing w:after="0"/>
              <w:rPr>
                <w:sz w:val="20"/>
                <w:szCs w:val="20"/>
                <w:color w:val="auto"/>
              </w:rPr>
            </w:pPr>
            <w:r>
              <w:rPr>
                <w:rFonts w:ascii="Times New Roman" w:cs="Times New Roman" w:eastAsia="Times New Roman" w:hAnsi="Times New Roman"/>
                <w:sz w:val="16"/>
                <w:szCs w:val="16"/>
                <w:color w:val="auto"/>
              </w:rPr>
              <w:t>(65,241)</w:t>
            </w:r>
          </w:p>
        </w:tc>
        <w:tc>
          <w:tcPr>
            <w:tcW w:w="7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center"/>
              <w:ind w:right="400"/>
              <w:spacing w:after="0"/>
              <w:rPr>
                <w:sz w:val="20"/>
                <w:szCs w:val="20"/>
                <w:color w:val="auto"/>
              </w:rPr>
            </w:pPr>
            <w:r>
              <w:rPr>
                <w:rFonts w:ascii="Times New Roman" w:cs="Times New Roman" w:eastAsia="Times New Roman" w:hAnsi="Times New Roman"/>
                <w:sz w:val="16"/>
                <w:szCs w:val="16"/>
                <w:color w:val="auto"/>
              </w:rPr>
              <w:t>(65,753)</w:t>
            </w:r>
          </w:p>
        </w:tc>
        <w:tc>
          <w:tcPr>
            <w:tcW w:w="8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Based on our net interest income simulation as of September 30, 2025, net interest income is expected to increase as interest rates rise. Rising interest rates would drive higher rates on floating rate loans, interest rate swaps and investment securities, as well as higher reinvestment rates on loan and investment securities cashflows. However, lower interest rates would likely cause an initial decline in net interest income as lower rates would lead to lower yields on loans, swaps, and investment securities, as well as drive higher premium amortization on existing investment securities. Based on our net interest income simulation as of September 30, 2025, NII sensitivity to changes in interest rates for the twelve months subsequent to September 30, 2025 declined in both rising rates and falling rates compared to the sensitivity profile for December 31, 2024. These NII sensitivity changes are attributable to an $800 million reduction in the notional amount of active pay-fixed swaps, resulting in an increase in fixed rate asset exposure.</w:t>
      </w:r>
    </w:p>
    <w:p>
      <w:pPr>
        <w:spacing w:after="0" w:line="21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 analyze the impact of changes in interest rates in a more realistic manner, we also simulate non-parallel interest rate scenarios. These scenarios help to isolate the sensitivity of earnings to various points on the yield curve. Based upon our interest rate simulations, the Company is exposed to movements in both the short and long-end of the yield curve. A movement higher or lower in the short-end of the yield curve would lead to floating-rate assets immediately repricing, while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liability funding would react on a lag. Thus, net interest income may decrease from the base case in the near term if short-term rates were to decrease, although would benefit if short-term rates were to increase and liabilities maintained their ability to lag market rate increases. A movement higher or lower in the long end of the yield curve would lead to assets repricing over time given ongoing cash flows from maturities and prepayments of investment securities and loans. Net interest income may decrease from the base case should long-term rates decline from their current levels, although would benefit if long-term rates were to increase.</w:t>
      </w:r>
    </w:p>
    <w:p>
      <w:pPr>
        <w:spacing w:after="0" w:line="15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Table 17b presents an estimate of the change in EVE that would result from an immediate change in interest rates, moving in a parallel fashion over the entire yield curve, relative to the measured base case scenario. Similar to the sensitivity profile above, the base case scenario assumes the consolidated statements of condition and interest rates are generally unchanged.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Value of Equity Sensitivity Profile</w:t>
            </w:r>
          </w:p>
        </w:tc>
        <w:tc>
          <w:tcPr>
            <w:tcW w:w="4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17b</w:t>
            </w:r>
          </w:p>
        </w:tc>
        <w:tc>
          <w:tcPr>
            <w:tcW w:w="0" w:type="dxa"/>
            <w:vAlign w:val="bottom"/>
          </w:tcPr>
          <w:p>
            <w:pPr>
              <w:spacing w:after="0"/>
              <w:rPr>
                <w:sz w:val="1"/>
                <w:szCs w:val="1"/>
                <w:color w:val="auto"/>
              </w:rPr>
            </w:pPr>
          </w:p>
        </w:tc>
      </w:tr>
      <w:tr>
        <w:trPr>
          <w:trHeight w:val="193"/>
        </w:trPr>
        <w:tc>
          <w:tcPr>
            <w:tcW w:w="5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98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Impact on Economic Value of Equity</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4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8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Immediate Change in Interest Rates (basis points)</w:t>
            </w:r>
          </w:p>
        </w:tc>
        <w:tc>
          <w:tcPr>
            <w:tcW w:w="44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8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880" w:type="dxa"/>
            <w:vAlign w:val="bottom"/>
          </w:tcPr>
          <w:p>
            <w:pPr>
              <w:jc w:val="center"/>
              <w:ind w:right="521"/>
              <w:spacing w:after="0"/>
              <w:rPr>
                <w:sz w:val="20"/>
                <w:szCs w:val="20"/>
                <w:color w:val="auto"/>
              </w:rPr>
            </w:pPr>
            <w:r>
              <w:rPr>
                <w:rFonts w:ascii="Times New Roman" w:cs="Times New Roman" w:eastAsia="Times New Roman" w:hAnsi="Times New Roman"/>
                <w:sz w:val="16"/>
                <w:szCs w:val="16"/>
                <w:color w:val="auto"/>
              </w:rPr>
              <w:t>(614,852)</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(20.8)%  $</w:t>
            </w:r>
          </w:p>
        </w:tc>
        <w:tc>
          <w:tcPr>
            <w:tcW w:w="188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(1,032,211)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5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40" w:type="dxa"/>
            <w:vAlign w:val="bottom"/>
            <w:shd w:val="clear" w:color="auto" w:fill="CFF0FC"/>
          </w:tcPr>
          <w:p>
            <w:pPr>
              <w:spacing w:after="0"/>
              <w:rPr>
                <w:sz w:val="21"/>
                <w:szCs w:val="21"/>
                <w:color w:val="auto"/>
              </w:rPr>
            </w:pPr>
          </w:p>
        </w:tc>
        <w:tc>
          <w:tcPr>
            <w:tcW w:w="1880" w:type="dxa"/>
            <w:vAlign w:val="bottom"/>
            <w:shd w:val="clear" w:color="auto" w:fill="CFF0FC"/>
          </w:tcPr>
          <w:p>
            <w:pPr>
              <w:jc w:val="center"/>
              <w:ind w:right="521"/>
              <w:spacing w:after="0"/>
              <w:rPr>
                <w:sz w:val="20"/>
                <w:szCs w:val="20"/>
                <w:color w:val="auto"/>
              </w:rPr>
            </w:pPr>
            <w:r>
              <w:rPr>
                <w:rFonts w:ascii="Times New Roman" w:cs="Times New Roman" w:eastAsia="Times New Roman" w:hAnsi="Times New Roman"/>
                <w:sz w:val="16"/>
                <w:szCs w:val="16"/>
                <w:color w:val="auto"/>
              </w:rPr>
              <w:t>(473,539)</w:t>
            </w: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rPr>
              <w:t>(763,479)</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40" w:type="dxa"/>
            <w:vAlign w:val="bottom"/>
          </w:tcPr>
          <w:p>
            <w:pPr>
              <w:spacing w:after="0"/>
              <w:rPr>
                <w:sz w:val="20"/>
                <w:szCs w:val="20"/>
                <w:color w:val="auto"/>
              </w:rPr>
            </w:pPr>
          </w:p>
        </w:tc>
        <w:tc>
          <w:tcPr>
            <w:tcW w:w="1880" w:type="dxa"/>
            <w:vAlign w:val="bottom"/>
          </w:tcPr>
          <w:p>
            <w:pPr>
              <w:jc w:val="center"/>
              <w:ind w:right="521"/>
              <w:spacing w:after="0"/>
              <w:rPr>
                <w:sz w:val="20"/>
                <w:szCs w:val="20"/>
                <w:color w:val="auto"/>
              </w:rPr>
            </w:pPr>
            <w:r>
              <w:rPr>
                <w:rFonts w:ascii="Times New Roman" w:cs="Times New Roman" w:eastAsia="Times New Roman" w:hAnsi="Times New Roman"/>
                <w:sz w:val="16"/>
                <w:szCs w:val="16"/>
                <w:color w:val="auto"/>
              </w:rPr>
              <w:t>(322,710)</w:t>
            </w: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(496,443)</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5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40" w:type="dxa"/>
            <w:vAlign w:val="bottom"/>
            <w:shd w:val="clear" w:color="auto" w:fill="CFF0FC"/>
          </w:tcPr>
          <w:p>
            <w:pPr>
              <w:spacing w:after="0"/>
              <w:rPr>
                <w:sz w:val="21"/>
                <w:szCs w:val="21"/>
                <w:color w:val="auto"/>
              </w:rPr>
            </w:pPr>
          </w:p>
        </w:tc>
        <w:tc>
          <w:tcPr>
            <w:tcW w:w="1880" w:type="dxa"/>
            <w:vAlign w:val="bottom"/>
            <w:shd w:val="clear" w:color="auto" w:fill="CFF0FC"/>
          </w:tcPr>
          <w:p>
            <w:pPr>
              <w:jc w:val="center"/>
              <w:ind w:right="521"/>
              <w:spacing w:after="0"/>
              <w:rPr>
                <w:sz w:val="20"/>
                <w:szCs w:val="20"/>
                <w:color w:val="auto"/>
              </w:rPr>
            </w:pPr>
            <w:r>
              <w:rPr>
                <w:rFonts w:ascii="Times New Roman" w:cs="Times New Roman" w:eastAsia="Times New Roman" w:hAnsi="Times New Roman"/>
                <w:sz w:val="16"/>
                <w:szCs w:val="16"/>
                <w:color w:val="auto"/>
              </w:rPr>
              <w:t>(163,839)</w:t>
            </w: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rPr>
              <w:t>(238,689)</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-100</w:t>
            </w:r>
          </w:p>
        </w:tc>
        <w:tc>
          <w:tcPr>
            <w:tcW w:w="440" w:type="dxa"/>
            <w:vAlign w:val="bottom"/>
          </w:tcPr>
          <w:p>
            <w:pPr>
              <w:spacing w:after="0"/>
              <w:rPr>
                <w:sz w:val="20"/>
                <w:szCs w:val="20"/>
                <w:color w:val="auto"/>
              </w:rPr>
            </w:pPr>
          </w:p>
        </w:tc>
        <w:tc>
          <w:tcPr>
            <w:tcW w:w="1880" w:type="dxa"/>
            <w:vAlign w:val="bottom"/>
          </w:tcPr>
          <w:p>
            <w:pPr>
              <w:jc w:val="center"/>
              <w:ind w:right="481"/>
              <w:spacing w:after="0"/>
              <w:rPr>
                <w:sz w:val="20"/>
                <w:szCs w:val="20"/>
                <w:color w:val="auto"/>
              </w:rPr>
            </w:pPr>
            <w:r>
              <w:rPr>
                <w:rFonts w:ascii="Times New Roman" w:cs="Times New Roman" w:eastAsia="Times New Roman" w:hAnsi="Times New Roman"/>
                <w:sz w:val="16"/>
                <w:szCs w:val="16"/>
                <w:color w:val="auto"/>
                <w:w w:val="99"/>
              </w:rPr>
              <w:t>190,113</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177,198</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53"/>
        </w:trPr>
        <w:tc>
          <w:tcPr>
            <w:tcW w:w="5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-200</w:t>
            </w:r>
          </w:p>
        </w:tc>
        <w:tc>
          <w:tcPr>
            <w:tcW w:w="440" w:type="dxa"/>
            <w:vAlign w:val="bottom"/>
            <w:shd w:val="clear" w:color="auto" w:fill="CFF0FC"/>
          </w:tcPr>
          <w:p>
            <w:pPr>
              <w:spacing w:after="0"/>
              <w:rPr>
                <w:sz w:val="21"/>
                <w:szCs w:val="21"/>
                <w:color w:val="auto"/>
              </w:rPr>
            </w:pPr>
          </w:p>
        </w:tc>
        <w:tc>
          <w:tcPr>
            <w:tcW w:w="1880" w:type="dxa"/>
            <w:vAlign w:val="bottom"/>
            <w:shd w:val="clear" w:color="auto" w:fill="CFF0FC"/>
          </w:tcPr>
          <w:p>
            <w:pPr>
              <w:jc w:val="center"/>
              <w:ind w:right="501"/>
              <w:spacing w:after="0"/>
              <w:rPr>
                <w:sz w:val="20"/>
                <w:szCs w:val="20"/>
                <w:color w:val="auto"/>
              </w:rPr>
            </w:pPr>
            <w:r>
              <w:rPr>
                <w:rFonts w:ascii="Times New Roman" w:cs="Times New Roman" w:eastAsia="Times New Roman" w:hAnsi="Times New Roman"/>
                <w:sz w:val="16"/>
                <w:szCs w:val="16"/>
                <w:color w:val="auto"/>
              </w:rPr>
              <w:t>358,939</w:t>
            </w:r>
          </w:p>
        </w:tc>
        <w:tc>
          <w:tcPr>
            <w:tcW w:w="7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880" w:type="dxa"/>
            <w:vAlign w:val="bottom"/>
            <w:shd w:val="clear" w:color="auto" w:fill="CFF0FC"/>
          </w:tcPr>
          <w:p>
            <w:pPr>
              <w:jc w:val="right"/>
              <w:ind w:right="820"/>
              <w:spacing w:after="0"/>
              <w:rPr>
                <w:sz w:val="20"/>
                <w:szCs w:val="20"/>
                <w:color w:val="auto"/>
              </w:rPr>
            </w:pPr>
            <w:r>
              <w:rPr>
                <w:rFonts w:ascii="Times New Roman" w:cs="Times New Roman" w:eastAsia="Times New Roman" w:hAnsi="Times New Roman"/>
                <w:sz w:val="16"/>
                <w:szCs w:val="16"/>
                <w:color w:val="auto"/>
              </w:rPr>
              <w:t>274,546</w:t>
            </w:r>
          </w:p>
        </w:tc>
        <w:tc>
          <w:tcPr>
            <w:tcW w:w="8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-300</w:t>
            </w:r>
          </w:p>
        </w:tc>
        <w:tc>
          <w:tcPr>
            <w:tcW w:w="440" w:type="dxa"/>
            <w:vAlign w:val="bottom"/>
          </w:tcPr>
          <w:p>
            <w:pPr>
              <w:spacing w:after="0"/>
              <w:rPr>
                <w:sz w:val="20"/>
                <w:szCs w:val="20"/>
                <w:color w:val="auto"/>
              </w:rPr>
            </w:pPr>
          </w:p>
        </w:tc>
        <w:tc>
          <w:tcPr>
            <w:tcW w:w="1880" w:type="dxa"/>
            <w:vAlign w:val="bottom"/>
          </w:tcPr>
          <w:p>
            <w:pPr>
              <w:jc w:val="center"/>
              <w:ind w:right="501"/>
              <w:spacing w:after="0"/>
              <w:rPr>
                <w:sz w:val="20"/>
                <w:szCs w:val="20"/>
                <w:color w:val="auto"/>
              </w:rPr>
            </w:pPr>
            <w:r>
              <w:rPr>
                <w:rFonts w:ascii="Times New Roman" w:cs="Times New Roman" w:eastAsia="Times New Roman" w:hAnsi="Times New Roman"/>
                <w:sz w:val="16"/>
                <w:szCs w:val="16"/>
                <w:color w:val="auto"/>
              </w:rPr>
              <w:t>353,049</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jc w:val="right"/>
              <w:ind w:right="820"/>
              <w:spacing w:after="0"/>
              <w:rPr>
                <w:sz w:val="20"/>
                <w:szCs w:val="20"/>
                <w:color w:val="auto"/>
              </w:rPr>
            </w:pPr>
            <w:r>
              <w:rPr>
                <w:rFonts w:ascii="Times New Roman" w:cs="Times New Roman" w:eastAsia="Times New Roman" w:hAnsi="Times New Roman"/>
                <w:sz w:val="16"/>
                <w:szCs w:val="16"/>
                <w:color w:val="auto"/>
              </w:rPr>
              <w:t>294,363</w:t>
            </w: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46"/>
        </w:trPr>
        <w:tc>
          <w:tcPr>
            <w:tcW w:w="50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-400</w:t>
            </w:r>
          </w:p>
        </w:tc>
        <w:tc>
          <w:tcPr>
            <w:tcW w:w="44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center"/>
              <w:ind w:right="501"/>
              <w:spacing w:after="0"/>
              <w:rPr>
                <w:sz w:val="20"/>
                <w:szCs w:val="20"/>
                <w:color w:val="auto"/>
              </w:rPr>
            </w:pPr>
            <w:r>
              <w:rPr>
                <w:rFonts w:ascii="Times New Roman" w:cs="Times New Roman" w:eastAsia="Times New Roman" w:hAnsi="Times New Roman"/>
                <w:sz w:val="16"/>
                <w:szCs w:val="16"/>
                <w:color w:val="auto"/>
              </w:rPr>
              <w:t>223,931</w:t>
            </w:r>
          </w:p>
        </w:tc>
        <w:tc>
          <w:tcPr>
            <w:tcW w:w="7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auto"/>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ind w:right="780"/>
              <w:spacing w:after="0"/>
              <w:rPr>
                <w:sz w:val="20"/>
                <w:szCs w:val="20"/>
                <w:color w:val="auto"/>
              </w:rPr>
            </w:pPr>
            <w:r>
              <w:rPr>
                <w:rFonts w:ascii="Times New Roman" w:cs="Times New Roman" w:eastAsia="Times New Roman" w:hAnsi="Times New Roman"/>
                <w:sz w:val="16"/>
                <w:szCs w:val="16"/>
                <w:color w:val="auto"/>
              </w:rPr>
              <w:t>(99,219)</w:t>
            </w: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Compared to December 31, 2024, EVE sensitivity decreased in the rising rate scenarios and increased in the falling rate scenarios. We implemented new deposit pricing and attrition models during the period, which updated the repricing beta and average life assumptions, and lowered deposit account duration compared to the prior deposit models. This is partially offset by a reduction in the notional balance of active pay-fixed interest rate swaps. These factors resulted in generally lower liability duration, partially offset by higher asset duration, resulting in improved EVE modeling results.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Market Risks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interest rate risk, we are exposed to other forms of market risk in our normal business transactions. Foreign currency holdings expose us to a small degree of foreign currency risk. Our trust and asset management income are at risk to fluctuations in the market values of underlying assets, particularly debt and equity securities. Also, our share-based compensation expense is dependent on the fair value of our restricted stock units and restricted stock at the date of grant. The fair value of restricted stock units and restricted stock is impacted by the market price of the Parent’s common stock on the date of grant and is at risk to changes in equity markets, general economic conditions, and other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 Management</w:t>
      </w:r>
    </w:p>
    <w:p>
      <w:pPr>
        <w:spacing w:after="0" w:line="20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objective of our liquidity risk management process is to manage cash flow and liquidity in an effort to provide continuous access to sufficient, reasonably priced funds. Funding requirements are impacted by factors such as loan originations and refinancings, changes in deposit balances, liability issuances and settlements, and off-balance sheet funding commitments. We adhere to various regulatory guidelines regarding required liquidity levels and periodically monitor our liquidity position in light of the changing economic environment and customer activity. Based on periodic liquidity assessments, we may alter our asset, liability, and off- 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maintain access to ample sources of readily available contingent liquidity. As of September 30, 2025, we had pledged loans and investment securities to the Federal Reserve Discount Window and had remaining borrowing capacity of $7.5 billion. We are also a member of the FHLB. As of September 30, 2025, we had pledged loans to the FHLB and had remaining borrowing capacity of $1.8 billion. The ratio of readily available liquidity to adjusted uninsured deposits was 134% at September 30, 2025, compared to 116% at December 31, 2024. The increase in the readily available liquidity to adjusted uninsured deposits ratio was due to an increase in cash and cash equivalents.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addition, we utilize our investment securities portfolio as collateral to secure deposits of public entities as well as repurchase agreements with private institution counterparties. The high-quality nature of our investment securities portfolio, which consists primarily of government and agency securities, facilitates the use of these assets for pledging purposes.</w:t>
      </w:r>
    </w:p>
    <w:p>
      <w:pPr>
        <w:spacing w:after="0" w:line="14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Other sources of liquidity also include investment securities in our AFS securities portfolio and our ability to sell loans in the secondary market. Our core deposits have historically provided us with a long-term source of stable and relatively low-cost source of funding. Additional funding is also available through the issuance of long-term debt or equity.</w:t>
      </w:r>
    </w:p>
    <w:p>
      <w:pPr>
        <w:spacing w:after="0" w:line="13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market and economic conditions will impact our ability to borrow funds from external sources, as well as the cost of such borrowing both in terms of rate, as well as haircuts on collateral pledged to support such borrowings. Although a significant portion of our investment securities were in an unrealized loss position as of September 30, 2025, we believe we have sufficient access to various forms of liquidity that would alleviate the need to liquidate these investment securities and realize the losses.</w:t>
      </w:r>
    </w:p>
    <w:p>
      <w:pPr>
        <w:spacing w:after="0" w:line="13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continued our focus on maintaining a strong liquidity position. As of September 30, 2025, cash and cash equivalents were $1.0 billion, the carrying value of our AFS investment securities was $3.3 billion, and total deposits were $21.1 billion. As of September 30, 2025, our AFS investment securities portfolio was comprised of securities with an average base duration of approximately 2.94 years, excluding the impact from our interest rate swaps.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and the Bank are each subject to regulatory capital requirements administered by the federal banking agencies and the Division of Financial Institutions, an agency of the State of Hawai‘i Department of Commerce and Consumer Affairs.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September 30, 2025, the Company’s capital levels remained characterized as “well-capitalized.” There have been no conditions or events since September 30, 2025, that management believes have changed either the Company’s or the Bank’s capital classifications. The Company’s regulatory capital ratios are presented in Table 18 below.</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18 presents our regulatory capital and ratios as of September 30, 2025 and December 31, 2024.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Regulatory Capital and Ratios</w:t>
            </w:r>
          </w:p>
        </w:tc>
        <w:tc>
          <w:tcPr>
            <w:tcW w:w="2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Table 18</w:t>
            </w:r>
          </w:p>
        </w:tc>
      </w:tr>
      <w:tr>
        <w:trPr>
          <w:trHeight w:val="193"/>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2140" w:type="dxa"/>
            <w:vAlign w:val="bottom"/>
          </w:tcPr>
          <w:p>
            <w:pPr>
              <w:spacing w:after="0"/>
              <w:rPr>
                <w:sz w:val="16"/>
                <w:szCs w:val="16"/>
                <w:color w:val="auto"/>
              </w:rPr>
            </w:pPr>
          </w:p>
        </w:tc>
        <w:tc>
          <w:tcPr>
            <w:tcW w:w="17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20" w:type="dxa"/>
            <w:vAlign w:val="bottom"/>
          </w:tcPr>
          <w:p>
            <w:pPr>
              <w:spacing w:after="0"/>
              <w:rPr>
                <w:sz w:val="16"/>
                <w:szCs w:val="16"/>
                <w:color w:val="auto"/>
              </w:rPr>
            </w:pPr>
          </w:p>
        </w:tc>
        <w:tc>
          <w:tcPr>
            <w:tcW w:w="17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528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37"/>
        </w:trPr>
        <w:tc>
          <w:tcPr>
            <w:tcW w:w="52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Regulatory Capital </w:t>
            </w:r>
            <w:r>
              <w:rPr>
                <w:rFonts w:ascii="Times New Roman" w:cs="Times New Roman" w:eastAsia="Times New Roman" w:hAnsi="Times New Roman"/>
                <w:sz w:val="21"/>
                <w:szCs w:val="21"/>
                <w:color w:val="auto"/>
                <w:vertAlign w:val="superscript"/>
              </w:rPr>
              <w:t>1</w:t>
            </w:r>
          </w:p>
        </w:tc>
        <w:tc>
          <w:tcPr>
            <w:tcW w:w="21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r>
      <w:tr>
        <w:trPr>
          <w:trHeight w:val="23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Common Shareholders’ Equity</w:t>
            </w:r>
          </w:p>
        </w:tc>
        <w:tc>
          <w:tcPr>
            <w:tcW w:w="2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1,446,183</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1,322,774</w:t>
            </w:r>
          </w:p>
        </w:tc>
      </w:tr>
      <w:tr>
        <w:trPr>
          <w:trHeight w:val="25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214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CECL Transitional Amount</w:t>
            </w:r>
          </w:p>
        </w:tc>
        <w:tc>
          <w:tcPr>
            <w:tcW w:w="2140" w:type="dxa"/>
            <w:vAlign w:val="bottom"/>
          </w:tcPr>
          <w:p>
            <w:pPr>
              <w:spacing w:after="0"/>
              <w:rPr>
                <w:sz w:val="20"/>
                <w:szCs w:val="20"/>
                <w:color w:val="auto"/>
              </w:rPr>
            </w:pPr>
          </w:p>
        </w:tc>
        <w:tc>
          <w:tcPr>
            <w:tcW w:w="1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2,375</w:t>
            </w:r>
          </w:p>
        </w:tc>
      </w:tr>
      <w:tr>
        <w:trPr>
          <w:trHeight w:val="253"/>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 Net of Deferred Tax Liabilities</w:t>
            </w:r>
          </w:p>
        </w:tc>
        <w:tc>
          <w:tcPr>
            <w:tcW w:w="21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(28,746)</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(28,746)</w:t>
            </w:r>
          </w:p>
        </w:tc>
      </w:tr>
      <w:tr>
        <w:trPr>
          <w:trHeight w:val="233"/>
        </w:trPr>
        <w:tc>
          <w:tcPr>
            <w:tcW w:w="5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Postretirement Benefit Liability</w:t>
            </w:r>
          </w:p>
        </w:tc>
        <w:tc>
          <w:tcPr>
            <w:tcW w:w="2140" w:type="dxa"/>
            <w:vAlign w:val="bottom"/>
          </w:tcPr>
          <w:p>
            <w:pPr>
              <w:spacing w:after="0"/>
              <w:rPr>
                <w:sz w:val="20"/>
                <w:szCs w:val="20"/>
                <w:color w:val="auto"/>
              </w:rPr>
            </w:pPr>
          </w:p>
        </w:tc>
        <w:tc>
          <w:tcPr>
            <w:tcW w:w="1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22,699</w:t>
            </w:r>
          </w:p>
        </w:tc>
        <w:tc>
          <w:tcPr>
            <w:tcW w:w="320" w:type="dxa"/>
            <w:vAlign w:val="bottom"/>
          </w:tcPr>
          <w:p>
            <w:pPr>
              <w:spacing w:after="0"/>
              <w:rPr>
                <w:sz w:val="20"/>
                <w:szCs w:val="20"/>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23,396</w:t>
            </w:r>
          </w:p>
        </w:tc>
      </w:tr>
      <w:tr>
        <w:trPr>
          <w:trHeight w:val="253"/>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Unrealized Losses on Investment Securities</w:t>
            </w:r>
          </w:p>
        </w:tc>
        <w:tc>
          <w:tcPr>
            <w:tcW w:w="21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253,552</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319,993</w:t>
            </w:r>
          </w:p>
        </w:tc>
      </w:tr>
      <w:tr>
        <w:trPr>
          <w:trHeight w:val="237"/>
        </w:trPr>
        <w:tc>
          <w:tcPr>
            <w:tcW w:w="5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9,097</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9,097</w:t>
            </w: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Equity Tier 1 Capital</w:t>
            </w:r>
          </w:p>
        </w:tc>
        <w:tc>
          <w:tcPr>
            <w:tcW w:w="21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1,702,785</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1,648,889</w:t>
            </w:r>
          </w:p>
        </w:tc>
      </w:tr>
      <w:tr>
        <w:trPr>
          <w:trHeight w:val="236"/>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Preferred Stock, Net of Issuance Cost</w:t>
            </w:r>
          </w:p>
        </w:tc>
        <w:tc>
          <w:tcPr>
            <w:tcW w:w="2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336,101</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336,101</w:t>
            </w: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w:t>
            </w:r>
          </w:p>
        </w:tc>
        <w:tc>
          <w:tcPr>
            <w:tcW w:w="21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2,038,886</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1,984,990</w:t>
            </w:r>
          </w:p>
        </w:tc>
      </w:tr>
      <w:tr>
        <w:trPr>
          <w:trHeight w:val="237"/>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Allowable Reserve for Credit Losses</w:t>
            </w:r>
          </w:p>
        </w:tc>
        <w:tc>
          <w:tcPr>
            <w:tcW w:w="2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150,051</w:t>
            </w: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148,634</w:t>
            </w:r>
          </w:p>
        </w:tc>
      </w:tr>
      <w:tr>
        <w:trPr>
          <w:trHeight w:val="262"/>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Regulatory Capital</w:t>
            </w:r>
          </w:p>
        </w:tc>
        <w:tc>
          <w:tcPr>
            <w:tcW w:w="21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2,188,937</w:t>
            </w:r>
          </w:p>
        </w:tc>
        <w:tc>
          <w:tcPr>
            <w:tcW w:w="3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2,133,624</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Risk-Weighted Assets</w:t>
            </w:r>
          </w:p>
        </w:tc>
        <w:tc>
          <w:tcPr>
            <w:tcW w:w="2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14,215,866</w:t>
            </w:r>
          </w:p>
        </w:tc>
        <w:tc>
          <w:tcPr>
            <w:tcW w:w="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14,225,908</w:t>
            </w:r>
          </w:p>
        </w:tc>
      </w:tr>
      <w:tr>
        <w:trPr>
          <w:trHeight w:val="21"/>
        </w:trPr>
        <w:tc>
          <w:tcPr>
            <w:tcW w:w="52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Key Regulatory Capital Ratios</w:t>
            </w:r>
          </w:p>
        </w:tc>
        <w:tc>
          <w:tcPr>
            <w:tcW w:w="214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Equity Tier 1 Capital Ratio</w:t>
            </w:r>
          </w:p>
        </w:tc>
        <w:tc>
          <w:tcPr>
            <w:tcW w:w="2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r>
      <w:tr>
        <w:trPr>
          <w:trHeight w:val="25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Capital Ratio</w:t>
            </w:r>
          </w:p>
        </w:tc>
        <w:tc>
          <w:tcPr>
            <w:tcW w:w="21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14.34</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13.95</w:t>
            </w:r>
          </w:p>
        </w:tc>
      </w:tr>
      <w:tr>
        <w:trPr>
          <w:trHeight w:val="233"/>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Capital Ratio</w:t>
            </w:r>
          </w:p>
        </w:tc>
        <w:tc>
          <w:tcPr>
            <w:tcW w:w="2140" w:type="dxa"/>
            <w:vAlign w:val="bottom"/>
          </w:tcPr>
          <w:p>
            <w:pPr>
              <w:spacing w:after="0"/>
              <w:rPr>
                <w:sz w:val="20"/>
                <w:szCs w:val="20"/>
                <w:color w:val="auto"/>
              </w:rPr>
            </w:pPr>
          </w:p>
        </w:tc>
        <w:tc>
          <w:tcPr>
            <w:tcW w:w="1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15.40</w:t>
            </w:r>
          </w:p>
        </w:tc>
        <w:tc>
          <w:tcPr>
            <w:tcW w:w="320" w:type="dxa"/>
            <w:vAlign w:val="bottom"/>
          </w:tcPr>
          <w:p>
            <w:pPr>
              <w:spacing w:after="0"/>
              <w:rPr>
                <w:sz w:val="20"/>
                <w:szCs w:val="20"/>
                <w:color w:val="auto"/>
              </w:rPr>
            </w:pPr>
          </w:p>
        </w:tc>
        <w:tc>
          <w:tcPr>
            <w:tcW w:w="1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15.00</w:t>
            </w:r>
          </w:p>
        </w:tc>
      </w:tr>
      <w:tr>
        <w:trPr>
          <w:trHeight w:val="25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Tier 1 Leverage Ratio</w:t>
            </w:r>
          </w:p>
        </w:tc>
        <w:tc>
          <w:tcPr>
            <w:tcW w:w="214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8.44</w:t>
            </w:r>
          </w:p>
        </w:tc>
        <w:tc>
          <w:tcPr>
            <w:tcW w:w="32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8.31</w:t>
            </w:r>
          </w:p>
        </w:tc>
      </w:tr>
    </w:tbl>
    <w:p>
      <w:pPr>
        <w:spacing w:after="0" w:line="58" w:lineRule="exact"/>
        <w:rPr>
          <w:sz w:val="20"/>
          <w:szCs w:val="20"/>
          <w:color w:val="auto"/>
        </w:rPr>
      </w:pPr>
    </w:p>
    <w:p>
      <w:pPr>
        <w:ind w:left="80" w:hanging="72"/>
        <w:spacing w:after="0"/>
        <w:tabs>
          <w:tab w:leader="none" w:pos="80" w:val="left"/>
        </w:tabs>
        <w:numPr>
          <w:ilvl w:val="0"/>
          <w:numId w:val="3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Regulatory capital ratios as of September 30, 2025 are preliminary.</w:t>
      </w:r>
    </w:p>
    <w:p>
      <w:pPr>
        <w:ind w:left="80" w:hanging="72"/>
        <w:spacing w:after="0" w:line="222" w:lineRule="auto"/>
        <w:tabs>
          <w:tab w:leader="none" w:pos="80"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unrealized gains and losses related to the Company’s reclassification of AFS investment securities to the HTM category.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Equity</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September 30, 2025, shareholders’ equity was $1.8 billion, an increase of $123.4 million or 7.4% from December 31, 2024. For the first nine months of 2025, the increase was attributed to net income of $145.0 million, other comprehensive income of $67.1 million, share-based compensation of $11.7 million, and common stock issued under purchase and equity compensation plans of $3.9 million were offset by cash dividends declared of $84.7 million on common shares, cash dividends declared of $15.8 million on preferred shares, and common stock repurchased of $3.7 million related to taxes withheld for share-based compensation.</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shares of common stock were repurchased under the share repurchase program in the third quarter of 2025. From the beginning of our share repurchase program in July 2001 through September 30, 2025, we repurchased a total of 58.2 million shares of our common stock and returned a total of $2.4 billion to our shareholders at an average cost of $41.24 per share. Remaining buyback authority under our share repurchase program was $126.0 million as of September 30, 2025. The actual amount and timing of future share repurchases, if any, will depend on market and economic conditions, regulatory rules, applicable SEC rules, and various other factors.</w:t>
      </w:r>
    </w:p>
    <w:p>
      <w:pPr>
        <w:spacing w:after="0" w:line="14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October 2025, the Parent’s Board of Directors declared quarterly dividend payments of its Fixed Rate Non-Cumulative Perpetual Preferred Stock, Series A, of $10.94 per share, equivalent to $0.2735 per depositary share and its Fixed Rate Non-Cumulative Perpetual Preferred Stock, Series B, of $20.00 per share, equivalent to $0.5000 per depositary share. The dividend will be payable on November 3, 2025, to shareholders of record of the preferred stock at the close of business on October 17, 2025.</w:t>
      </w:r>
    </w:p>
    <w:p>
      <w:pPr>
        <w:spacing w:after="0" w:line="153"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October 2025, the Parent’s Board of Directors declared a quarterly cash dividend of $0.70 per share on the Parent’s outstanding common shares. The dividend will be payable on December 12, 2025, to shareholders of record of the common stock at the close of business on November 28,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Operational risk represents the risk of loss resulting from our operations, including, but not limited to, the risk of fraud by employees or persons outside the Company, errors relating to transaction processing and technology, failure to adhere to</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7"/>
          <w:szCs w:val="17"/>
          <w:color w:val="auto"/>
        </w:rPr>
        <w:t>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4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Operational Risk and Compliance Committee (the “ORC”) provides oversight and assesses the most significant operational risks including cybersecurity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Committee of the Board of Directors.</w:t>
      </w:r>
    </w:p>
    <w:p>
      <w:pPr>
        <w:spacing w:after="0" w:line="14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Credit Commitments, and Contractual Obligations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hold interests in several unconsolidated variable interest entities (“VIEs”). These unconsolidated VIEs are primarily low-income housing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Commitments and Contractual Obligations</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credit commitments and contractual obligations have not changed materially since previously reported in our Annual Report on Form 10-K for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“Market Risk” of this Management’s Discussion and Analysis of Financial Condition and Results of Operations.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September 30, 2025. Based on this evaluation, the Chief Executive Officer and Chief Financial Officer concluded that the Company’s disclosure controls and procedures were effective as of September 30, 2025.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0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under the Exchange Act) that occurred during the quarter ended September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 xml:space="preserve">There are no pending legal proceedings against or involving the Company, for which the outcome is likely to have a material adverse effect upon its financial position or results of operations. For additional information, see “Contingencies”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unaudited Consolidated Financial Statements set forth in Item 1, Part I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Part I, Item 1A. “Risk Factors” in the Company’s Annual Report on Form 10-K for the year ended December 31, 2024 and Part II, Item 1A. “Risk Factors” in the Company's Quarterly Report on Form 10-Q for the quarter ended March 31,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the Company's stock during the quarter.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Parent’s repurchases of its common stock during the third quarter of 2025 were as follows:</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0" w:type="dxa"/>
            <w:vAlign w:val="bottom"/>
          </w:tcPr>
          <w:p>
            <w:pPr>
              <w:spacing w:after="0"/>
              <w:rPr>
                <w:sz w:val="14"/>
                <w:szCs w:val="14"/>
                <w:color w:val="auto"/>
              </w:rPr>
            </w:pPr>
          </w:p>
        </w:tc>
        <w:tc>
          <w:tcPr>
            <w:tcW w:w="1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5"/>
        </w:trPr>
        <w:tc>
          <w:tcPr>
            <w:tcW w:w="25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00" w:type="dxa"/>
            <w:vAlign w:val="bottom"/>
          </w:tcPr>
          <w:p>
            <w:pPr>
              <w:spacing w:after="0"/>
              <w:rPr>
                <w:sz w:val="15"/>
                <w:szCs w:val="15"/>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2540" w:type="dxa"/>
            <w:vAlign w:val="bottom"/>
          </w:tcPr>
          <w:p>
            <w:pPr>
              <w:spacing w:after="0"/>
              <w:rPr>
                <w:sz w:val="14"/>
                <w:szCs w:val="14"/>
                <w:color w:val="auto"/>
              </w:rPr>
            </w:pPr>
          </w:p>
        </w:tc>
        <w:tc>
          <w:tcPr>
            <w:tcW w:w="27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2100" w:type="dxa"/>
            <w:vAlign w:val="bottom"/>
            <w:gridSpan w:val="2"/>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241"/>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7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9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2</w:t>
            </w:r>
          </w:p>
        </w:tc>
      </w:tr>
      <w:tr>
        <w:trPr>
          <w:trHeight w:val="237"/>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 1 - 31, 2025</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67.50</w:t>
            </w:r>
          </w:p>
        </w:tc>
        <w:tc>
          <w:tcPr>
            <w:tcW w:w="192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126,038,927</w:t>
            </w:r>
          </w:p>
        </w:tc>
      </w:tr>
      <w:tr>
        <w:trPr>
          <w:trHeight w:val="23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1 - 31, 2025</w:t>
            </w:r>
          </w:p>
        </w:tc>
        <w:tc>
          <w:tcPr>
            <w:tcW w:w="2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tcPr>
          <w:p>
            <w:pPr>
              <w:ind w:left="1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126,038,927</w:t>
            </w:r>
          </w:p>
        </w:tc>
      </w:tr>
      <w:tr>
        <w:trPr>
          <w:trHeight w:val="246"/>
        </w:trPr>
        <w:tc>
          <w:tcPr>
            <w:tcW w:w="2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1 - 30, 2025</w:t>
            </w: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8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65.87</w:t>
            </w:r>
          </w:p>
        </w:tc>
        <w:tc>
          <w:tcPr>
            <w:tcW w:w="192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126,038,927</w:t>
            </w:r>
          </w:p>
        </w:tc>
      </w:tr>
      <w:tr>
        <w:trPr>
          <w:trHeight w:val="236"/>
        </w:trPr>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66.95</w:t>
            </w:r>
          </w:p>
        </w:tc>
        <w:tc>
          <w:tcPr>
            <w:tcW w:w="19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25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r>
    </w:tbl>
    <w:p>
      <w:pPr>
        <w:spacing w:after="0" w:line="58" w:lineRule="exact"/>
        <w:rPr>
          <w:sz w:val="20"/>
          <w:szCs w:val="20"/>
          <w:color w:val="auto"/>
        </w:rPr>
      </w:pPr>
    </w:p>
    <w:p>
      <w:pPr>
        <w:ind w:left="420" w:right="500" w:hanging="412"/>
        <w:spacing w:after="0" w:line="266" w:lineRule="auto"/>
        <w:tabs>
          <w:tab w:leader="none" w:pos="413"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During the third quarter of 2025, 2,012 shares were acquired from employees in connection with income tax withholdings related to the vesting of restricted stock. The shares were purchased at the closing price of the Parent’s common stock on the dates of purchase.</w:t>
      </w:r>
    </w:p>
    <w:p>
      <w:pPr>
        <w:spacing w:after="0" w:line="1" w:lineRule="exact"/>
        <w:rPr>
          <w:sz w:val="20"/>
          <w:szCs w:val="20"/>
          <w:color w:val="auto"/>
        </w:rPr>
      </w:pPr>
    </w:p>
    <w:p>
      <w:pPr>
        <w:ind w:left="420" w:right="80" w:hanging="412"/>
        <w:spacing w:after="0" w:line="230" w:lineRule="auto"/>
        <w:tabs>
          <w:tab w:leader="none" w:pos="413"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share repurchase program was first announced in July 2001 with an initial authorization to repurchase $70 million in shares of common stock. The Board increased the share repurchase program, most recently in January 2023 by $100 million. The share repurchase program has no set expiration or termination date. The actual amount and timing of future share repurchases, if any, will depend on market and economic conditions, regulatory rules, applicable SEC rules, and various other factors.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fiscal quarter ended September 30, 2025, Peter S. Ho, Chairman and Chief Executive Officer of Bank of Hawaii Corporation adopted a Rule 10b5-1 trading plan intended to comply with Rule 10b5-1(c) of the Securities Exchange Act of 1934. The arrangement was entered into in accordance with the Company’s insider trading policy and applicable securities laws. The plan was adopted on August 29, 2025 and is scheduled to remain in effect through December 31, 2026. Under the terms of the arrangement, Mr. Ho has authorized the sale of up to 60,000 shares of the Company's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of exhibits to this Form 10-Q is set forth on the Exhibit Index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3.1</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Certificate of Incorporation of Bank of Hawaii Corporation (f/k/a Pacific Century Financial Corporation and Bancorp Hawaii, Inc.), as amended</w:t>
              </w:r>
            </w:hyperlink>
          </w:p>
        </w:tc>
      </w:tr>
      <w:tr>
        <w:trPr>
          <w:trHeight w:val="169"/>
        </w:trPr>
        <w:tc>
          <w:tcPr>
            <w:tcW w:w="1360" w:type="dxa"/>
            <w:vAlign w:val="bottom"/>
          </w:tcPr>
          <w:p>
            <w:pPr>
              <w:spacing w:after="0"/>
              <w:rPr>
                <w:sz w:val="14"/>
                <w:szCs w:val="14"/>
                <w:color w:val="auto"/>
              </w:rPr>
            </w:pPr>
          </w:p>
        </w:tc>
        <w:tc>
          <w:tcPr>
            <w:tcW w:w="9340" w:type="dxa"/>
            <w:vAlign w:val="bottom"/>
            <w:tcBorders>
              <w:top w:val="single" w:sz="8" w:color="0000FF"/>
            </w:tcBorders>
            <w:gridSpan w:val="10"/>
          </w:tcPr>
          <w:p>
            <w:pPr>
              <w:spacing w:after="0" w:line="169"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(incorporated by reference to Exhibit 3.1 to Bank of Hawaii Corporation’s Annual Report on Form 10-K for its fiscal year ended December 31,</w:t>
              </w:r>
            </w:hyperlink>
          </w:p>
        </w:tc>
        <w:tc>
          <w:tcPr>
            <w:tcW w:w="320" w:type="dxa"/>
            <w:vAlign w:val="bottom"/>
            <w:gridSpan w:val="4"/>
          </w:tcPr>
          <w:p>
            <w:pPr>
              <w:jc w:val="right"/>
              <w:ind w:right="20"/>
              <w:spacing w:after="0" w:line="169" w:lineRule="exact"/>
              <w:rPr>
                <w:rFonts w:ascii="Times New Roman" w:cs="Times New Roman" w:eastAsia="Times New Roman" w:hAnsi="Times New Roman"/>
                <w:sz w:val="16"/>
                <w:szCs w:val="16"/>
                <w:color w:val="0000FF"/>
                <w:w w:val="87"/>
              </w:rPr>
            </w:pPr>
            <w:hyperlink r:id="rId84">
              <w:r>
                <w:rPr>
                  <w:rFonts w:ascii="Times New Roman" w:cs="Times New Roman" w:eastAsia="Times New Roman" w:hAnsi="Times New Roman"/>
                  <w:sz w:val="16"/>
                  <w:szCs w:val="16"/>
                  <w:color w:val="0000FF"/>
                  <w:w w:val="87"/>
                </w:rPr>
                <w:t>2005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360" w:type="dxa"/>
            <w:vAlign w:val="bottom"/>
          </w:tcPr>
          <w:p>
            <w:pPr>
              <w:spacing w:after="0"/>
              <w:rPr>
                <w:sz w:val="14"/>
                <w:szCs w:val="14"/>
                <w:color w:val="auto"/>
              </w:rPr>
            </w:pPr>
          </w:p>
        </w:tc>
        <w:tc>
          <w:tcPr>
            <w:tcW w:w="9640" w:type="dxa"/>
            <w:vAlign w:val="bottom"/>
            <w:tcBorders>
              <w:top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filed on February 28, 2006).</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Certificate of Amendment of Certificate of Incorporation of Bank of Hawaii Corporation (incorporated by reference to Exhibit 3.1 to Bank of Hawaii</w:t>
              </w:r>
            </w:hyperlink>
          </w:p>
        </w:tc>
      </w:tr>
      <w:tr>
        <w:trPr>
          <w:trHeight w:val="169"/>
        </w:trPr>
        <w:tc>
          <w:tcPr>
            <w:tcW w:w="1360" w:type="dxa"/>
            <w:vAlign w:val="bottom"/>
          </w:tcPr>
          <w:p>
            <w:pPr>
              <w:spacing w:after="0"/>
              <w:rPr>
                <w:sz w:val="14"/>
                <w:szCs w:val="14"/>
                <w:color w:val="auto"/>
              </w:rPr>
            </w:pPr>
          </w:p>
        </w:tc>
        <w:tc>
          <w:tcPr>
            <w:tcW w:w="442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Corporation’s Current Report on Form 8-K filed on April 30, 2008).</w:t>
              </w:r>
            </w:hyperlink>
          </w:p>
        </w:tc>
        <w:tc>
          <w:tcPr>
            <w:tcW w:w="526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3.3</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Certificate of Designations of 4.375% Fixed Rate Non-Cumulative Perpetual Preferred Stock, Series A (incorporated by reference to Exhibit 3.1 to</w:t>
              </w:r>
            </w:hyperlink>
          </w:p>
        </w:tc>
      </w:tr>
      <w:tr>
        <w:trPr>
          <w:trHeight w:val="169"/>
        </w:trPr>
        <w:tc>
          <w:tcPr>
            <w:tcW w:w="1360" w:type="dxa"/>
            <w:vAlign w:val="bottom"/>
          </w:tcPr>
          <w:p>
            <w:pPr>
              <w:spacing w:after="0"/>
              <w:rPr>
                <w:sz w:val="14"/>
                <w:szCs w:val="14"/>
                <w:color w:val="auto"/>
              </w:rPr>
            </w:pPr>
          </w:p>
        </w:tc>
        <w:tc>
          <w:tcPr>
            <w:tcW w:w="54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Bank of Hawaii Corporation’s Current Report on Form 8-K filed on June 15, 2021).</w:t>
              </w:r>
            </w:hyperlink>
          </w:p>
        </w:tc>
        <w:tc>
          <w:tcPr>
            <w:tcW w:w="4100" w:type="dxa"/>
            <w:vAlign w:val="bottom"/>
            <w:tcBorders>
              <w:top w:val="single" w:sz="8" w:color="0000FF"/>
            </w:tcBorders>
            <w:gridSpan w:val="4"/>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3.4</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Certificate of Designations of 8.000% Fixed Rate Non-Cumulative Perpetual Preferred Stock, Series B (incorporated by reference to Exhibit 3.1 to</w:t>
              </w:r>
            </w:hyperlink>
          </w:p>
        </w:tc>
      </w:tr>
      <w:tr>
        <w:trPr>
          <w:trHeight w:val="169"/>
        </w:trPr>
        <w:tc>
          <w:tcPr>
            <w:tcW w:w="1360" w:type="dxa"/>
            <w:vAlign w:val="bottom"/>
          </w:tcPr>
          <w:p>
            <w:pPr>
              <w:spacing w:after="0"/>
              <w:rPr>
                <w:sz w:val="14"/>
                <w:szCs w:val="14"/>
                <w:color w:val="auto"/>
              </w:rPr>
            </w:pPr>
          </w:p>
        </w:tc>
        <w:tc>
          <w:tcPr>
            <w:tcW w:w="54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87">
              <w:r>
                <w:rPr>
                  <w:rFonts w:ascii="Times New Roman" w:cs="Times New Roman" w:eastAsia="Times New Roman" w:hAnsi="Times New Roman"/>
                  <w:sz w:val="16"/>
                  <w:szCs w:val="16"/>
                  <w:color w:val="0000FF"/>
                </w:rPr>
                <w:t>Bank of Hawaii Corporation’s Current Report on Form 8-K filed on June 21, 2024).</w:t>
              </w:r>
            </w:hyperlink>
          </w:p>
        </w:tc>
        <w:tc>
          <w:tcPr>
            <w:tcW w:w="4080" w:type="dxa"/>
            <w:vAlign w:val="bottom"/>
            <w:tcBorders>
              <w:top w:val="single" w:sz="8" w:color="0000FF"/>
            </w:tcBorders>
            <w:gridSpan w:val="3"/>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3.5</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Amended and Restated By-laws of Bank of Hawaii Corporation (as amended November 20, 2020) (incorporated by reference to Exhibit 3.2 to Bank of</w:t>
              </w:r>
            </w:hyperlink>
          </w:p>
        </w:tc>
      </w:tr>
      <w:tr>
        <w:trPr>
          <w:trHeight w:val="169"/>
        </w:trPr>
        <w:tc>
          <w:tcPr>
            <w:tcW w:w="1360" w:type="dxa"/>
            <w:vAlign w:val="bottom"/>
          </w:tcPr>
          <w:p>
            <w:pPr>
              <w:spacing w:after="0"/>
              <w:rPr>
                <w:sz w:val="14"/>
                <w:szCs w:val="14"/>
                <w:color w:val="auto"/>
              </w:rPr>
            </w:pPr>
          </w:p>
        </w:tc>
        <w:tc>
          <w:tcPr>
            <w:tcW w:w="9820" w:type="dxa"/>
            <w:vAlign w:val="bottom"/>
            <w:tcBorders>
              <w:top w:val="single" w:sz="8" w:color="0000FF"/>
            </w:tcBorders>
            <w:gridSpan w:val="20"/>
          </w:tcPr>
          <w:p>
            <w:pPr>
              <w:spacing w:after="0" w:line="169" w:lineRule="exact"/>
              <w:rPr>
                <w:rFonts w:ascii="Times New Roman" w:cs="Times New Roman" w:eastAsia="Times New Roman" w:hAnsi="Times New Roman"/>
                <w:sz w:val="16"/>
                <w:szCs w:val="16"/>
                <w:color w:val="0000FF"/>
              </w:rPr>
            </w:pPr>
            <w:hyperlink r:id="rId88">
              <w:r>
                <w:rPr>
                  <w:rFonts w:ascii="Times New Roman" w:cs="Times New Roman" w:eastAsia="Times New Roman" w:hAnsi="Times New Roman"/>
                  <w:sz w:val="16"/>
                  <w:szCs w:val="16"/>
                  <w:color w:val="0000FF"/>
                </w:rPr>
                <w:t>Hawaii Corporation’s Current Report on Form 8-K filed on November 23, 2020).</w:t>
              </w:r>
            </w:hyperlink>
          </w:p>
        </w:tc>
        <w:tc>
          <w:tcPr>
            <w:tcW w:w="20" w:type="dxa"/>
            <w:vAlign w:val="bottom"/>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4.1</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Deposit Agreement, dated June 15, 2021, by and among Bank of Hawaii Corporation, Computershare Inc. and Computershare Trust Company, N.A.,</w:t>
              </w:r>
            </w:hyperlink>
          </w:p>
        </w:tc>
      </w:tr>
      <w:tr>
        <w:trPr>
          <w:trHeight w:val="169"/>
        </w:trPr>
        <w:tc>
          <w:tcPr>
            <w:tcW w:w="1360" w:type="dxa"/>
            <w:vAlign w:val="bottom"/>
          </w:tcPr>
          <w:p>
            <w:pPr>
              <w:spacing w:after="0"/>
              <w:rPr>
                <w:sz w:val="14"/>
                <w:szCs w:val="14"/>
                <w:color w:val="auto"/>
              </w:rPr>
            </w:pPr>
          </w:p>
        </w:tc>
        <w:tc>
          <w:tcPr>
            <w:tcW w:w="9660" w:type="dxa"/>
            <w:vAlign w:val="bottom"/>
            <w:tcBorders>
              <w:top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jointly as depositary, and the holders from time to time of the depositary receipts described therein (incorporated by reference to Exhibit 4.1 to Bank</w:t>
              </w:r>
            </w:hyperlink>
          </w:p>
        </w:tc>
        <w:tc>
          <w:tcPr>
            <w:tcW w:w="180" w:type="dxa"/>
            <w:vAlign w:val="bottom"/>
            <w:gridSpan w:val="7"/>
          </w:tcPr>
          <w:p>
            <w:pPr>
              <w:spacing w:after="0" w:line="169"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of</w:t>
              </w:r>
            </w:hyperlink>
          </w:p>
        </w:tc>
      </w:tr>
      <w:tr>
        <w:trPr>
          <w:trHeight w:val="169"/>
        </w:trPr>
        <w:tc>
          <w:tcPr>
            <w:tcW w:w="1360" w:type="dxa"/>
            <w:vAlign w:val="bottom"/>
          </w:tcPr>
          <w:p>
            <w:pPr>
              <w:spacing w:after="0"/>
              <w:rPr>
                <w:sz w:val="14"/>
                <w:szCs w:val="14"/>
                <w:color w:val="auto"/>
              </w:rPr>
            </w:pPr>
          </w:p>
        </w:tc>
        <w:tc>
          <w:tcPr>
            <w:tcW w:w="9780" w:type="dxa"/>
            <w:vAlign w:val="bottom"/>
            <w:tcBorders>
              <w:top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Hawaii Corporation’s Current Report on Form 8-K filed with the SEC on June 15,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410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6"/>
                <w:szCs w:val="16"/>
                <w:color w:val="0000FF"/>
              </w:rPr>
            </w:pPr>
            <w:hyperlink r:id="rId89">
              <w:r>
                <w:rPr>
                  <w:rFonts w:ascii="Times New Roman" w:cs="Times New Roman" w:eastAsia="Times New Roman" w:hAnsi="Times New Roman"/>
                  <w:sz w:val="16"/>
                  <w:szCs w:val="16"/>
                  <w:color w:val="0000FF"/>
                </w:rPr>
                <w:t>Form of Depository Receipt, Series A (included in Exhibit 4.1)</w:t>
              </w:r>
            </w:hyperlink>
          </w:p>
        </w:tc>
        <w:tc>
          <w:tcPr>
            <w:tcW w:w="1640" w:type="dxa"/>
            <w:vAlign w:val="bottom"/>
            <w:tcBorders>
              <w:top w:val="single" w:sz="8" w:color="0000FF"/>
            </w:tcBorders>
            <w:gridSpan w:val="5"/>
          </w:tcPr>
          <w:p>
            <w:pPr>
              <w:spacing w:after="0"/>
              <w:rPr>
                <w:sz w:val="24"/>
                <w:szCs w:val="24"/>
                <w:color w:val="auto"/>
              </w:rPr>
            </w:pPr>
          </w:p>
        </w:tc>
        <w:tc>
          <w:tcPr>
            <w:tcW w:w="4100" w:type="dxa"/>
            <w:vAlign w:val="bottom"/>
            <w:gridSpan w:val="12"/>
          </w:tcPr>
          <w:p>
            <w:pPr>
              <w:spacing w:after="0"/>
              <w:rPr>
                <w:sz w:val="24"/>
                <w:szCs w:val="24"/>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Deposit Agreement, dated June 21, 2024, by and among Bank of Hawaii Corporation, Computershare Inc. and Computershare Trust Company, N.A.,</w:t>
              </w:r>
            </w:hyperlink>
          </w:p>
        </w:tc>
      </w:tr>
      <w:tr>
        <w:trPr>
          <w:trHeight w:val="169"/>
        </w:trPr>
        <w:tc>
          <w:tcPr>
            <w:tcW w:w="1360" w:type="dxa"/>
            <w:vAlign w:val="bottom"/>
          </w:tcPr>
          <w:p>
            <w:pPr>
              <w:spacing w:after="0"/>
              <w:rPr>
                <w:sz w:val="14"/>
                <w:szCs w:val="14"/>
                <w:color w:val="auto"/>
              </w:rPr>
            </w:pPr>
          </w:p>
        </w:tc>
        <w:tc>
          <w:tcPr>
            <w:tcW w:w="9660" w:type="dxa"/>
            <w:vAlign w:val="bottom"/>
            <w:tcBorders>
              <w:top w:val="single" w:sz="8" w:color="0000FF"/>
            </w:tcBorders>
            <w:gridSpan w:val="14"/>
          </w:tcPr>
          <w:p>
            <w:pPr>
              <w:spacing w:after="0" w:line="169"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jointly as depositary, and the holders from time to time of the depositary receipts described therein (incorporated by reference to Exhibit 4.1 to Bank</w:t>
              </w:r>
            </w:hyperlink>
          </w:p>
        </w:tc>
        <w:tc>
          <w:tcPr>
            <w:tcW w:w="180" w:type="dxa"/>
            <w:vAlign w:val="bottom"/>
            <w:gridSpan w:val="7"/>
          </w:tcPr>
          <w:p>
            <w:pPr>
              <w:spacing w:after="0" w:line="169"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of</w:t>
              </w:r>
            </w:hyperlink>
          </w:p>
        </w:tc>
      </w:tr>
      <w:tr>
        <w:trPr>
          <w:trHeight w:val="169"/>
        </w:trPr>
        <w:tc>
          <w:tcPr>
            <w:tcW w:w="1360" w:type="dxa"/>
            <w:vAlign w:val="bottom"/>
          </w:tcPr>
          <w:p>
            <w:pPr>
              <w:spacing w:after="0"/>
              <w:rPr>
                <w:sz w:val="14"/>
                <w:szCs w:val="14"/>
                <w:color w:val="auto"/>
              </w:rPr>
            </w:pPr>
          </w:p>
        </w:tc>
        <w:tc>
          <w:tcPr>
            <w:tcW w:w="9780" w:type="dxa"/>
            <w:vAlign w:val="bottom"/>
            <w:tcBorders>
              <w:top w:val="single" w:sz="8" w:color="0000FF"/>
            </w:tcBorders>
            <w:gridSpan w:val="18"/>
          </w:tcPr>
          <w:p>
            <w:pPr>
              <w:spacing w:after="0" w:line="169" w:lineRule="exact"/>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Hawaii Corporation’s Current Report on Form 8-K filed with the SEC on June 21, 2024)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408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6"/>
                <w:szCs w:val="16"/>
                <w:color w:val="0000FF"/>
              </w:rPr>
            </w:pPr>
            <w:hyperlink r:id="rId90">
              <w:r>
                <w:rPr>
                  <w:rFonts w:ascii="Times New Roman" w:cs="Times New Roman" w:eastAsia="Times New Roman" w:hAnsi="Times New Roman"/>
                  <w:sz w:val="16"/>
                  <w:szCs w:val="16"/>
                  <w:color w:val="0000FF"/>
                </w:rPr>
                <w:t>Form of Depository Receipt, Series B (included in Exhibit 4.3)</w:t>
              </w:r>
            </w:hyperlink>
          </w:p>
        </w:tc>
        <w:tc>
          <w:tcPr>
            <w:tcW w:w="1660" w:type="dxa"/>
            <w:vAlign w:val="bottom"/>
            <w:tcBorders>
              <w:top w:val="single" w:sz="8" w:color="0000FF"/>
            </w:tcBorders>
            <w:gridSpan w:val="6"/>
          </w:tcPr>
          <w:p>
            <w:pPr>
              <w:spacing w:after="0"/>
              <w:rPr>
                <w:sz w:val="24"/>
                <w:szCs w:val="24"/>
                <w:color w:val="auto"/>
              </w:rPr>
            </w:pPr>
          </w:p>
        </w:tc>
        <w:tc>
          <w:tcPr>
            <w:tcW w:w="4100" w:type="dxa"/>
            <w:vAlign w:val="bottom"/>
            <w:gridSpan w:val="12"/>
          </w:tcPr>
          <w:p>
            <w:pPr>
              <w:spacing w:after="0"/>
              <w:rPr>
                <w:sz w:val="24"/>
                <w:szCs w:val="24"/>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984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Instruments defining the rights of holders of long-term debt of Bank of Hawaii Corporation and its consolidated subsidiaries are not filed as exhibits</w:t>
            </w:r>
          </w:p>
        </w:tc>
      </w:tr>
      <w:tr>
        <w:trPr>
          <w:trHeight w:val="189"/>
        </w:trPr>
        <w:tc>
          <w:tcPr>
            <w:tcW w:w="1360" w:type="dxa"/>
            <w:vAlign w:val="bottom"/>
          </w:tcPr>
          <w:p>
            <w:pPr>
              <w:spacing w:after="0"/>
              <w:rPr>
                <w:sz w:val="16"/>
                <w:szCs w:val="16"/>
                <w:color w:val="auto"/>
              </w:rPr>
            </w:pPr>
          </w:p>
        </w:tc>
        <w:tc>
          <w:tcPr>
            <w:tcW w:w="984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because the amount of debt authorized under any such instruments does not exceed 10% of the total assets of Bank of Hawaii Corporation and its</w:t>
            </w:r>
          </w:p>
        </w:tc>
      </w:tr>
      <w:tr>
        <w:trPr>
          <w:trHeight w:val="210"/>
        </w:trPr>
        <w:tc>
          <w:tcPr>
            <w:tcW w:w="1360" w:type="dxa"/>
            <w:vAlign w:val="bottom"/>
          </w:tcPr>
          <w:p>
            <w:pPr>
              <w:spacing w:after="0"/>
              <w:rPr>
                <w:sz w:val="18"/>
                <w:szCs w:val="18"/>
                <w:color w:val="auto"/>
              </w:rPr>
            </w:pPr>
          </w:p>
        </w:tc>
        <w:tc>
          <w:tcPr>
            <w:tcW w:w="984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consolidated subsidiaries. Bank of Hawaii Corporation agrees to furnish a copy of any such instrument to the Commission upon request.</w:t>
            </w:r>
          </w:p>
        </w:tc>
      </w:tr>
      <w:tr>
        <w:trPr>
          <w:trHeight w:val="316"/>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9840" w:type="dxa"/>
            <w:vAlign w:val="bottom"/>
            <w:gridSpan w:val="21"/>
          </w:tcPr>
          <w:p>
            <w:pPr>
              <w:spacing w:after="0"/>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Composite Directors' Deferred Compensation Plan, as amended through July 1, 2025 (incorporated by reference from Exhibit 10.1 to Bank of Hawaii</w:t>
              </w:r>
            </w:hyperlink>
          </w:p>
        </w:tc>
      </w:tr>
      <w:tr>
        <w:trPr>
          <w:trHeight w:val="169"/>
        </w:trPr>
        <w:tc>
          <w:tcPr>
            <w:tcW w:w="1360" w:type="dxa"/>
            <w:vAlign w:val="bottom"/>
          </w:tcPr>
          <w:p>
            <w:pPr>
              <w:spacing w:after="0"/>
              <w:rPr>
                <w:sz w:val="14"/>
                <w:szCs w:val="14"/>
                <w:color w:val="auto"/>
              </w:rPr>
            </w:pPr>
          </w:p>
        </w:tc>
        <w:tc>
          <w:tcPr>
            <w:tcW w:w="9700" w:type="dxa"/>
            <w:vAlign w:val="bottom"/>
            <w:tcBorders>
              <w:top w:val="single" w:sz="8" w:color="0000FF"/>
            </w:tcBorders>
            <w:gridSpan w:val="16"/>
          </w:tcPr>
          <w:p>
            <w:pPr>
              <w:spacing w:after="0" w:line="169" w:lineRule="exact"/>
              <w:rPr>
                <w:rFonts w:ascii="Times New Roman" w:cs="Times New Roman" w:eastAsia="Times New Roman" w:hAnsi="Times New Roman"/>
                <w:sz w:val="16"/>
                <w:szCs w:val="16"/>
                <w:color w:val="0000FF"/>
              </w:rPr>
            </w:pPr>
            <w:hyperlink r:id="rId91">
              <w:r>
                <w:rPr>
                  <w:rFonts w:ascii="Times New Roman" w:cs="Times New Roman" w:eastAsia="Times New Roman" w:hAnsi="Times New Roman"/>
                  <w:sz w:val="16"/>
                  <w:szCs w:val="16"/>
                  <w:color w:val="0000FF"/>
                </w:rPr>
                <w:t>Corporation's Quarterly Report on Form 10-Q, as filed on July 28, 2025)</w:t>
              </w:r>
            </w:hyperlink>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504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of the Securities Exchange Act of 1934, as Amended, Adopted Pursuant to Section</w:t>
            </w:r>
          </w:p>
        </w:tc>
      </w:tr>
      <w:tr>
        <w:trPr>
          <w:trHeight w:val="169"/>
        </w:trPr>
        <w:tc>
          <w:tcPr>
            <w:tcW w:w="1360" w:type="dxa"/>
            <w:vAlign w:val="bottom"/>
          </w:tcPr>
          <w:p>
            <w:pPr>
              <w:spacing w:after="0"/>
              <w:rPr>
                <w:sz w:val="14"/>
                <w:szCs w:val="14"/>
                <w:color w:val="auto"/>
              </w:rPr>
            </w:pPr>
          </w:p>
        </w:tc>
        <w:tc>
          <w:tcPr>
            <w:tcW w:w="980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6"/>
                <w:szCs w:val="16"/>
                <w:color w:val="0000FF"/>
              </w:rPr>
              <w:t>302 of the Sarbanes Oxley Act of 2002</w:t>
            </w:r>
          </w:p>
        </w:tc>
        <w:tc>
          <w:tcPr>
            <w:tcW w:w="40" w:type="dxa"/>
            <w:vAlign w:val="bottom"/>
            <w:gridSpan w:val="2"/>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2520" w:type="dxa"/>
            <w:vAlign w:val="bottom"/>
            <w:gridSpan w:val="2"/>
            <w:shd w:val="clear" w:color="auto" w:fill="0000FF"/>
          </w:tcPr>
          <w:p>
            <w:pPr>
              <w:spacing w:after="0" w:line="20" w:lineRule="exact"/>
              <w:rPr>
                <w:sz w:val="1"/>
                <w:szCs w:val="1"/>
                <w:color w:val="auto"/>
              </w:rPr>
            </w:pPr>
          </w:p>
        </w:tc>
        <w:tc>
          <w:tcPr>
            <w:tcW w:w="7220" w:type="dxa"/>
            <w:vAlign w:val="bottom"/>
            <w:gridSpan w:val="1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31"/>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840" w:type="dxa"/>
            <w:vAlign w:val="bottom"/>
            <w:gridSpan w:val="21"/>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of the Securities Exchange Act of 1934, as Amended, Adopted Pursuant to Section</w:t>
            </w:r>
          </w:p>
        </w:tc>
      </w:tr>
      <w:tr>
        <w:trPr>
          <w:trHeight w:val="169"/>
        </w:trPr>
        <w:tc>
          <w:tcPr>
            <w:tcW w:w="1360" w:type="dxa"/>
            <w:vAlign w:val="bottom"/>
          </w:tcPr>
          <w:p>
            <w:pPr>
              <w:spacing w:after="0"/>
              <w:rPr>
                <w:sz w:val="14"/>
                <w:szCs w:val="14"/>
                <w:color w:val="auto"/>
              </w:rPr>
            </w:pPr>
          </w:p>
        </w:tc>
        <w:tc>
          <w:tcPr>
            <w:tcW w:w="9740" w:type="dxa"/>
            <w:vAlign w:val="bottom"/>
            <w:tcBorders>
              <w:top w:val="single" w:sz="8" w:color="0000FF"/>
            </w:tcBorders>
            <w:gridSpan w:val="17"/>
          </w:tcPr>
          <w:p>
            <w:pPr>
              <w:spacing w:after="0" w:line="169" w:lineRule="exact"/>
              <w:rPr>
                <w:sz w:val="20"/>
                <w:szCs w:val="20"/>
                <w:color w:val="auto"/>
              </w:rPr>
            </w:pPr>
            <w:r>
              <w:rPr>
                <w:rFonts w:ascii="Times New Roman" w:cs="Times New Roman" w:eastAsia="Times New Roman" w:hAnsi="Times New Roman"/>
                <w:sz w:val="16"/>
                <w:szCs w:val="16"/>
                <w:color w:val="0000FF"/>
              </w:rPr>
              <w:t>302 of the Sarbanes Oxley Act of 2002</w:t>
            </w:r>
          </w:p>
        </w:tc>
        <w:tc>
          <w:tcPr>
            <w:tcW w:w="100" w:type="dxa"/>
            <w:vAlign w:val="bottom"/>
            <w:gridSpan w:val="4"/>
          </w:tcPr>
          <w:p>
            <w:pPr>
              <w:spacing w:after="0"/>
              <w:rPr>
                <w:sz w:val="14"/>
                <w:szCs w:val="14"/>
                <w:color w:val="auto"/>
              </w:rPr>
            </w:pPr>
          </w:p>
        </w:tc>
      </w:tr>
      <w:tr>
        <w:trPr>
          <w:trHeight w:val="20"/>
        </w:trPr>
        <w:tc>
          <w:tcPr>
            <w:tcW w:w="136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2" w:lineRule="exact"/>
        <w:rPr>
          <w:sz w:val="20"/>
          <w:szCs w:val="20"/>
          <w:color w:val="auto"/>
        </w:rPr>
      </w:pPr>
    </w:p>
    <w:p>
      <w:pPr>
        <w:ind w:left="1380" w:right="240" w:hanging="1354"/>
        <w:spacing w:after="0" w:line="280" w:lineRule="auto"/>
        <w:tabs>
          <w:tab w:leader="none" w:pos="138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0000FF"/>
        </w:rPr>
        <w:t>Certification of Chief Executive Officer and Chief Financial Officer Pursuant to 18 U.S.C. Section 1350, as Adopted Pursuant to Section 906 of the Sarbanes-Oxley Act of 2002</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Inline XBRL Instance Document - the instance document does not appear in the Interactive Data File because its XBRL tags are embedded within the</w:t>
            </w:r>
          </w:p>
        </w:tc>
      </w:tr>
      <w:tr>
        <w:trPr>
          <w:trHeight w:val="210"/>
        </w:trPr>
        <w:tc>
          <w:tcPr>
            <w:tcW w:w="980" w:type="dxa"/>
            <w:vAlign w:val="bottom"/>
          </w:tcPr>
          <w:p>
            <w:pPr>
              <w:spacing w:after="0"/>
              <w:rPr>
                <w:sz w:val="18"/>
                <w:szCs w:val="18"/>
                <w:color w:val="auto"/>
              </w:rPr>
            </w:pP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Inline XBRL document</w:t>
            </w:r>
          </w:p>
        </w:tc>
      </w:tr>
      <w:tr>
        <w:trPr>
          <w:trHeight w:val="351"/>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337"/>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Valuation Linkbase Document</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33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101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127" w:lineRule="exact"/>
        <w:rPr>
          <w:sz w:val="20"/>
          <w:szCs w:val="20"/>
          <w:color w:val="auto"/>
        </w:rPr>
      </w:pPr>
    </w:p>
    <w:p>
      <w:pPr>
        <w:ind w:right="960" w:firstLine="26"/>
        <w:spacing w:after="0" w:line="421" w:lineRule="auto"/>
        <w:tabs>
          <w:tab w:leader="none" w:pos="1368"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for the Company’s Quarterly Report on the Form 10-Q has been formatted in Inline XBRL and contained in Exhibit 101 *Management contract or compensatory plan or arrangement</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193040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2025</w:t>
            </w: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of Hawaii Corporation</w:t>
            </w:r>
          </w:p>
        </w:tc>
      </w:tr>
      <w:tr>
        <w:trPr>
          <w:trHeight w:val="540"/>
        </w:trPr>
        <w:tc>
          <w:tcPr>
            <w:tcW w:w="532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By:</w:t>
            </w: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 Peter S. Ho</w:t>
            </w:r>
          </w:p>
        </w:tc>
      </w:tr>
      <w:tr>
        <w:trPr>
          <w:trHeight w:val="27"/>
        </w:trPr>
        <w:tc>
          <w:tcPr>
            <w:tcW w:w="532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Peter S. Ho</w:t>
            </w:r>
          </w:p>
        </w:tc>
      </w:tr>
      <w:tr>
        <w:trPr>
          <w:trHeight w:val="270"/>
        </w:trPr>
        <w:tc>
          <w:tcPr>
            <w:tcW w:w="5320" w:type="dxa"/>
            <w:vAlign w:val="bottom"/>
          </w:tcPr>
          <w:p>
            <w:pPr>
              <w:spacing w:after="0"/>
              <w:rPr>
                <w:sz w:val="23"/>
                <w:szCs w:val="23"/>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80"/>
        <w:spacing w:after="0"/>
        <w:tabs>
          <w:tab w:leader="none" w:pos="5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Bradley S. Satenberg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34290</wp:posOffset>
            </wp:positionV>
            <wp:extent cx="35915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Bradley S. Satenberg</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200" w:lineRule="exact"/>
        <w:rPr>
          <w:sz w:val="20"/>
          <w:szCs w:val="20"/>
          <w:color w:val="auto"/>
        </w:rPr>
      </w:pPr>
    </w:p>
    <w:p>
      <w:pPr>
        <w:spacing w:after="0" w:line="3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40"/>
          </w:cols>
          <w:pgMar w:left="320" w:top="117" w:right="5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S. Ho, certify that:</w:t>
      </w:r>
    </w:p>
    <w:p>
      <w:pPr>
        <w:spacing w:after="0" w:line="144" w:lineRule="exact"/>
        <w:rPr>
          <w:sz w:val="20"/>
          <w:szCs w:val="20"/>
          <w:color w:val="auto"/>
        </w:rPr>
      </w:pPr>
    </w:p>
    <w:p>
      <w:pPr>
        <w:ind w:left="900" w:hanging="568"/>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Bank of Hawaii Corporation;</w:t>
      </w:r>
    </w:p>
    <w:p>
      <w:pPr>
        <w:spacing w:after="0" w:line="157" w:lineRule="exact"/>
        <w:rPr>
          <w:rFonts w:ascii="Times New Roman" w:cs="Times New Roman" w:eastAsia="Times New Roman" w:hAnsi="Times New Roman"/>
          <w:sz w:val="18"/>
          <w:szCs w:val="18"/>
          <w:color w:val="auto"/>
        </w:rPr>
      </w:pPr>
    </w:p>
    <w:p>
      <w:pPr>
        <w:jc w:val="both"/>
        <w:ind w:left="900" w:right="140" w:hanging="568"/>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00" w:right="100" w:hanging="568"/>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900" w:right="60" w:hanging="568"/>
        <w:spacing w:after="0" w:line="276"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7"/>
          <w:szCs w:val="17"/>
          <w:color w:val="auto"/>
        </w:rPr>
      </w:pPr>
    </w:p>
    <w:p>
      <w:pPr>
        <w:ind w:left="1620" w:right="20" w:hanging="478"/>
        <w:spacing w:after="0" w:line="266" w:lineRule="auto"/>
        <w:tabs>
          <w:tab w:leader="none" w:pos="161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620" w:right="100" w:hanging="478"/>
        <w:spacing w:after="0" w:line="266" w:lineRule="auto"/>
        <w:tabs>
          <w:tab w:leader="none" w:pos="160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620" w:right="180" w:hanging="478"/>
        <w:spacing w:after="0" w:line="266" w:lineRule="auto"/>
        <w:tabs>
          <w:tab w:leader="none" w:pos="161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620" w:right="300" w:hanging="478"/>
        <w:spacing w:after="0" w:line="266" w:lineRule="auto"/>
        <w:tabs>
          <w:tab w:leader="none" w:pos="160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00" w:right="20" w:hanging="568"/>
        <w:spacing w:after="0" w:line="312" w:lineRule="auto"/>
        <w:tabs>
          <w:tab w:leader="none" w:pos="9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7"/>
          <w:szCs w:val="17"/>
          <w:color w:val="auto"/>
        </w:rPr>
      </w:pPr>
    </w:p>
    <w:p>
      <w:pPr>
        <w:ind w:left="1620" w:right="140" w:hanging="478"/>
        <w:spacing w:after="0" w:line="282" w:lineRule="auto"/>
        <w:tabs>
          <w:tab w:leader="none" w:pos="161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right="420" w:hanging="478"/>
        <w:spacing w:after="0" w:line="282" w:lineRule="auto"/>
        <w:tabs>
          <w:tab w:leader="none" w:pos="160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740" w:val="left"/>
          <w:tab w:leader="none" w:pos="5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27, 2025</w:t>
      </w:r>
      <w:r>
        <w:rPr>
          <w:sz w:val="20"/>
          <w:szCs w:val="20"/>
          <w:color w:val="auto"/>
        </w:rPr>
        <w:tab/>
      </w:r>
      <w:r>
        <w:rPr>
          <w:rFonts w:ascii="Times New Roman" w:cs="Times New Roman" w:eastAsia="Times New Roman" w:hAnsi="Times New Roman"/>
          <w:sz w:val="17"/>
          <w:szCs w:val="17"/>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Peter S. Ho</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4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302 of the Sarbanes-Oxley Act of 2002</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Bradley S. Satenberg, certify that:</w:t>
      </w:r>
    </w:p>
    <w:p>
      <w:pPr>
        <w:spacing w:after="0" w:line="144" w:lineRule="exact"/>
        <w:rPr>
          <w:sz w:val="20"/>
          <w:szCs w:val="20"/>
          <w:color w:val="auto"/>
        </w:rPr>
      </w:pPr>
    </w:p>
    <w:p>
      <w:pPr>
        <w:ind w:left="900" w:hanging="568"/>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Bank of Hawaii Corporation;</w:t>
      </w:r>
    </w:p>
    <w:p>
      <w:pPr>
        <w:spacing w:after="0" w:line="157" w:lineRule="exact"/>
        <w:rPr>
          <w:rFonts w:ascii="Times New Roman" w:cs="Times New Roman" w:eastAsia="Times New Roman" w:hAnsi="Times New Roman"/>
          <w:sz w:val="18"/>
          <w:szCs w:val="18"/>
          <w:color w:val="auto"/>
        </w:rPr>
      </w:pPr>
    </w:p>
    <w:p>
      <w:pPr>
        <w:jc w:val="both"/>
        <w:ind w:left="900" w:right="140" w:hanging="568"/>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00" w:right="100" w:hanging="568"/>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jc w:val="both"/>
        <w:ind w:left="900" w:right="60" w:hanging="568"/>
        <w:spacing w:after="0" w:line="276"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39" w:lineRule="exact"/>
        <w:rPr>
          <w:rFonts w:ascii="Times New Roman" w:cs="Times New Roman" w:eastAsia="Times New Roman" w:hAnsi="Times New Roman"/>
          <w:sz w:val="17"/>
          <w:szCs w:val="17"/>
          <w:color w:val="auto"/>
        </w:rPr>
      </w:pPr>
    </w:p>
    <w:p>
      <w:pPr>
        <w:ind w:left="1620" w:right="20" w:hanging="478"/>
        <w:spacing w:after="0" w:line="266" w:lineRule="auto"/>
        <w:tabs>
          <w:tab w:leader="none" w:pos="161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620" w:right="100" w:hanging="478"/>
        <w:spacing w:after="0" w:line="266" w:lineRule="auto"/>
        <w:tabs>
          <w:tab w:leader="none" w:pos="160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620" w:right="180" w:hanging="478"/>
        <w:spacing w:after="0" w:line="266" w:lineRule="auto"/>
        <w:tabs>
          <w:tab w:leader="none" w:pos="161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620" w:right="300" w:hanging="478"/>
        <w:spacing w:after="0" w:line="266" w:lineRule="auto"/>
        <w:tabs>
          <w:tab w:leader="none" w:pos="160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00" w:right="20" w:hanging="568"/>
        <w:spacing w:after="0" w:line="312"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58" w:lineRule="exact"/>
        <w:rPr>
          <w:rFonts w:ascii="Times New Roman" w:cs="Times New Roman" w:eastAsia="Times New Roman" w:hAnsi="Times New Roman"/>
          <w:sz w:val="17"/>
          <w:szCs w:val="17"/>
          <w:color w:val="auto"/>
        </w:rPr>
      </w:pPr>
    </w:p>
    <w:p>
      <w:pPr>
        <w:ind w:left="1620" w:right="140" w:hanging="478"/>
        <w:spacing w:after="0" w:line="282" w:lineRule="auto"/>
        <w:tabs>
          <w:tab w:leader="none" w:pos="161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620" w:right="420" w:hanging="478"/>
        <w:spacing w:after="0" w:line="282" w:lineRule="auto"/>
        <w:tabs>
          <w:tab w:leader="none" w:pos="160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740" w:val="left"/>
          <w:tab w:leader="none" w:pos="5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27, 2025</w:t>
      </w:r>
      <w:r>
        <w:rPr>
          <w:sz w:val="20"/>
          <w:szCs w:val="20"/>
          <w:color w:val="auto"/>
        </w:rPr>
        <w:tab/>
      </w:r>
      <w:r>
        <w:rPr>
          <w:rFonts w:ascii="Times New Roman" w:cs="Times New Roman" w:eastAsia="Times New Roman" w:hAnsi="Times New Roman"/>
          <w:sz w:val="17"/>
          <w:szCs w:val="17"/>
          <w:color w:val="auto"/>
        </w:rPr>
        <w:t>/s/ Bradley S. Satenberg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34290</wp:posOffset>
            </wp:positionV>
            <wp:extent cx="35572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Bradley S. Satenberg</w:t>
      </w:r>
    </w:p>
    <w:p>
      <w:pPr>
        <w:spacing w:after="0" w:line="1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Peter S. Ho, Chief Executive Officer, and I, Bradley S. Satenberg, Chief Financial Officer, of Bank of Hawaii Corporation (the “Company”), hereby certify that the Company's Quarterly Report on Form 10-Q for the quarter ended September 30, 2025 (the “Report”):</w:t>
      </w:r>
    </w:p>
    <w:p>
      <w:pPr>
        <w:spacing w:after="0" w:line="68"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complies with the requirements of Section 13(a) or 15(d), as applicable,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680" w:val="left"/>
          <w:tab w:leader="none" w:pos="5580" w:val="left"/>
        </w:tabs>
        <w:rPr>
          <w:sz w:val="20"/>
          <w:szCs w:val="20"/>
          <w:color w:val="auto"/>
        </w:rPr>
      </w:pPr>
      <w:r>
        <w:rPr>
          <w:rFonts w:ascii="Times New Roman" w:cs="Times New Roman" w:eastAsia="Times New Roman" w:hAnsi="Times New Roman"/>
          <w:sz w:val="18"/>
          <w:szCs w:val="18"/>
          <w:color w:val="auto"/>
        </w:rPr>
        <w:t>Date:</w:t>
        <w:tab/>
        <w:t>October 27, 2025</w:t>
      </w:r>
      <w:r>
        <w:rPr>
          <w:sz w:val="20"/>
          <w:szCs w:val="20"/>
          <w:color w:val="auto"/>
        </w:rPr>
        <w:tab/>
      </w:r>
      <w:r>
        <w:rPr>
          <w:rFonts w:ascii="Times New Roman" w:cs="Times New Roman" w:eastAsia="Times New Roman" w:hAnsi="Times New Roman"/>
          <w:sz w:val="17"/>
          <w:szCs w:val="17"/>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915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Peter S. Ho</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/s/ Bradley S. Satenberg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34290</wp:posOffset>
            </wp:positionV>
            <wp:extent cx="35915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Bradley S. Satenberg</w:t>
      </w:r>
    </w:p>
    <w:p>
      <w:pPr>
        <w:spacing w:after="0" w:line="9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o"/>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bullet"/>
      <w:start w:val="1"/>
    </w:lvl>
  </w:abstractNum>
  <w:abstractNum w:abstractNumId="5">
    <w:nsid w:val="2443A858"/>
    <w:multiLevelType w:val="hybridMultilevel"/>
    <w:lvl w:ilvl="0">
      <w:lvlJc w:val="left"/>
      <w:lvlText w:val="2"/>
      <w:numFmt w:val="bullet"/>
      <w:start w:val="1"/>
    </w:lvl>
  </w:abstractNum>
  <w:abstractNum w:abstractNumId="6">
    <w:nsid w:val="2D1D5AE9"/>
    <w:multiLevelType w:val="hybridMultilevel"/>
    <w:lvl w:ilvl="0">
      <w:lvlJc w:val="left"/>
      <w:lvlText w:val="1"/>
      <w:numFmt w:val="bullet"/>
      <w:start w:val="1"/>
    </w:lvl>
  </w:abstractNum>
  <w:abstractNum w:abstractNumId="7">
    <w:nsid w:val="6763845E"/>
    <w:multiLevelType w:val="hybridMultilevel"/>
    <w:lvl w:ilvl="0">
      <w:lvlJc w:val="left"/>
      <w:lvlText w:val="1"/>
      <w:numFmt w:val="bullet"/>
      <w:start w:val="1"/>
    </w:lvl>
  </w:abstractNum>
  <w:abstractNum w:abstractNumId="8">
    <w:nsid w:val="75A2A8D4"/>
    <w:multiLevelType w:val="hybridMultilevel"/>
    <w:lvl w:ilvl="0">
      <w:lvlJc w:val="left"/>
      <w:lvlText w:val="1"/>
      <w:numFmt w:val="bullet"/>
      <w:start w:val="1"/>
    </w:lvl>
  </w:abstractNum>
  <w:abstractNum w:abstractNumId="9">
    <w:nsid w:val="8EDBDAB"/>
    <w:multiLevelType w:val="hybridMultilevel"/>
    <w:lvl w:ilvl="0">
      <w:lvlJc w:val="left"/>
      <w:lvlText w:val="1"/>
      <w:numFmt w:val="bullet"/>
      <w:start w:val="1"/>
    </w:lvl>
  </w:abstractNum>
  <w:abstractNum w:abstractNumId="10">
    <w:nsid w:val="79838CB2"/>
    <w:multiLevelType w:val="hybridMultilevel"/>
    <w:lvl w:ilvl="0">
      <w:lvlJc w:val="left"/>
      <w:lvlText w:val="2"/>
      <w:numFmt w:val="bullet"/>
      <w:start w:val="1"/>
    </w:lvl>
  </w:abstractNum>
  <w:abstractNum w:abstractNumId="11">
    <w:nsid w:val="4353D0CD"/>
    <w:multiLevelType w:val="hybridMultilevel"/>
    <w:lvl w:ilvl="0">
      <w:lvlJc w:val="left"/>
      <w:lvlText w:val="1"/>
      <w:numFmt w:val="bullet"/>
      <w:start w:val="1"/>
    </w:lvl>
  </w:abstractNum>
  <w:abstractNum w:abstractNumId="12">
    <w:nsid w:val="B03E0C6"/>
    <w:multiLevelType w:val="hybridMultilevel"/>
    <w:lvl w:ilvl="0">
      <w:lvlJc w:val="left"/>
      <w:lvlText w:val="1"/>
      <w:numFmt w:val="bullet"/>
      <w:start w:val="1"/>
    </w:lvl>
  </w:abstractNum>
  <w:abstractNum w:abstractNumId="13">
    <w:nsid w:val="189A769B"/>
    <w:multiLevelType w:val="hybridMultilevel"/>
    <w:lvl w:ilvl="0">
      <w:lvlJc w:val="left"/>
      <w:lvlText w:val="2"/>
      <w:numFmt w:val="bullet"/>
      <w:start w:val="1"/>
    </w:lvl>
  </w:abstractNum>
  <w:abstractNum w:abstractNumId="14">
    <w:nsid w:val="54E49EB4"/>
    <w:multiLevelType w:val="hybridMultilevel"/>
    <w:lvl w:ilvl="0">
      <w:lvlJc w:val="left"/>
      <w:lvlText w:val="1"/>
      <w:numFmt w:val="bullet"/>
      <w:start w:val="1"/>
    </w:lvl>
  </w:abstractNum>
  <w:abstractNum w:abstractNumId="15">
    <w:nsid w:val="71F32454"/>
    <w:multiLevelType w:val="hybridMultilevel"/>
    <w:lvl w:ilvl="0">
      <w:lvlJc w:val="left"/>
      <w:lvlText w:val="(%1)"/>
      <w:numFmt w:val="decimal"/>
      <w:start w:val="16"/>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bullet"/>
      <w:start w:val="1"/>
    </w:lvl>
  </w:abstractNum>
  <w:abstractNum w:abstractNumId="20">
    <w:nsid w:val="8138641"/>
    <w:multiLevelType w:val="hybridMultilevel"/>
    <w:lvl w:ilvl="0">
      <w:lvlJc w:val="left"/>
      <w:lvlText w:val="2"/>
      <w:numFmt w:val="bullet"/>
      <w:start w:val="1"/>
    </w:lvl>
  </w:abstractNum>
  <w:abstractNum w:abstractNumId="21">
    <w:nsid w:val="1E7FF521"/>
    <w:multiLevelType w:val="hybridMultilevel"/>
    <w:lvl w:ilvl="0">
      <w:lvlJc w:val="left"/>
      <w:lvlText w:val="3"/>
      <w:numFmt w:val="bullet"/>
      <w:start w:val="1"/>
    </w:lvl>
  </w:abstractNum>
  <w:abstractNum w:abstractNumId="22">
    <w:nsid w:val="7C3DBD3D"/>
    <w:multiLevelType w:val="hybridMultilevel"/>
    <w:lvl w:ilvl="0">
      <w:lvlJc w:val="left"/>
      <w:lvlText w:val="1"/>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bullet"/>
      <w:start w:val="1"/>
    </w:lvl>
  </w:abstractNum>
  <w:abstractNum w:abstractNumId="25">
    <w:nsid w:val="22221A70"/>
    <w:multiLevelType w:val="hybridMultilevel"/>
    <w:lvl w:ilvl="0">
      <w:lvlJc w:val="left"/>
      <w:lvlText w:val="1"/>
      <w:numFmt w:val="bullet"/>
      <w:start w:val="1"/>
    </w:lvl>
  </w:abstractNum>
  <w:abstractNum w:abstractNumId="26">
    <w:nsid w:val="4516DDE9"/>
    <w:multiLevelType w:val="hybridMultilevel"/>
    <w:lvl w:ilvl="0">
      <w:lvlJc w:val="left"/>
      <w:lvlText w:val="2"/>
      <w:numFmt w:val="bullet"/>
      <w:start w:val="1"/>
    </w:lvl>
  </w:abstractNum>
  <w:abstractNum w:abstractNumId="27">
    <w:nsid w:val="3006C83E"/>
    <w:multiLevelType w:val="hybridMultilevel"/>
    <w:lvl w:ilvl="0">
      <w:lvlJc w:val="left"/>
      <w:lvlText w:val="1"/>
      <w:numFmt w:val="bullet"/>
      <w:start w:val="1"/>
    </w:lvl>
  </w:abstractNum>
  <w:abstractNum w:abstractNumId="28">
    <w:nsid w:val="614FD4A1"/>
    <w:multiLevelType w:val="hybridMultilevel"/>
    <w:lvl w:ilvl="0">
      <w:lvlJc w:val="left"/>
      <w:lvlText w:val="1"/>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bullet"/>
      <w:start w:val="1"/>
    </w:lvl>
  </w:abstractNum>
  <w:abstractNum w:abstractNumId="31">
    <w:nsid w:val="440BADFC"/>
    <w:multiLevelType w:val="hybridMultilevel"/>
    <w:lvl w:ilvl="0">
      <w:lvlJc w:val="left"/>
      <w:lvlText w:val="2"/>
      <w:numFmt w:val="bullet"/>
      <w:start w:val="1"/>
    </w:lvl>
  </w:abstractNum>
  <w:abstractNum w:abstractNumId="32">
    <w:nsid w:val="5072367"/>
    <w:multiLevelType w:val="hybridMultilevel"/>
    <w:lvl w:ilvl="0">
      <w:lvlJc w:val="left"/>
      <w:lvlText w:val="1"/>
      <w:numFmt w:val="bullet"/>
      <w:start w:val="1"/>
    </w:lvl>
  </w:abstractNum>
  <w:abstractNum w:abstractNumId="33">
    <w:nsid w:val="3804823E"/>
    <w:multiLevelType w:val="hybridMultilevel"/>
    <w:lvl w:ilvl="0">
      <w:lvlJc w:val="left"/>
      <w:lvlText w:val="2"/>
      <w:numFmt w:val="bullet"/>
      <w:start w:val="1"/>
    </w:lvl>
  </w:abstractNum>
  <w:abstractNum w:abstractNumId="34">
    <w:nsid w:val="77465F01"/>
    <w:multiLevelType w:val="hybridMultilevel"/>
    <w:lvl w:ilvl="0">
      <w:lvlJc w:val="left"/>
      <w:lvlText w:val="%1"/>
      <w:numFmt w:val="decimal"/>
      <w:start w:val="32"/>
    </w:lvl>
  </w:abstractNum>
  <w:abstractNum w:abstractNumId="35">
    <w:nsid w:val="7724C67E"/>
    <w:multiLevelType w:val="hybridMultilevel"/>
    <w:lvl w:ilvl="0">
      <w:lvlJc w:val="left"/>
      <w:lvlText w:val="%1"/>
      <w:numFmt w:val="decimal"/>
      <w:start w:val="104"/>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84" Type="http://schemas.openxmlformats.org/officeDocument/2006/relationships/hyperlink" Target="https://www.sec.gov/Archives/edgar/data/0000046195/000104746906002592/a2167652zex-3_1.htm" TargetMode="External"/><Relationship Id="rId85" Type="http://schemas.openxmlformats.org/officeDocument/2006/relationships/hyperlink" Target="https://www.sec.gov/Archives/edgar/data/0000046195/000110465908028414/a08-13016_1ex3d1.htm" TargetMode="External"/><Relationship Id="rId86" Type="http://schemas.openxmlformats.org/officeDocument/2006/relationships/hyperlink" Target="https://www.sec.gov/Archives/edgar/data/0000046195/000119312521191143/d184114dex31.htm" TargetMode="External"/><Relationship Id="rId87" Type="http://schemas.openxmlformats.org/officeDocument/2006/relationships/hyperlink" Target="https://www.sec.gov/Archives/edgar/data/46195/000119312524165835/d831633dex31.htm" TargetMode="External"/><Relationship Id="rId88" Type="http://schemas.openxmlformats.org/officeDocument/2006/relationships/hyperlink" Target="https://www.sec.gov/Archives/edgar/data/46195/000156459020054889/boh-ex32_6.htm" TargetMode="External"/><Relationship Id="rId89" Type="http://schemas.openxmlformats.org/officeDocument/2006/relationships/hyperlink" Target="https://www.sec.gov/Archives/edgar/data/0000046195/000119312521191143/d184114dex41.htm" TargetMode="External"/><Relationship Id="rId90" Type="http://schemas.openxmlformats.org/officeDocument/2006/relationships/hyperlink" Target="https://www.sec.gov/Archives/edgar/data/0000046195/000119312524165835/d831633dex41.htm" TargetMode="External"/><Relationship Id="rId91" Type="http://schemas.openxmlformats.org/officeDocument/2006/relationships/hyperlink" Target="https://www.sec.gov/Archives/edgar/data/46195/000162828025036240/ex101-compositedirectorsd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2025-10-28T05:19:25Z</dcterms:created>
  <dcterms:modified xsi:type="dcterms:W3CDTF">2025-10-28T05:19:25Z</dcterms:modified>
</cp:coreProperties>
</file>