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jc w:val="center"/>
        <w:ind w:left="5540" w:right="160" w:hanging="5532"/>
        <w:spacing w:after="0" w:line="335" w:lineRule="auto"/>
        <w:tabs>
          <w:tab w:leader="none" w:pos="6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 or</w:t>
      </w:r>
    </w:p>
    <w:p>
      <w:pPr>
        <w:spacing w:after="0" w:line="30"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ind w:left="680"/>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Borders>
              <w:bottom w:val="single" w:sz="8" w:color="auto"/>
            </w:tcBorders>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385"/>
        </w:trPr>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gridSpan w:val="4"/>
          </w:tcPr>
          <w:p>
            <w:pPr>
              <w:jc w:val="center"/>
              <w:ind w:right="82"/>
              <w:spacing w:after="0"/>
              <w:rPr>
                <w:sz w:val="20"/>
                <w:szCs w:val="20"/>
                <w:color w:val="auto"/>
              </w:rPr>
            </w:pPr>
            <w:r>
              <w:rPr>
                <w:rFonts w:ascii="Arial" w:cs="Arial" w:eastAsia="Arial" w:hAnsi="Arial"/>
                <w:sz w:val="18"/>
                <w:szCs w:val="18"/>
                <w:b w:val="1"/>
                <w:bCs w:val="1"/>
                <w:color w:val="auto"/>
                <w:w w:val="90"/>
              </w:rPr>
              <w:t>Commission File Number: 1-6887</w:t>
            </w:r>
          </w:p>
        </w:tc>
        <w:tc>
          <w:tcPr>
            <w:tcW w:w="2880" w:type="dxa"/>
            <w:vAlign w:val="bottom"/>
          </w:tcPr>
          <w:p>
            <w:pPr>
              <w:spacing w:after="0"/>
              <w:rPr>
                <w:sz w:val="24"/>
                <w:szCs w:val="24"/>
                <w:color w:val="auto"/>
              </w:rPr>
            </w:pPr>
          </w:p>
        </w:tc>
      </w:tr>
      <w:tr>
        <w:trPr>
          <w:trHeight w:val="431"/>
        </w:trPr>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gridSpan w:val="4"/>
          </w:tcPr>
          <w:p>
            <w:pPr>
              <w:jc w:val="center"/>
              <w:ind w:right="102"/>
              <w:spacing w:after="0"/>
              <w:rPr>
                <w:sz w:val="20"/>
                <w:szCs w:val="20"/>
                <w:color w:val="auto"/>
              </w:rPr>
            </w:pPr>
            <w:r>
              <w:rPr>
                <w:rFonts w:ascii="Arial" w:cs="Arial" w:eastAsia="Arial" w:hAnsi="Arial"/>
                <w:sz w:val="32"/>
                <w:szCs w:val="32"/>
                <w:b w:val="1"/>
                <w:bCs w:val="1"/>
                <w:color w:val="auto"/>
              </w:rPr>
              <w:t>BANK OF HAWAII CORP</w:t>
            </w:r>
          </w:p>
        </w:tc>
        <w:tc>
          <w:tcPr>
            <w:tcW w:w="2880" w:type="dxa"/>
            <w:vAlign w:val="bottom"/>
          </w:tcPr>
          <w:p>
            <w:pPr>
              <w:spacing w:after="0"/>
              <w:rPr>
                <w:sz w:val="24"/>
                <w:szCs w:val="24"/>
                <w:color w:val="auto"/>
              </w:rPr>
            </w:pPr>
          </w:p>
        </w:tc>
      </w:tr>
      <w:tr>
        <w:trPr>
          <w:trHeight w:val="230"/>
        </w:trPr>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40" w:type="dxa"/>
            <w:vAlign w:val="bottom"/>
            <w:gridSpan w:val="4"/>
          </w:tcPr>
          <w:p>
            <w:pPr>
              <w:jc w:val="center"/>
              <w:ind w:right="102"/>
              <w:spacing w:after="0"/>
              <w:rPr>
                <w:sz w:val="20"/>
                <w:szCs w:val="20"/>
                <w:color w:val="auto"/>
              </w:rPr>
            </w:pPr>
            <w:r>
              <w:rPr>
                <w:rFonts w:ascii="Arial" w:cs="Arial" w:eastAsia="Arial" w:hAnsi="Arial"/>
                <w:sz w:val="18"/>
                <w:szCs w:val="18"/>
                <w:color w:val="auto"/>
                <w:w w:val="90"/>
              </w:rPr>
              <w:t>(Exact name of registrant as specified in its charter)</w:t>
            </w:r>
          </w:p>
        </w:tc>
        <w:tc>
          <w:tcPr>
            <w:tcW w:w="2880" w:type="dxa"/>
            <w:vAlign w:val="bottom"/>
          </w:tcPr>
          <w:p>
            <w:pPr>
              <w:spacing w:after="0"/>
              <w:rPr>
                <w:sz w:val="20"/>
                <w:szCs w:val="20"/>
                <w:color w:val="auto"/>
              </w:rPr>
            </w:pPr>
          </w:p>
        </w:tc>
      </w:tr>
      <w:tr>
        <w:trPr>
          <w:trHeight w:val="278"/>
        </w:trPr>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Delaware</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80" w:type="dxa"/>
            <w:vAlign w:val="bottom"/>
          </w:tcPr>
          <w:p>
            <w:pPr>
              <w:jc w:val="right"/>
              <w:ind w:right="1741"/>
              <w:spacing w:after="0"/>
              <w:rPr>
                <w:sz w:val="20"/>
                <w:szCs w:val="20"/>
                <w:color w:val="auto"/>
              </w:rPr>
            </w:pPr>
            <w:r>
              <w:rPr>
                <w:rFonts w:ascii="Arial" w:cs="Arial" w:eastAsia="Arial" w:hAnsi="Arial"/>
                <w:sz w:val="16"/>
                <w:szCs w:val="16"/>
                <w:b w:val="1"/>
                <w:bCs w:val="1"/>
                <w:color w:val="auto"/>
              </w:rPr>
              <w:t>99-0148992</w:t>
            </w:r>
          </w:p>
        </w:tc>
      </w:tr>
      <w:tr>
        <w:trPr>
          <w:trHeight w:val="230"/>
        </w:trPr>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3"/>
          </w:tcPr>
          <w:p>
            <w:pPr>
              <w:jc w:val="center"/>
              <w:ind w:left="199"/>
              <w:spacing w:after="0"/>
              <w:rPr>
                <w:sz w:val="20"/>
                <w:szCs w:val="20"/>
                <w:color w:val="auto"/>
              </w:rPr>
            </w:pPr>
            <w:r>
              <w:rPr>
                <w:rFonts w:ascii="Arial" w:cs="Arial" w:eastAsia="Arial" w:hAnsi="Arial"/>
                <w:sz w:val="16"/>
                <w:szCs w:val="16"/>
                <w:color w:val="auto"/>
                <w:w w:val="93"/>
              </w:rPr>
              <w:t>(State of incorporation)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500" w:type="dxa"/>
            <w:vAlign w:val="bottom"/>
            <w:gridSpan w:val="2"/>
          </w:tcPr>
          <w:p>
            <w:pPr>
              <w:jc w:val="center"/>
              <w:ind w:left="2"/>
              <w:spacing w:after="0"/>
              <w:rPr>
                <w:sz w:val="20"/>
                <w:szCs w:val="20"/>
                <w:color w:val="auto"/>
              </w:rPr>
            </w:pPr>
            <w:r>
              <w:rPr>
                <w:rFonts w:ascii="Arial" w:cs="Arial" w:eastAsia="Arial" w:hAnsi="Arial"/>
                <w:sz w:val="16"/>
                <w:szCs w:val="16"/>
                <w:color w:val="auto"/>
                <w:w w:val="94"/>
              </w:rPr>
              <w:t>(I.R.S. Employer Identification No.)</w:t>
            </w:r>
          </w:p>
        </w:tc>
      </w:tr>
      <w:tr>
        <w:trPr>
          <w:trHeight w:val="324"/>
        </w:trPr>
        <w:tc>
          <w:tcPr>
            <w:tcW w:w="3640" w:type="dxa"/>
            <w:vAlign w:val="bottom"/>
            <w:gridSpan w:val="5"/>
          </w:tcPr>
          <w:p>
            <w:pPr>
              <w:jc w:val="center"/>
              <w:ind w:right="720"/>
              <w:spacing w:after="0"/>
              <w:rPr>
                <w:sz w:val="20"/>
                <w:szCs w:val="20"/>
                <w:color w:val="auto"/>
              </w:rPr>
            </w:pPr>
            <w:r>
              <w:rPr>
                <w:rFonts w:ascii="Arial" w:cs="Arial" w:eastAsia="Arial" w:hAnsi="Arial"/>
                <w:sz w:val="16"/>
                <w:szCs w:val="16"/>
                <w:b w:val="1"/>
                <w:bCs w:val="1"/>
                <w:color w:val="auto"/>
                <w:w w:val="92"/>
              </w:rPr>
              <w:t>130 Merchant Street</w:t>
            </w:r>
          </w:p>
        </w:tc>
        <w:tc>
          <w:tcPr>
            <w:tcW w:w="1220" w:type="dxa"/>
            <w:vAlign w:val="bottom"/>
          </w:tcPr>
          <w:p>
            <w:pPr>
              <w:jc w:val="center"/>
              <w:ind w:left="4"/>
              <w:spacing w:after="0"/>
              <w:rPr>
                <w:sz w:val="20"/>
                <w:szCs w:val="20"/>
                <w:color w:val="auto"/>
              </w:rPr>
            </w:pPr>
            <w:r>
              <w:rPr>
                <w:rFonts w:ascii="Arial" w:cs="Arial" w:eastAsia="Arial" w:hAnsi="Arial"/>
                <w:sz w:val="16"/>
                <w:szCs w:val="16"/>
                <w:b w:val="1"/>
                <w:bCs w:val="1"/>
                <w:color w:val="auto"/>
                <w:w w:val="92"/>
              </w:rPr>
              <w:t>Honolulu</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4"/>
              </w:rPr>
              <w:t>Hawaii</w:t>
            </w:r>
          </w:p>
        </w:tc>
        <w:tc>
          <w:tcPr>
            <w:tcW w:w="2880" w:type="dxa"/>
            <w:vAlign w:val="bottom"/>
          </w:tcPr>
          <w:p>
            <w:pPr>
              <w:jc w:val="right"/>
              <w:ind w:right="541"/>
              <w:spacing w:after="0"/>
              <w:rPr>
                <w:sz w:val="20"/>
                <w:szCs w:val="20"/>
                <w:color w:val="auto"/>
              </w:rPr>
            </w:pPr>
            <w:r>
              <w:rPr>
                <w:rFonts w:ascii="Arial" w:cs="Arial" w:eastAsia="Arial" w:hAnsi="Arial"/>
                <w:sz w:val="16"/>
                <w:szCs w:val="16"/>
                <w:b w:val="1"/>
                <w:bCs w:val="1"/>
                <w:color w:val="auto"/>
              </w:rPr>
              <w:t>96813</w:t>
            </w:r>
          </w:p>
        </w:tc>
      </w:tr>
      <w:tr>
        <w:trPr>
          <w:trHeight w:val="229"/>
        </w:trPr>
        <w:tc>
          <w:tcPr>
            <w:tcW w:w="3640" w:type="dxa"/>
            <w:vAlign w:val="bottom"/>
            <w:gridSpan w:val="5"/>
          </w:tcPr>
          <w:p>
            <w:pPr>
              <w:jc w:val="center"/>
              <w:ind w:right="720"/>
              <w:spacing w:after="0"/>
              <w:rPr>
                <w:sz w:val="20"/>
                <w:szCs w:val="20"/>
                <w:color w:val="auto"/>
              </w:rPr>
            </w:pPr>
            <w:r>
              <w:rPr>
                <w:rFonts w:ascii="Arial" w:cs="Arial" w:eastAsia="Arial" w:hAnsi="Arial"/>
                <w:sz w:val="14"/>
                <w:szCs w:val="14"/>
                <w:color w:val="auto"/>
                <w:w w:val="95"/>
              </w:rPr>
              <w:t xml:space="preserve">(Address of principal executive </w:t>
            </w:r>
            <w:r>
              <w:rPr>
                <w:rFonts w:ascii="Arial" w:cs="Arial" w:eastAsia="Arial" w:hAnsi="Arial"/>
                <w:sz w:val="16"/>
                <w:szCs w:val="16"/>
                <w:color w:val="auto"/>
                <w:w w:val="95"/>
              </w:rPr>
              <w:t>offices)</w:t>
            </w:r>
          </w:p>
        </w:tc>
        <w:tc>
          <w:tcPr>
            <w:tcW w:w="1220" w:type="dxa"/>
            <w:vAlign w:val="bottom"/>
          </w:tcPr>
          <w:p>
            <w:pPr>
              <w:jc w:val="center"/>
              <w:spacing w:after="0"/>
              <w:rPr>
                <w:sz w:val="20"/>
                <w:szCs w:val="20"/>
                <w:color w:val="auto"/>
              </w:rPr>
            </w:pPr>
            <w:r>
              <w:rPr>
                <w:rFonts w:ascii="Arial" w:cs="Arial" w:eastAsia="Arial" w:hAnsi="Arial"/>
                <w:sz w:val="14"/>
                <w:szCs w:val="14"/>
                <w:color w:val="auto"/>
              </w:rPr>
              <w:t>(City)</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5"/>
              </w:rPr>
              <w:t>(State)</w:t>
            </w:r>
          </w:p>
        </w:tc>
        <w:tc>
          <w:tcPr>
            <w:tcW w:w="2880" w:type="dxa"/>
            <w:vAlign w:val="bottom"/>
          </w:tcPr>
          <w:p>
            <w:pPr>
              <w:jc w:val="center"/>
              <w:ind w:left="1161"/>
              <w:spacing w:after="0"/>
              <w:rPr>
                <w:sz w:val="20"/>
                <w:szCs w:val="20"/>
                <w:color w:val="auto"/>
              </w:rPr>
            </w:pPr>
            <w:r>
              <w:rPr>
                <w:rFonts w:ascii="Arial" w:cs="Arial" w:eastAsia="Arial" w:hAnsi="Arial"/>
                <w:sz w:val="14"/>
                <w:szCs w:val="14"/>
                <w:color w:val="auto"/>
                <w:w w:val="96"/>
              </w:rPr>
              <w:t>(Zip Code)</w:t>
            </w:r>
          </w:p>
        </w:tc>
      </w:tr>
      <w:tr>
        <w:trPr>
          <w:trHeight w:val="320"/>
        </w:trPr>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3"/>
              </w:rPr>
              <w:t>1-888-643-3888</w:t>
            </w:r>
          </w:p>
        </w:tc>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40" w:type="dxa"/>
            <w:vAlign w:val="bottom"/>
            <w:gridSpan w:val="4"/>
          </w:tcPr>
          <w:p>
            <w:pPr>
              <w:jc w:val="center"/>
              <w:ind w:right="102"/>
              <w:spacing w:after="0"/>
              <w:rPr>
                <w:sz w:val="20"/>
                <w:szCs w:val="20"/>
                <w:color w:val="auto"/>
              </w:rPr>
            </w:pPr>
            <w:r>
              <w:rPr>
                <w:rFonts w:ascii="Arial" w:cs="Arial" w:eastAsia="Arial" w:hAnsi="Arial"/>
                <w:sz w:val="16"/>
                <w:szCs w:val="16"/>
                <w:color w:val="auto"/>
                <w:w w:val="91"/>
              </w:rPr>
              <w:t>(Registrant’s telephone number, including area code)</w:t>
            </w:r>
          </w:p>
        </w:tc>
        <w:tc>
          <w:tcPr>
            <w:tcW w:w="2880" w:type="dxa"/>
            <w:vAlign w:val="bottom"/>
          </w:tcPr>
          <w:p>
            <w:pPr>
              <w:spacing w:after="0"/>
              <w:rPr>
                <w:sz w:val="17"/>
                <w:szCs w:val="17"/>
                <w:color w:val="auto"/>
              </w:rPr>
            </w:pPr>
          </w:p>
        </w:tc>
      </w:tr>
      <w:tr>
        <w:trPr>
          <w:trHeight w:val="283"/>
        </w:trPr>
        <w:tc>
          <w:tcPr>
            <w:tcW w:w="4860" w:type="dxa"/>
            <w:vAlign w:val="bottom"/>
            <w:gridSpan w:val="6"/>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49"/>
        </w:trPr>
        <w:tc>
          <w:tcPr>
            <w:tcW w:w="144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Arial" w:cs="Arial" w:eastAsia="Arial" w:hAnsi="Arial"/>
                <w:sz w:val="16"/>
                <w:szCs w:val="16"/>
                <w:color w:val="auto"/>
                <w:w w:val="90"/>
              </w:rPr>
              <w:t>Title of each class</w:t>
            </w:r>
          </w:p>
        </w:tc>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920" w:type="dxa"/>
            <w:vAlign w:val="bottom"/>
            <w:gridSpan w:val="3"/>
          </w:tcPr>
          <w:p>
            <w:pPr>
              <w:jc w:val="center"/>
              <w:ind w:right="1282"/>
              <w:spacing w:after="0"/>
              <w:rPr>
                <w:sz w:val="20"/>
                <w:szCs w:val="20"/>
                <w:color w:val="auto"/>
              </w:rPr>
            </w:pPr>
            <w:r>
              <w:rPr>
                <w:rFonts w:ascii="Arial" w:cs="Arial" w:eastAsia="Arial" w:hAnsi="Arial"/>
                <w:sz w:val="16"/>
                <w:szCs w:val="16"/>
                <w:color w:val="auto"/>
                <w:w w:val="92"/>
              </w:rPr>
              <w:t>Trading Symbol</w:t>
            </w: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44"/>
        </w:trPr>
        <w:tc>
          <w:tcPr>
            <w:tcW w:w="1640" w:type="dxa"/>
            <w:vAlign w:val="bottom"/>
            <w:gridSpan w:val="2"/>
          </w:tcPr>
          <w:p>
            <w:pPr>
              <w:ind w:left="480"/>
              <w:spacing w:after="0"/>
              <w:rPr>
                <w:sz w:val="20"/>
                <w:szCs w:val="20"/>
                <w:color w:val="auto"/>
              </w:rPr>
            </w:pPr>
            <w:r>
              <w:rPr>
                <w:rFonts w:ascii="Arial" w:cs="Arial" w:eastAsia="Arial" w:hAnsi="Arial"/>
                <w:sz w:val="16"/>
                <w:szCs w:val="16"/>
                <w:b w:val="1"/>
                <w:bCs w:val="1"/>
                <w:color w:val="auto"/>
                <w:w w:val="97"/>
              </w:rPr>
              <w:t>Common Stock</w:t>
            </w:r>
          </w:p>
        </w:tc>
        <w:tc>
          <w:tcPr>
            <w:tcW w:w="500" w:type="dxa"/>
            <w:vAlign w:val="bottom"/>
          </w:tcPr>
          <w:p>
            <w:pPr>
              <w:spacing w:after="0"/>
              <w:rPr>
                <w:sz w:val="21"/>
                <w:szCs w:val="21"/>
                <w:color w:val="auto"/>
              </w:rPr>
            </w:pPr>
          </w:p>
        </w:tc>
        <w:tc>
          <w:tcPr>
            <w:tcW w:w="1500" w:type="dxa"/>
            <w:vAlign w:val="bottom"/>
            <w:gridSpan w:val="2"/>
          </w:tcPr>
          <w:p>
            <w:pPr>
              <w:ind w:left="420"/>
              <w:spacing w:after="0"/>
              <w:rPr>
                <w:sz w:val="20"/>
                <w:szCs w:val="20"/>
                <w:color w:val="auto"/>
              </w:rPr>
            </w:pPr>
            <w:r>
              <w:rPr>
                <w:rFonts w:ascii="Arial" w:cs="Arial" w:eastAsia="Arial" w:hAnsi="Arial"/>
                <w:sz w:val="16"/>
                <w:szCs w:val="16"/>
                <w:b w:val="1"/>
                <w:bCs w:val="1"/>
                <w:color w:val="auto"/>
                <w:w w:val="97"/>
              </w:rPr>
              <w:t>$.01 Par Value</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60" w:type="dxa"/>
            <w:vAlign w:val="bottom"/>
            <w:gridSpan w:val="2"/>
          </w:tcPr>
          <w:p>
            <w:pPr>
              <w:jc w:val="center"/>
              <w:ind w:right="1542"/>
              <w:spacing w:after="0"/>
              <w:rPr>
                <w:sz w:val="20"/>
                <w:szCs w:val="20"/>
                <w:color w:val="auto"/>
              </w:rPr>
            </w:pPr>
            <w:r>
              <w:rPr>
                <w:rFonts w:ascii="Arial" w:cs="Arial" w:eastAsia="Arial" w:hAnsi="Arial"/>
                <w:sz w:val="16"/>
                <w:szCs w:val="16"/>
                <w:b w:val="1"/>
                <w:bCs w:val="1"/>
                <w:color w:val="auto"/>
              </w:rPr>
              <w:t>BOH</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18"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400"/>
        <w:spacing w:after="0" w:line="30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ind w:right="8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600" w:type="dxa"/>
        <w:tblCellMar>
          <w:top w:w="0" w:type="dxa"/>
          <w:left w:w="0" w:type="dxa"/>
          <w:bottom w:w="0" w:type="dxa"/>
          <w:right w:w="0" w:type="dxa"/>
        </w:tblCellMar>
      </w:tblPr>
      <w:tr>
        <w:trPr>
          <w:trHeight w:val="243"/>
        </w:trPr>
        <w:tc>
          <w:tcPr>
            <w:tcW w:w="3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318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1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48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56" w:lineRule="exact"/>
        <w:rPr>
          <w:sz w:val="24"/>
          <w:szCs w:val="24"/>
          <w:color w:val="auto"/>
        </w:rPr>
      </w:pPr>
    </w:p>
    <w:p>
      <w:pPr>
        <w:ind w:left="51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As of April 20, 2021, there were 40,394,324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p>
      <w:pPr>
        <w:ind w:left="10820"/>
        <w:spacing w:after="0"/>
        <w:rPr>
          <w:sz w:val="20"/>
          <w:szCs w:val="20"/>
          <w:color w:val="auto"/>
        </w:rPr>
      </w:pPr>
      <w:r>
        <w:rPr>
          <w:rFonts w:ascii="Arial" w:cs="Arial" w:eastAsia="Arial" w:hAnsi="Arial"/>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24765</wp:posOffset>
            </wp:positionV>
            <wp:extent cx="480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2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92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w:t>
              </w:r>
            </w:hyperlink>
          </w:p>
        </w:tc>
        <w:tc>
          <w:tcPr>
            <w:tcW w:w="542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Three months ended March 31, 2021, and March 31, 2020</w:t>
              </w:r>
            </w:hyperlink>
          </w:p>
        </w:tc>
        <w:tc>
          <w:tcPr>
            <w:tcW w:w="3740" w:type="dxa"/>
            <w:vAlign w:val="bottom"/>
            <w:gridSpan w:val="2"/>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Three months ended Mach 31, 2021, and March 31, 2020</w:t>
              </w:r>
            </w:hyperlink>
          </w:p>
        </w:tc>
        <w:tc>
          <w:tcPr>
            <w:tcW w:w="3820" w:type="dxa"/>
            <w:vAlign w:val="bottom"/>
            <w:gridSpan w:val="5"/>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Condition –</w:t>
              </w:r>
            </w:hyperlink>
          </w:p>
        </w:tc>
        <w:tc>
          <w:tcPr>
            <w:tcW w:w="524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March 31, 2021, and December 31, 2020</w:t>
              </w:r>
            </w:hyperlink>
          </w:p>
        </w:tc>
        <w:tc>
          <w:tcPr>
            <w:tcW w:w="5000" w:type="dxa"/>
            <w:vAlign w:val="bottom"/>
            <w:gridSpan w:val="9"/>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Shareholders’ Equity –</w:t>
              </w:r>
            </w:hyperlink>
          </w:p>
        </w:tc>
        <w:tc>
          <w:tcPr>
            <w:tcW w:w="4440" w:type="dxa"/>
            <w:vAlign w:val="bottom"/>
            <w:gridSpan w:val="7"/>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Three months ended March 31, 2021, and March 31, 2020</w:t>
              </w:r>
            </w:hyperlink>
          </w:p>
        </w:tc>
        <w:tc>
          <w:tcPr>
            <w:tcW w:w="3740" w:type="dxa"/>
            <w:vAlign w:val="bottom"/>
            <w:gridSpan w:val="2"/>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Cash Flows –</w:t>
              </w:r>
            </w:hyperlink>
          </w:p>
        </w:tc>
        <w:tc>
          <w:tcPr>
            <w:tcW w:w="512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Three months ended March 31, 2021, and March 31, 2020</w:t>
              </w:r>
            </w:hyperlink>
          </w:p>
        </w:tc>
        <w:tc>
          <w:tcPr>
            <w:tcW w:w="3740" w:type="dxa"/>
            <w:vAlign w:val="bottom"/>
            <w:gridSpan w:val="2"/>
          </w:tcPr>
          <w:p>
            <w:pPr>
              <w:spacing w:after="0"/>
              <w:rPr>
                <w:sz w:val="17"/>
                <w:szCs w:val="17"/>
                <w:color w:val="auto"/>
              </w:rPr>
            </w:pPr>
          </w:p>
        </w:tc>
        <w:tc>
          <w:tcPr>
            <w:tcW w:w="192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Management’s Discussion and Analysis of Financial Condition and Results of Operations</w:t>
              </w:r>
            </w:hyperlink>
          </w:p>
        </w:tc>
        <w:tc>
          <w:tcPr>
            <w:tcW w:w="16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Quantitative and Qualitative Disclosures About Market Risk</w:t>
              </w:r>
            </w:hyperlink>
          </w:p>
        </w:tc>
        <w:tc>
          <w:tcPr>
            <w:tcW w:w="376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120" w:type="dxa"/>
            <w:vAlign w:val="bottom"/>
            <w:gridSpan w:val="1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9260" w:type="dxa"/>
            <w:vAlign w:val="bottom"/>
            <w:gridSpan w:val="20"/>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II - Other Information</w:t>
              </w:r>
            </w:hyperlink>
          </w:p>
        </w:tc>
        <w:tc>
          <w:tcPr>
            <w:tcW w:w="192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1A.</w:t>
            </w:r>
          </w:p>
        </w:tc>
        <w:tc>
          <w:tcPr>
            <w:tcW w:w="980" w:type="dxa"/>
            <w:vAlign w:val="bottom"/>
            <w:tcBorders>
              <w:top w:val="single" w:sz="8" w:color="0000EE"/>
            </w:tcBorders>
            <w:gridSpan w:val="4"/>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Risk Factors</w:t>
              </w:r>
            </w:hyperlink>
          </w:p>
        </w:tc>
        <w:tc>
          <w:tcPr>
            <w:tcW w:w="714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20" w:type="dxa"/>
            <w:vAlign w:val="bottom"/>
            <w:gridSpan w:val="1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Unregistered Sales of Equity Securities and Use of Proceeds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Exhibits</w:t>
              </w:r>
            </w:hyperlink>
          </w:p>
        </w:tc>
        <w:tc>
          <w:tcPr>
            <w:tcW w:w="378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60" w:type="dxa"/>
            <w:vAlign w:val="bottom"/>
          </w:tcPr>
          <w:p>
            <w:pPr>
              <w:spacing w:after="0"/>
              <w:rPr>
                <w:sz w:val="24"/>
                <w:szCs w:val="24"/>
                <w:color w:val="auto"/>
              </w:rPr>
            </w:pPr>
          </w:p>
        </w:tc>
        <w:tc>
          <w:tcPr>
            <w:tcW w:w="1140" w:type="dxa"/>
            <w:vAlign w:val="bottom"/>
            <w:gridSpan w:val="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885"/>
        </w:trPr>
        <w:tc>
          <w:tcPr>
            <w:tcW w:w="6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gridSpan w:val="17"/>
          </w:tcPr>
          <w:p>
            <w:pPr>
              <w:ind w:left="4380"/>
              <w:spacing w:after="0"/>
              <w:rPr>
                <w:sz w:val="20"/>
                <w:szCs w:val="20"/>
                <w:color w:val="auto"/>
              </w:rPr>
            </w:pPr>
            <w:r>
              <w:rPr>
                <w:rFonts w:ascii="Arial" w:cs="Arial" w:eastAsia="Arial" w:hAnsi="Arial"/>
                <w:sz w:val="18"/>
                <w:szCs w:val="18"/>
                <w:color w:val="auto"/>
              </w:rPr>
              <w:t>1</w:t>
            </w: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 except per share amounts)</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Interest and Fees on Loans and Leases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99,299</w:t>
            </w:r>
          </w:p>
        </w:tc>
        <w:tc>
          <w:tcPr>
            <w:tcW w:w="80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108,210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on Investment Securities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772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15,837</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16,711</w:t>
            </w:r>
          </w:p>
        </w:tc>
      </w:tr>
      <w:tr>
        <w:trPr>
          <w:trHeight w:val="219"/>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Held-to-Maturity</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13,300</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19,252</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Deposits</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Funds Sold</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137</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546</w:t>
            </w:r>
          </w:p>
        </w:tc>
      </w:tr>
      <w:tr>
        <w:trPr>
          <w:trHeight w:val="213"/>
        </w:trPr>
        <w:tc>
          <w:tcPr>
            <w:tcW w:w="77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185</w:t>
            </w: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218</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Interest Income</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128,765</w:t>
            </w:r>
          </w:p>
        </w:tc>
        <w:tc>
          <w:tcPr>
            <w:tcW w:w="8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144,946</w:t>
            </w:r>
          </w:p>
        </w:tc>
      </w:tr>
      <w:tr>
        <w:trPr>
          <w:trHeight w:val="210"/>
        </w:trPr>
        <w:tc>
          <w:tcPr>
            <w:tcW w:w="7720" w:type="dxa"/>
            <w:vAlign w:val="bottom"/>
          </w:tcPr>
          <w:p>
            <w:pPr>
              <w:spacing w:after="0"/>
              <w:rPr>
                <w:sz w:val="20"/>
                <w:szCs w:val="20"/>
                <w:color w:val="auto"/>
              </w:rPr>
            </w:pPr>
            <w:r>
              <w:rPr>
                <w:rFonts w:ascii="Arial" w:cs="Arial" w:eastAsia="Arial" w:hAnsi="Arial"/>
                <w:sz w:val="16"/>
                <w:szCs w:val="16"/>
                <w:color w:val="auto"/>
              </w:rPr>
              <w:t>Interest Expense</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Deposits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4,329</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14,260</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Securities Sold Under Agreements to Repurchase</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3,533</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4,025</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Funds Purchased</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Short-Term Borrowings</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39</w:t>
            </w:r>
          </w:p>
        </w:tc>
      </w:tr>
      <w:tr>
        <w:trPr>
          <w:trHeight w:val="216"/>
        </w:trPr>
        <w:tc>
          <w:tcPr>
            <w:tcW w:w="77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 Debt</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333</w:t>
            </w:r>
          </w:p>
        </w:tc>
        <w:tc>
          <w:tcPr>
            <w:tcW w:w="8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584</w:t>
            </w:r>
          </w:p>
        </w:tc>
      </w:tr>
      <w:tr>
        <w:trPr>
          <w:trHeight w:val="209"/>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Interest Expense</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8,196</w:t>
            </w: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18,980</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Interest Income</w:t>
            </w: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120,569</w:t>
            </w:r>
          </w:p>
        </w:tc>
        <w:tc>
          <w:tcPr>
            <w:tcW w:w="8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125,966</w:t>
            </w: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(14,300)</w:t>
            </w: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33,600</w:t>
            </w:r>
          </w:p>
        </w:tc>
      </w:tr>
      <w:tr>
        <w:trPr>
          <w:trHeight w:val="209"/>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134,869</w:t>
            </w:r>
          </w:p>
        </w:tc>
        <w:tc>
          <w:tcPr>
            <w:tcW w:w="8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92,366</w:t>
            </w:r>
          </w:p>
        </w:tc>
      </w:tr>
      <w:tr>
        <w:trPr>
          <w:trHeight w:val="209"/>
        </w:trPr>
        <w:tc>
          <w:tcPr>
            <w:tcW w:w="7720" w:type="dxa"/>
            <w:vAlign w:val="bottom"/>
          </w:tcPr>
          <w:p>
            <w:pPr>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Trust and Asset Management</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11,278</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10,915</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Mortgage Banking</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5,862</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2,695</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Service Charges on Deposit Accounts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6,128</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7,451</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Fees, Exchange, and Other Service Charges</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13,607</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13,200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Gains (Losses), Net</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(1,203)</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Annuity and Insurance</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702</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928</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Bank-Owned Life Insurance</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1,917</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1,580</w:t>
            </w:r>
          </w:p>
        </w:tc>
      </w:tr>
      <w:tr>
        <w:trPr>
          <w:trHeight w:val="213"/>
        </w:trPr>
        <w:tc>
          <w:tcPr>
            <w:tcW w:w="77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4,679</w:t>
            </w: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10,350</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Noninterest Income</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42,970</w:t>
            </w:r>
          </w:p>
        </w:tc>
        <w:tc>
          <w:tcPr>
            <w:tcW w:w="8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46,149</w:t>
            </w:r>
          </w:p>
        </w:tc>
      </w:tr>
      <w:tr>
        <w:trPr>
          <w:trHeight w:val="209"/>
        </w:trPr>
        <w:tc>
          <w:tcPr>
            <w:tcW w:w="7720" w:type="dxa"/>
            <w:vAlign w:val="bottom"/>
          </w:tcPr>
          <w:p>
            <w:pPr>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Salaries and Benefits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56,251</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54,463</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Occupancy</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9,090</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8,955</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Equipment</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8,878</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8,456</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Data Processing</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6,322</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4,788</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Professional Fees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3,406</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3,208</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FDIC Insurance</w:t>
            </w:r>
          </w:p>
        </w:tc>
        <w:tc>
          <w:tcPr>
            <w:tcW w:w="4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1,654</w:t>
            </w:r>
          </w:p>
        </w:tc>
        <w:tc>
          <w:tcPr>
            <w:tcW w:w="8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1,456</w:t>
            </w:r>
          </w:p>
        </w:tc>
      </w:tr>
      <w:tr>
        <w:trPr>
          <w:trHeight w:val="216"/>
        </w:trPr>
        <w:tc>
          <w:tcPr>
            <w:tcW w:w="77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13,264</w:t>
            </w:r>
          </w:p>
        </w:tc>
        <w:tc>
          <w:tcPr>
            <w:tcW w:w="8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14,986</w:t>
            </w:r>
          </w:p>
        </w:tc>
      </w:tr>
      <w:tr>
        <w:trPr>
          <w:trHeight w:val="210"/>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Noninterest Expense</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98,865</w:t>
            </w: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96,312</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78,974</w:t>
            </w:r>
          </w:p>
        </w:tc>
        <w:tc>
          <w:tcPr>
            <w:tcW w:w="8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42,203</w:t>
            </w: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19,025</w:t>
            </w: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7,461</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59,949</w:t>
            </w:r>
          </w:p>
        </w:tc>
        <w:tc>
          <w:tcPr>
            <w:tcW w:w="80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34,742</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Basic Earnings Per Share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1.51</w:t>
            </w:r>
          </w:p>
        </w:tc>
        <w:tc>
          <w:tcPr>
            <w:tcW w:w="80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0.88</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Diluted Earnings Per Share</w:t>
            </w: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1.50</w:t>
            </w:r>
          </w:p>
        </w:tc>
        <w:tc>
          <w:tcPr>
            <w:tcW w:w="80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0.87</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Dividends Declared Per Share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0.67</w:t>
            </w:r>
          </w:p>
        </w:tc>
        <w:tc>
          <w:tcPr>
            <w:tcW w:w="80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0.67</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Basic Weighted Average Shares</w:t>
            </w: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39,827,590</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39,681,611</w:t>
            </w: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Diluted Weighted Average Shares</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40,071,477</w:t>
            </w: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39,916,986</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59,949</w:t>
            </w:r>
          </w:p>
        </w:tc>
        <w:tc>
          <w:tcPr>
            <w:tcW w:w="94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34,742</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Unrealized Gains (Losses) on Investment Securities</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(50,050)</w:t>
            </w: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41,559</w:t>
            </w:r>
          </w:p>
        </w:tc>
      </w:tr>
      <w:tr>
        <w:trPr>
          <w:trHeight w:val="213"/>
        </w:trPr>
        <w:tc>
          <w:tcPr>
            <w:tcW w:w="77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Defined Benefit Plans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441</w:t>
            </w: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374</w:t>
            </w:r>
          </w:p>
        </w:tc>
      </w:tr>
      <w:tr>
        <w:trPr>
          <w:trHeight w:val="209"/>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5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(49,609)</w:t>
            </w:r>
          </w:p>
        </w:tc>
        <w:tc>
          <w:tcPr>
            <w:tcW w:w="9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41,933</w:t>
            </w:r>
          </w:p>
        </w:tc>
      </w:tr>
      <w:tr>
        <w:trPr>
          <w:trHeight w:val="209"/>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Comprehensive Income</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10,340</w:t>
            </w:r>
          </w:p>
        </w:tc>
        <w:tc>
          <w:tcPr>
            <w:tcW w:w="9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76,675</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6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Interest-Bearing Deposits in Other Banks</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4,506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1,646</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Funds Sold</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1,101,631</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333,022</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Investment Securities</w:t>
            </w:r>
          </w:p>
        </w:tc>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Available-for-Sale</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4,024,763</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3,791,689</w:t>
            </w:r>
          </w:p>
        </w:tc>
      </w:tr>
      <w:tr>
        <w:trPr>
          <w:trHeight w:val="213"/>
        </w:trPr>
        <w:tc>
          <w:tcPr>
            <w:tcW w:w="6620" w:type="dxa"/>
            <w:vAlign w:val="bottom"/>
          </w:tcPr>
          <w:p>
            <w:pPr>
              <w:ind w:left="260"/>
              <w:spacing w:after="0"/>
              <w:rPr>
                <w:sz w:val="20"/>
                <w:szCs w:val="20"/>
                <w:color w:val="auto"/>
              </w:rPr>
            </w:pPr>
            <w:r>
              <w:rPr>
                <w:rFonts w:ascii="Arial" w:cs="Arial" w:eastAsia="Arial" w:hAnsi="Arial"/>
                <w:sz w:val="16"/>
                <w:szCs w:val="16"/>
                <w:color w:val="auto"/>
              </w:rPr>
              <w:t>Held-to-Maturity (Fair Value of $3,477,346 and $3,348,693)</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3,464,360</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3,262,727</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Loans Held for Sale</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18,320</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82,565</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Loans and Leases</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12,140,703</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11,940,020</w:t>
            </w:r>
          </w:p>
        </w:tc>
      </w:tr>
      <w:tr>
        <w:trPr>
          <w:trHeight w:val="216"/>
        </w:trPr>
        <w:tc>
          <w:tcPr>
            <w:tcW w:w="66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Allowance for Credit Losses</w:t>
            </w:r>
          </w:p>
        </w:tc>
        <w:tc>
          <w:tcPr>
            <w:tcW w:w="15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(198,343)</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(216,252)</w:t>
            </w:r>
          </w:p>
        </w:tc>
      </w:tr>
      <w:tr>
        <w:trPr>
          <w:trHeight w:val="209"/>
        </w:trPr>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Net Loans and Leases</w:t>
            </w:r>
          </w:p>
        </w:tc>
        <w:tc>
          <w:tcPr>
            <w:tcW w:w="1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11,942,360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11,723,768</w:t>
            </w:r>
          </w:p>
        </w:tc>
      </w:tr>
      <w:tr>
        <w:trPr>
          <w:trHeight w:val="209"/>
        </w:trPr>
        <w:tc>
          <w:tcPr>
            <w:tcW w:w="6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Earning Assets</w:t>
            </w:r>
          </w:p>
        </w:tc>
        <w:tc>
          <w:tcPr>
            <w:tcW w:w="15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20,555,940</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19,195,417</w:t>
            </w:r>
          </w:p>
        </w:tc>
      </w:tr>
      <w:tr>
        <w:trPr>
          <w:trHeight w:val="210"/>
        </w:trPr>
        <w:tc>
          <w:tcPr>
            <w:tcW w:w="662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286,717</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279,420</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Premises and Equipment, Net</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198,107</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199,695</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97,750</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99,542</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Receivable</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47,917</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49,303</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Foreclosed Real Estate</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2,332</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2,332</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Mortgage Servicing Rights</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22,320</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19,652</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Goodwill</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31,517</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Bank-Owned Life Insurance</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291,764</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291,480</w:t>
            </w:r>
          </w:p>
        </w:tc>
      </w:tr>
      <w:tr>
        <w:trPr>
          <w:trHeight w:val="213"/>
        </w:trPr>
        <w:tc>
          <w:tcPr>
            <w:tcW w:w="6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Assets</w:t>
            </w:r>
          </w:p>
        </w:tc>
        <w:tc>
          <w:tcPr>
            <w:tcW w:w="1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412,907</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435,293</w:t>
            </w:r>
          </w:p>
        </w:tc>
      </w:tr>
      <w:tr>
        <w:trPr>
          <w:trHeight w:val="210"/>
        </w:trPr>
        <w:tc>
          <w:tcPr>
            <w:tcW w:w="6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5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21,947,271</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20,603,651</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66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Deposits</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13"/>
        </w:trPr>
        <w:tc>
          <w:tcPr>
            <w:tcW w:w="6620" w:type="dxa"/>
            <w:vAlign w:val="bottom"/>
          </w:tcPr>
          <w:p>
            <w:pPr>
              <w:ind w:left="260"/>
              <w:spacing w:after="0"/>
              <w:rPr>
                <w:sz w:val="20"/>
                <w:szCs w:val="20"/>
                <w:color w:val="auto"/>
              </w:rPr>
            </w:pPr>
            <w:r>
              <w:rPr>
                <w:rFonts w:ascii="Arial" w:cs="Arial" w:eastAsia="Arial" w:hAnsi="Arial"/>
                <w:sz w:val="16"/>
                <w:szCs w:val="16"/>
                <w:color w:val="auto"/>
              </w:rPr>
              <w:t>Noninterest-Bearing Demand</w:t>
            </w:r>
          </w:p>
        </w:tc>
        <w:tc>
          <w:tcPr>
            <w:tcW w:w="1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6,227,436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5,749,612</w:t>
            </w:r>
          </w:p>
        </w:tc>
      </w:tr>
      <w:tr>
        <w:trPr>
          <w:trHeight w:val="219"/>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Interest-Bearing Demand</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4,379,243</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4,040,733</w:t>
            </w:r>
          </w:p>
        </w:tc>
      </w:tr>
      <w:tr>
        <w:trPr>
          <w:trHeight w:val="213"/>
        </w:trPr>
        <w:tc>
          <w:tcPr>
            <w:tcW w:w="6620" w:type="dxa"/>
            <w:vAlign w:val="bottom"/>
          </w:tcPr>
          <w:p>
            <w:pPr>
              <w:ind w:left="260"/>
              <w:spacing w:after="0"/>
              <w:rPr>
                <w:sz w:val="20"/>
                <w:szCs w:val="20"/>
                <w:color w:val="auto"/>
              </w:rPr>
            </w:pPr>
            <w:r>
              <w:rPr>
                <w:rFonts w:ascii="Arial" w:cs="Arial" w:eastAsia="Arial" w:hAnsi="Arial"/>
                <w:sz w:val="16"/>
                <w:szCs w:val="16"/>
                <w:color w:val="auto"/>
              </w:rPr>
              <w:t>Savings</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7,474,580</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6,759,213</w:t>
            </w:r>
          </w:p>
        </w:tc>
      </w:tr>
      <w:tr>
        <w:trPr>
          <w:trHeight w:val="216"/>
        </w:trPr>
        <w:tc>
          <w:tcPr>
            <w:tcW w:w="66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Time</w:t>
            </w:r>
          </w:p>
        </w:tc>
        <w:tc>
          <w:tcPr>
            <w:tcW w:w="15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1,475,392</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1,662,063</w:t>
            </w:r>
          </w:p>
        </w:tc>
      </w:tr>
      <w:tr>
        <w:trPr>
          <w:trHeight w:val="210"/>
        </w:trPr>
        <w:tc>
          <w:tcPr>
            <w:tcW w:w="6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Deposits</w:t>
            </w:r>
          </w:p>
        </w:tc>
        <w:tc>
          <w:tcPr>
            <w:tcW w:w="1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19,556,651</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18,211,621</w:t>
            </w:r>
          </w:p>
        </w:tc>
      </w:tr>
      <w:tr>
        <w:trPr>
          <w:trHeight w:val="212"/>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Securities Sold Under Agreements to Repurchase</w:t>
            </w:r>
          </w:p>
        </w:tc>
        <w:tc>
          <w:tcPr>
            <w:tcW w:w="15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600,490</w:t>
            </w: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600,590</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Other Debt</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60,459</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60,481</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105,820</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107,412</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Retirement Benefits Payable</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50,687</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51,197</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Payable</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4,109</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5,117</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Taxes Payable and Deferred Taxes</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15,599</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2,463</w:t>
            </w:r>
          </w:p>
        </w:tc>
      </w:tr>
      <w:tr>
        <w:trPr>
          <w:trHeight w:val="216"/>
        </w:trPr>
        <w:tc>
          <w:tcPr>
            <w:tcW w:w="6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15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193,235</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190,263</w:t>
            </w:r>
          </w:p>
        </w:tc>
      </w:tr>
      <w:tr>
        <w:trPr>
          <w:trHeight w:val="210"/>
        </w:trPr>
        <w:tc>
          <w:tcPr>
            <w:tcW w:w="6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Liabilities</w:t>
            </w:r>
          </w:p>
        </w:tc>
        <w:tc>
          <w:tcPr>
            <w:tcW w:w="1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20,587,050</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19,229,144</w:t>
            </w:r>
          </w:p>
        </w:tc>
      </w:tr>
      <w:tr>
        <w:trPr>
          <w:trHeight w:val="212"/>
        </w:trPr>
        <w:tc>
          <w:tcPr>
            <w:tcW w:w="6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w:t>
            </w:r>
          </w:p>
        </w:tc>
        <w:tc>
          <w:tcPr>
            <w:tcW w:w="1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6"/>
        </w:trPr>
        <w:tc>
          <w:tcPr>
            <w:tcW w:w="6620" w:type="dxa"/>
            <w:vAlign w:val="bottom"/>
          </w:tcPr>
          <w:p>
            <w:pPr>
              <w:spacing w:after="0"/>
              <w:rPr>
                <w:sz w:val="20"/>
                <w:szCs w:val="20"/>
                <w:color w:val="auto"/>
              </w:rPr>
            </w:pPr>
            <w:r>
              <w:rPr>
                <w:rFonts w:ascii="Arial" w:cs="Arial" w:eastAsia="Arial" w:hAnsi="Arial"/>
                <w:sz w:val="16"/>
                <w:szCs w:val="16"/>
                <w:color w:val="auto"/>
              </w:rPr>
              <w:t>Common Stock ($.01 par value; authorized 500,000,000 shares; issued / outstanding:</w:t>
            </w: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Arial" w:cs="Arial" w:eastAsia="Arial" w:hAnsi="Arial"/>
                <w:sz w:val="16"/>
                <w:szCs w:val="16"/>
                <w:color w:val="auto"/>
              </w:rPr>
              <w:t>March 31, 2021 - 58,553,365 /40,394,234 and December 31, 2020 - 58,285,624 /</w:t>
            </w: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6620" w:type="dxa"/>
            <w:vAlign w:val="bottom"/>
          </w:tcPr>
          <w:p>
            <w:pPr>
              <w:ind w:left="120"/>
              <w:spacing w:after="0"/>
              <w:rPr>
                <w:sz w:val="20"/>
                <w:szCs w:val="20"/>
                <w:color w:val="auto"/>
              </w:rPr>
            </w:pPr>
            <w:r>
              <w:rPr>
                <w:rFonts w:ascii="Arial" w:cs="Arial" w:eastAsia="Arial" w:hAnsi="Arial"/>
                <w:sz w:val="16"/>
                <w:szCs w:val="16"/>
                <w:color w:val="auto"/>
              </w:rPr>
              <w:t>40,119,312)</w:t>
            </w:r>
          </w:p>
        </w:tc>
        <w:tc>
          <w:tcPr>
            <w:tcW w:w="15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580</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580</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Capital Surplus</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594,804</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591,360</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Accumulated Other Comprehensive Income (Loss)</w:t>
            </w:r>
          </w:p>
        </w:tc>
        <w:tc>
          <w:tcPr>
            <w:tcW w:w="15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(41,787)</w:t>
            </w:r>
          </w:p>
        </w:tc>
        <w:tc>
          <w:tcPr>
            <w:tcW w:w="44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7,822</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Retained Earnings</w:t>
            </w:r>
          </w:p>
        </w:tc>
        <w:tc>
          <w:tcPr>
            <w:tcW w:w="15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1,844,057</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1,811,979</w:t>
            </w:r>
          </w:p>
        </w:tc>
      </w:tr>
      <w:tr>
        <w:trPr>
          <w:trHeight w:val="206"/>
        </w:trPr>
        <w:tc>
          <w:tcPr>
            <w:tcW w:w="6620" w:type="dxa"/>
            <w:vAlign w:val="bottom"/>
          </w:tcPr>
          <w:p>
            <w:pPr>
              <w:spacing w:after="0"/>
              <w:rPr>
                <w:sz w:val="20"/>
                <w:szCs w:val="20"/>
                <w:color w:val="auto"/>
              </w:rPr>
            </w:pPr>
            <w:r>
              <w:rPr>
                <w:rFonts w:ascii="Arial" w:cs="Arial" w:eastAsia="Arial" w:hAnsi="Arial"/>
                <w:sz w:val="16"/>
                <w:szCs w:val="16"/>
                <w:color w:val="auto"/>
              </w:rPr>
              <w:t>Treasury Stock, at Cost (Shares; March 31, 2021 - 18,159,131</w:t>
            </w: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9"/>
        </w:trPr>
        <w:tc>
          <w:tcPr>
            <w:tcW w:w="6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and December 31, 2020 - 18,166,312)</w:t>
            </w:r>
          </w:p>
        </w:tc>
        <w:tc>
          <w:tcPr>
            <w:tcW w:w="1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(1,037,433)</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(1,037,234)</w:t>
            </w:r>
          </w:p>
        </w:tc>
      </w:tr>
      <w:tr>
        <w:trPr>
          <w:trHeight w:val="210"/>
        </w:trPr>
        <w:tc>
          <w:tcPr>
            <w:tcW w:w="6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Shareholders’ Equity</w:t>
            </w:r>
          </w:p>
        </w:tc>
        <w:tc>
          <w:tcPr>
            <w:tcW w:w="15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1,360,221</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1,374,507</w:t>
            </w:r>
          </w:p>
        </w:tc>
      </w:tr>
      <w:tr>
        <w:trPr>
          <w:trHeight w:val="210"/>
        </w:trPr>
        <w:tc>
          <w:tcPr>
            <w:tcW w:w="6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21,947,271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20,603,651</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Accum. Other</w:t>
            </w:r>
          </w:p>
        </w:tc>
        <w:tc>
          <w:tcPr>
            <w:tcW w:w="10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03"/>
        </w:trPr>
        <w:tc>
          <w:tcPr>
            <w:tcW w:w="364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Compre-</w:t>
            </w: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Common</w:t>
            </w:r>
          </w:p>
        </w:tc>
        <w:tc>
          <w:tcPr>
            <w:tcW w:w="28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Capital</w:t>
            </w:r>
          </w:p>
        </w:tc>
        <w:tc>
          <w:tcPr>
            <w:tcW w:w="34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hensive</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Retained</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Treasury</w:t>
            </w:r>
          </w:p>
        </w:tc>
        <w:tc>
          <w:tcPr>
            <w:tcW w:w="940" w:type="dxa"/>
            <w:vAlign w:val="bottom"/>
          </w:tcPr>
          <w:p>
            <w:pPr>
              <w:spacing w:after="0"/>
              <w:rPr>
                <w:sz w:val="17"/>
                <w:szCs w:val="17"/>
                <w:color w:val="auto"/>
              </w:rPr>
            </w:pPr>
          </w:p>
        </w:tc>
      </w:tr>
      <w:tr>
        <w:trPr>
          <w:trHeight w:val="213"/>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Stock</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Surplus</w:t>
            </w:r>
          </w:p>
        </w:tc>
        <w:tc>
          <w:tcPr>
            <w:tcW w:w="1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Income(Loss)</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Earnings</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3"/>
        </w:trPr>
        <w:tc>
          <w:tcPr>
            <w:tcW w:w="3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2020</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40,119,312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591,360</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7,822</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99"/>
              </w:rPr>
              <w:t>$ 1,811,979</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 (1,037,234)</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$ 1,374,507</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Net Income</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59,949</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59,949</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(49,609)</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(49,609)</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2,780</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2,780</w:t>
            </w: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under Purchase and Equity</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2"/>
        </w:trPr>
        <w:tc>
          <w:tcPr>
            <w:tcW w:w="3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Plans</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310,905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664</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2,990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2,809</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Common Stock Repurchased</w:t>
            </w:r>
          </w:p>
        </w:tc>
        <w:tc>
          <w:tcPr>
            <w:tcW w:w="1380" w:type="dxa"/>
            <w:vAlign w:val="bottom"/>
          </w:tcPr>
          <w:p>
            <w:pPr>
              <w:jc w:val="right"/>
              <w:spacing w:after="0"/>
              <w:rPr>
                <w:sz w:val="20"/>
                <w:szCs w:val="20"/>
                <w:color w:val="auto"/>
              </w:rPr>
            </w:pPr>
            <w:r>
              <w:rPr>
                <w:rFonts w:ascii="Arial" w:cs="Arial" w:eastAsia="Arial" w:hAnsi="Arial"/>
                <w:sz w:val="16"/>
                <w:szCs w:val="16"/>
                <w:color w:val="auto"/>
              </w:rPr>
              <w:t>(35,983)</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(3,189)</w:t>
            </w:r>
          </w:p>
        </w:tc>
        <w:tc>
          <w:tcPr>
            <w:tcW w:w="940" w:type="dxa"/>
            <w:vAlign w:val="bottom"/>
          </w:tcPr>
          <w:p>
            <w:pPr>
              <w:jc w:val="right"/>
              <w:spacing w:after="0"/>
              <w:rPr>
                <w:sz w:val="20"/>
                <w:szCs w:val="20"/>
                <w:color w:val="auto"/>
              </w:rPr>
            </w:pPr>
            <w:r>
              <w:rPr>
                <w:rFonts w:ascii="Arial" w:cs="Arial" w:eastAsia="Arial" w:hAnsi="Arial"/>
                <w:sz w:val="16"/>
                <w:szCs w:val="16"/>
                <w:color w:val="auto"/>
              </w:rPr>
              <w:t>(3,189)</w:t>
            </w:r>
          </w:p>
        </w:tc>
      </w:tr>
      <w:tr>
        <w:trPr>
          <w:trHeight w:val="216"/>
        </w:trPr>
        <w:tc>
          <w:tcPr>
            <w:tcW w:w="3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Dividends Declared ($0.67 per share)</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(27,026)</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(27,026)</w:t>
            </w:r>
          </w:p>
        </w:tc>
      </w:tr>
      <w:tr>
        <w:trPr>
          <w:trHeight w:val="292"/>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March 31, 2021</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40,394,234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594,804</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(41,787)</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9"/>
              </w:rPr>
              <w:t>$ 1,844,057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 (1,037,433)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$ 1,360,221</w:t>
            </w:r>
          </w:p>
        </w:tc>
      </w:tr>
      <w:tr>
        <w:trPr>
          <w:trHeight w:val="213"/>
        </w:trPr>
        <w:tc>
          <w:tcPr>
            <w:tcW w:w="364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Balance as of December 31, 2019</w:t>
            </w:r>
          </w:p>
        </w:tc>
        <w:tc>
          <w:tcPr>
            <w:tcW w:w="1380" w:type="dxa"/>
            <w:vAlign w:val="bottom"/>
            <w:tcBorders>
              <w:top w:val="single" w:sz="8" w:color="CFF0FC"/>
            </w:tcBorders>
          </w:tcPr>
          <w:p>
            <w:pPr>
              <w:jc w:val="right"/>
              <w:ind w:right="79"/>
              <w:spacing w:after="0"/>
              <w:rPr>
                <w:sz w:val="20"/>
                <w:szCs w:val="20"/>
                <w:color w:val="auto"/>
              </w:rPr>
            </w:pPr>
            <w:r>
              <w:rPr>
                <w:rFonts w:ascii="Arial" w:cs="Arial" w:eastAsia="Arial" w:hAnsi="Arial"/>
                <w:sz w:val="16"/>
                <w:szCs w:val="16"/>
                <w:color w:val="auto"/>
              </w:rPr>
              <w:t>40,039,695</w:t>
            </w: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579</w:t>
            </w:r>
          </w:p>
        </w:tc>
        <w:tc>
          <w:tcPr>
            <w:tcW w:w="2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582,566</w:t>
            </w:r>
          </w:p>
        </w:tc>
        <w:tc>
          <w:tcPr>
            <w:tcW w:w="340" w:type="dxa"/>
            <w:vAlign w:val="bottom"/>
            <w:tcBorders>
              <w:top w:val="single" w:sz="8" w:color="CFF0FC"/>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(31,112)</w:t>
            </w:r>
          </w:p>
        </w:tc>
        <w:tc>
          <w:tcPr>
            <w:tcW w:w="1020" w:type="dxa"/>
            <w:vAlign w:val="bottom"/>
            <w:tcBorders>
              <w:top w:val="single" w:sz="8" w:color="CFF0FC"/>
            </w:tcBorders>
          </w:tcPr>
          <w:p>
            <w:pPr>
              <w:jc w:val="right"/>
              <w:ind w:right="79"/>
              <w:spacing w:after="0"/>
              <w:rPr>
                <w:sz w:val="20"/>
                <w:szCs w:val="20"/>
                <w:color w:val="auto"/>
              </w:rPr>
            </w:pPr>
            <w:r>
              <w:rPr>
                <w:rFonts w:ascii="Arial" w:cs="Arial" w:eastAsia="Arial" w:hAnsi="Arial"/>
                <w:sz w:val="16"/>
                <w:szCs w:val="16"/>
                <w:color w:val="auto"/>
                <w:w w:val="99"/>
              </w:rPr>
              <w:t>$ 1,761,415</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98"/>
              </w:rPr>
              <w:t>$ (1,026,616)</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99"/>
              </w:rPr>
              <w:t>$ 1,286,832</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34,742</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34,742</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41,933</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41,933</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Cumulative Change in Accounting Principle</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3,632</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3,632</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1,497</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1,497</w:t>
            </w:r>
          </w:p>
        </w:tc>
      </w:tr>
      <w:tr>
        <w:trPr>
          <w:trHeight w:val="209"/>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under Purchase and</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2"/>
        </w:trPr>
        <w:tc>
          <w:tcPr>
            <w:tcW w:w="3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Compensation Plans</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154,091</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329</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653</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2,779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3,761</w:t>
            </w:r>
          </w:p>
        </w:tc>
      </w:tr>
      <w:tr>
        <w:trPr>
          <w:trHeight w:val="213"/>
        </w:trPr>
        <w:tc>
          <w:tcPr>
            <w:tcW w:w="3640" w:type="dxa"/>
            <w:vAlign w:val="bottom"/>
          </w:tcPr>
          <w:p>
            <w:pPr>
              <w:spacing w:after="0"/>
              <w:rPr>
                <w:sz w:val="20"/>
                <w:szCs w:val="20"/>
                <w:color w:val="auto"/>
              </w:rPr>
            </w:pPr>
            <w:r>
              <w:rPr>
                <w:rFonts w:ascii="Arial" w:cs="Arial" w:eastAsia="Arial" w:hAnsi="Arial"/>
                <w:sz w:val="16"/>
                <w:szCs w:val="16"/>
                <w:color w:val="auto"/>
              </w:rPr>
              <w:t>Common Stock Repurchased</w:t>
            </w:r>
          </w:p>
        </w:tc>
        <w:tc>
          <w:tcPr>
            <w:tcW w:w="1380" w:type="dxa"/>
            <w:vAlign w:val="bottom"/>
          </w:tcPr>
          <w:p>
            <w:pPr>
              <w:jc w:val="right"/>
              <w:spacing w:after="0"/>
              <w:rPr>
                <w:sz w:val="20"/>
                <w:szCs w:val="20"/>
                <w:color w:val="auto"/>
              </w:rPr>
            </w:pPr>
            <w:r>
              <w:rPr>
                <w:rFonts w:ascii="Arial" w:cs="Arial" w:eastAsia="Arial" w:hAnsi="Arial"/>
                <w:sz w:val="16"/>
                <w:szCs w:val="16"/>
                <w:color w:val="auto"/>
              </w:rPr>
              <w:t>(197,276)</w:t>
            </w:r>
          </w:p>
        </w:tc>
        <w:tc>
          <w:tcPr>
            <w:tcW w:w="2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(17,633)</w:t>
            </w:r>
          </w:p>
        </w:tc>
        <w:tc>
          <w:tcPr>
            <w:tcW w:w="940" w:type="dxa"/>
            <w:vAlign w:val="bottom"/>
          </w:tcPr>
          <w:p>
            <w:pPr>
              <w:jc w:val="right"/>
              <w:spacing w:after="0"/>
              <w:rPr>
                <w:sz w:val="20"/>
                <w:szCs w:val="20"/>
                <w:color w:val="auto"/>
              </w:rPr>
            </w:pPr>
            <w:r>
              <w:rPr>
                <w:rFonts w:ascii="Arial" w:cs="Arial" w:eastAsia="Arial" w:hAnsi="Arial"/>
                <w:sz w:val="16"/>
                <w:szCs w:val="16"/>
                <w:color w:val="auto"/>
              </w:rPr>
              <w:t>(17,633)</w:t>
            </w:r>
          </w:p>
        </w:tc>
      </w:tr>
      <w:tr>
        <w:trPr>
          <w:trHeight w:val="216"/>
        </w:trPr>
        <w:tc>
          <w:tcPr>
            <w:tcW w:w="3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Dividends Declared ($0.67 per share)</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(26,835)</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(26,835)</w:t>
            </w:r>
          </w:p>
        </w:tc>
      </w:tr>
      <w:tr>
        <w:trPr>
          <w:trHeight w:val="210"/>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March 31, 2020</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39,996,510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584,392</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10,821</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9"/>
              </w:rPr>
              <w:t>$ 1,773,607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 (1,041,470)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$ 1,327,929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18"/>
                <w:szCs w:val="18"/>
                <w:color w:val="auto"/>
              </w:rPr>
            </w:pPr>
          </w:p>
        </w:tc>
      </w:tr>
      <w:tr>
        <w:trPr>
          <w:trHeight w:val="213"/>
        </w:trPr>
        <w:tc>
          <w:tcPr>
            <w:tcW w:w="6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6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14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59,949</w:t>
            </w:r>
          </w:p>
        </w:tc>
        <w:tc>
          <w:tcPr>
            <w:tcW w:w="9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34,742</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Provision for Credit Losses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(14,300)</w:t>
            </w:r>
          </w:p>
        </w:tc>
        <w:tc>
          <w:tcPr>
            <w:tcW w:w="9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33,600</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5,238</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4,767</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Amortization of Deferred Loan and Lease (Fees) Costs, Net</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(2,486)</w:t>
            </w:r>
          </w:p>
        </w:tc>
        <w:tc>
          <w:tcPr>
            <w:tcW w:w="9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462</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8,878</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5,164</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Amortization of Operating Lease Right-of-Use Assets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2,839</w:t>
            </w:r>
          </w:p>
        </w:tc>
        <w:tc>
          <w:tcPr>
            <w:tcW w:w="9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3,114</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Compensation</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2,780</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1,497</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Benefit Plan Contributions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(470)</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6,397</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(6,942)</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Net Gains on Sales of Loans and Leases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(6,558)</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(1,956)</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Losses (Gains) on Sales of Investment Securities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1,203</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970</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Proceeds from Sales of Loans Held for Sale</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171,763</w:t>
            </w:r>
          </w:p>
        </w:tc>
        <w:tc>
          <w:tcPr>
            <w:tcW w:w="9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129,913</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Originations of Loans Held for Sale</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(102,017)</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(110,415)</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Net Tax Benefits from Share-Based Compensation</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331</w:t>
            </w:r>
          </w:p>
        </w:tc>
        <w:tc>
          <w:tcPr>
            <w:tcW w:w="9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524</w:t>
            </w:r>
          </w:p>
        </w:tc>
      </w:tr>
      <w:tr>
        <w:trPr>
          <w:trHeight w:val="216"/>
        </w:trPr>
        <w:tc>
          <w:tcPr>
            <w:tcW w:w="6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Net Change in Other Assets and Other Liabilities</w:t>
            </w:r>
          </w:p>
        </w:tc>
        <w:tc>
          <w:tcPr>
            <w:tcW w:w="9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48,860</w:t>
            </w:r>
          </w:p>
        </w:tc>
        <w:tc>
          <w:tcPr>
            <w:tcW w:w="9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(99,892)</w:t>
            </w:r>
          </w:p>
        </w:tc>
      </w:tr>
      <w:tr>
        <w:trPr>
          <w:trHeight w:val="210"/>
        </w:trPr>
        <w:tc>
          <w:tcPr>
            <w:tcW w:w="6780" w:type="dxa"/>
            <w:vAlign w:val="bottom"/>
          </w:tcPr>
          <w:p>
            <w:pPr>
              <w:ind w:left="26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182,407</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(4,855)</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Investment Securities Available-for-Sale:</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Sales, Prepayments and Maturities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289,659</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230,435</w:t>
            </w: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Purchases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(594,678)</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(238,997)</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Held-to-Maturity:</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6780" w:type="dxa"/>
            <w:vAlign w:val="bottom"/>
          </w:tcPr>
          <w:p>
            <w:pPr>
              <w:ind w:left="500"/>
              <w:spacing w:after="0"/>
              <w:rPr>
                <w:sz w:val="20"/>
                <w:szCs w:val="20"/>
                <w:color w:val="auto"/>
              </w:rPr>
            </w:pPr>
            <w:r>
              <w:rPr>
                <w:rFonts w:ascii="Arial" w:cs="Arial" w:eastAsia="Arial" w:hAnsi="Arial"/>
                <w:sz w:val="16"/>
                <w:szCs w:val="16"/>
                <w:color w:val="auto"/>
              </w:rPr>
              <w:t>Proceeds from Prepayments and Maturities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325,969</w:t>
            </w:r>
          </w:p>
        </w:tc>
        <w:tc>
          <w:tcPr>
            <w:tcW w:w="9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236,134</w:t>
            </w:r>
          </w:p>
        </w:tc>
      </w:tr>
      <w:tr>
        <w:trPr>
          <w:trHeight w:val="219"/>
        </w:trPr>
        <w:tc>
          <w:tcPr>
            <w:tcW w:w="6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(533,839)</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(201,130)</w:t>
            </w: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Net Change in Loans and Leases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(204,500)</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(364,878)</w:t>
            </w:r>
          </w:p>
        </w:tc>
      </w:tr>
      <w:tr>
        <w:trPr>
          <w:trHeight w:val="216"/>
        </w:trPr>
        <w:tc>
          <w:tcPr>
            <w:tcW w:w="67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Purchases of Premises and Equipment</w:t>
            </w:r>
          </w:p>
        </w:tc>
        <w:tc>
          <w:tcPr>
            <w:tcW w:w="9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(3,649)</w:t>
            </w:r>
          </w:p>
        </w:tc>
        <w:tc>
          <w:tcPr>
            <w:tcW w:w="9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(12,607)</w:t>
            </w:r>
          </w:p>
        </w:tc>
      </w:tr>
      <w:tr>
        <w:trPr>
          <w:trHeight w:val="210"/>
        </w:trPr>
        <w:tc>
          <w:tcPr>
            <w:tcW w:w="6780" w:type="dxa"/>
            <w:vAlign w:val="bottom"/>
          </w:tcPr>
          <w:p>
            <w:pPr>
              <w:ind w:left="260"/>
              <w:spacing w:after="0"/>
              <w:rPr>
                <w:sz w:val="20"/>
                <w:szCs w:val="20"/>
                <w:color w:val="auto"/>
              </w:rPr>
            </w:pPr>
            <w:r>
              <w:rPr>
                <w:rFonts w:ascii="Arial" w:cs="Arial" w:eastAsia="Arial" w:hAnsi="Arial"/>
                <w:sz w:val="16"/>
                <w:szCs w:val="16"/>
                <w:b w:val="1"/>
                <w:bCs w:val="1"/>
                <w:color w:val="auto"/>
              </w:rPr>
              <w:t>Net Cash Used in Investing Activities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(721,038)</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(351,043)</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Net Change in Deposits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1,345,030</w:t>
            </w:r>
          </w:p>
        </w:tc>
        <w:tc>
          <w:tcPr>
            <w:tcW w:w="9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270,879</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Short-Term Borrowings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148,900</w:t>
            </w: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Repayments of Long-Term Debt</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(25,020)</w:t>
            </w: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Common Stock</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2,704</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3,658</w:t>
            </w:r>
          </w:p>
        </w:tc>
      </w:tr>
      <w:tr>
        <w:trPr>
          <w:trHeight w:val="213"/>
        </w:trPr>
        <w:tc>
          <w:tcPr>
            <w:tcW w:w="678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(3,189)</w:t>
            </w:r>
          </w:p>
        </w:tc>
        <w:tc>
          <w:tcPr>
            <w:tcW w:w="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(17,633)</w:t>
            </w:r>
          </w:p>
        </w:tc>
      </w:tr>
      <w:tr>
        <w:trPr>
          <w:trHeight w:val="216"/>
        </w:trPr>
        <w:tc>
          <w:tcPr>
            <w:tcW w:w="67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Cash Dividends Paid</w:t>
            </w:r>
          </w:p>
        </w:tc>
        <w:tc>
          <w:tcPr>
            <w:tcW w:w="9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(27,026)</w:t>
            </w:r>
          </w:p>
        </w:tc>
        <w:tc>
          <w:tcPr>
            <w:tcW w:w="9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(26,835)</w:t>
            </w:r>
          </w:p>
        </w:tc>
      </w:tr>
      <w:tr>
        <w:trPr>
          <w:trHeight w:val="210"/>
        </w:trPr>
        <w:tc>
          <w:tcPr>
            <w:tcW w:w="6780" w:type="dxa"/>
            <w:vAlign w:val="bottom"/>
          </w:tcPr>
          <w:p>
            <w:pPr>
              <w:ind w:left="260"/>
              <w:spacing w:after="0"/>
              <w:rPr>
                <w:sz w:val="20"/>
                <w:szCs w:val="20"/>
                <w:color w:val="auto"/>
              </w:rPr>
            </w:pPr>
            <w:r>
              <w:rPr>
                <w:rFonts w:ascii="Arial" w:cs="Arial" w:eastAsia="Arial" w:hAnsi="Arial"/>
                <w:sz w:val="16"/>
                <w:szCs w:val="16"/>
                <w:b w:val="1"/>
                <w:bCs w:val="1"/>
                <w:color w:val="auto"/>
              </w:rPr>
              <w:t>Net Cash Provided by Financing Activities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1,317,397</w:t>
            </w:r>
          </w:p>
        </w:tc>
        <w:tc>
          <w:tcPr>
            <w:tcW w:w="9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353,949</w:t>
            </w:r>
          </w:p>
        </w:tc>
      </w:tr>
      <w:tr>
        <w:trPr>
          <w:trHeight w:val="21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and Cash Equivalents</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778,766</w:t>
            </w:r>
          </w:p>
        </w:tc>
        <w:tc>
          <w:tcPr>
            <w:tcW w:w="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w:t>
            </w:r>
          </w:p>
        </w:tc>
      </w:tr>
      <w:tr>
        <w:trPr>
          <w:trHeight w:val="213"/>
        </w:trPr>
        <w:tc>
          <w:tcPr>
            <w:tcW w:w="6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614,088</w:t>
            </w:r>
          </w:p>
        </w:tc>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558,658</w:t>
            </w:r>
          </w:p>
        </w:tc>
      </w:tr>
      <w:tr>
        <w:trPr>
          <w:trHeight w:val="210"/>
        </w:trPr>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420" w:type="dxa"/>
            <w:vAlign w:val="bottom"/>
            <w:tcBorders>
              <w:bottom w:val="single" w:sz="8" w:color="auto"/>
            </w:tcBorders>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1,392,854</w:t>
            </w:r>
          </w:p>
        </w:tc>
        <w:tc>
          <w:tcPr>
            <w:tcW w:w="9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556,709</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6780" w:type="dxa"/>
            <w:vAlign w:val="bottom"/>
          </w:tcPr>
          <w:p>
            <w:pPr>
              <w:spacing w:after="0"/>
              <w:rPr>
                <w:sz w:val="20"/>
                <w:szCs w:val="20"/>
                <w:color w:val="auto"/>
              </w:rPr>
            </w:pPr>
            <w:r>
              <w:rPr>
                <w:rFonts w:ascii="Arial" w:cs="Arial" w:eastAsia="Arial" w:hAnsi="Arial"/>
                <w:sz w:val="16"/>
                <w:szCs w:val="16"/>
                <w:b w:val="1"/>
                <w:bCs w:val="1"/>
                <w:color w:val="auto"/>
              </w:rPr>
              <w:t>Supplemental Information</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9"/>
        </w:trPr>
        <w:tc>
          <w:tcPr>
            <w:tcW w:w="6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142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9,204</w:t>
            </w:r>
          </w:p>
        </w:tc>
        <w:tc>
          <w:tcPr>
            <w:tcW w:w="90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19,088</w:t>
            </w:r>
          </w:p>
        </w:tc>
      </w:tr>
      <w:tr>
        <w:trPr>
          <w:trHeight w:val="210"/>
        </w:trPr>
        <w:tc>
          <w:tcPr>
            <w:tcW w:w="6780" w:type="dxa"/>
            <w:vAlign w:val="bottom"/>
          </w:tcPr>
          <w:p>
            <w:pPr>
              <w:ind w:left="260"/>
              <w:spacing w:after="0"/>
              <w:rPr>
                <w:sz w:val="20"/>
                <w:szCs w:val="20"/>
                <w:color w:val="auto"/>
              </w:rPr>
            </w:pPr>
            <w:r>
              <w:rPr>
                <w:rFonts w:ascii="Arial" w:cs="Arial" w:eastAsia="Arial" w:hAnsi="Arial"/>
                <w:sz w:val="16"/>
                <w:szCs w:val="16"/>
                <w:color w:val="auto"/>
              </w:rPr>
              <w:t>Cash Paid for Income Taxes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2,771</w:t>
            </w:r>
          </w:p>
        </w:tc>
        <w:tc>
          <w:tcPr>
            <w:tcW w:w="9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3,459</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 The accompanying consolidated financial statements include the accounts of the Parent and its subsidiaries. The Parent’s principal operating subsidiary is Bank of Hawaii (the “Bank”).</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6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(i) the power to direct the activities of the VIE that most significantly impact the entity’s economic performance and (ii) the obligation to absorb losses or the right to receive benefits that could be significant to the VIE.</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participates in limited partnerships or limited liability companies that sponsor low-income housing projects. These entities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for federal and 5 years for state. In order to continue receiving the tax credits each year over the life of the entity, the low-income residency targets must be maintained.</w:t>
      </w:r>
    </w:p>
    <w:p>
      <w:pPr>
        <w:spacing w:after="0" w:line="16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For pre-2015 investments, the Company utilized the effective yield method whereby the Company recognized tax credits generally over 10 years and amortized the initial cost of the investment to provide a constant effective yield over the period that tax credits are allocated to the Company. Beginning January 1, 2015, new investments that meet the requirements of the proportional amortization are recognized based on this method.</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Unfunded commitments to fund these low-income housing entities were $44.6 million and $53.0 million as of March 31, 2021, and December 31, 2020, respectively. These unfunded commitments are unconditional and legally binding and are recorded in other liabilities in the consolidated statements of condition. See Note 6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5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Although these entities meet the definition of a VIE,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$138.4 million and $143.0 million as of March 31, 2021, and December 31, 2020, respectively, and is included in other assets in the consolidated statements of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Loans and Leases (the “Allowance”)</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current expected credit loss (“CECL”) approach requires an estimate of the credit losses expected over the life of an exposure (or pool of exposures). The estimate of expected credit losses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historical period used. The Company considers future economic conditions and portfolio performance as part of a reasonable and supportable forecast period.</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Portfolio segment is defined as the level at which an entity develops and documents a systematic methodology to determine its allowance for credit losses. The Company has designated two portfolio segments of loans and leases, commercial and consumer. These portfolio segments are further disaggregated into classes, which represent loans and leases of similar type, risk characteristics, and methods for monitoring and assessing credit risk. The commercial portfolio segment is disaggregated into four classes, commercial and industrial, commercial mortgage, construction, and lease financing. The consumer portfolio segment is also disaggregated into four classes, residential mortgage, home equity, auto, and other (which is comprised of revolving credit, installment, and consumer lease financing arrangements). Each commercial and consumer portfolio class is also segmented based on risk characteristics.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portfolio segment</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historical loss experience for the commercial portfolio segment is primarily determined using a Cohort method. This method pools loans into groups (“cohorts”) sharing similar risk characteristics and tracks each cohort’s historical net charge-offs to calculate a historical loss rate. The historical loss rates for each cohort are then averaged to calculate an overall historical loss rate which is applied to current loan balances to arrive at the quantitative baseline portion of the Allowance for most of the commercial portfolio segment.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considers qualitative adjustments to the quantitative baseline. For example, the Company considers the impact of current environmental factors at the reporting date that did not exist over the period from which historical experience was used. Relevant factors include, but are not limited to, concentrations of credit risk (geographic, large borrower, and industry), economic trends and conditions, changes in underwriting standards, experience and depth of lending staff, trends in delinquencies, and the level of criticized loans.</w:t>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also incorporates a reasonable and supportable (“R&amp;S”) loss forecast period, which is currently one year, to account for the effect of forecasted economic conditions and other factors on the performance of the commercial portfolio, which could differ from historical loss experience. The Company performs a quarterly asset quality review which includes a review of forecasted gross charge-offs and recoveries, nonperforming assets, criticized loans and leases, and risk rating migration. The asset quality review is reviewed by management and the results are used to consider a qualitative adjustment to the quantitative baseline. After the one-year R&amp;S loss forecast period, this adjustment assumes an immediate reversion to historical loss rates for the remaining expected life of the loan.</w:t>
      </w:r>
    </w:p>
    <w:p>
      <w:pPr>
        <w:spacing w:after="0" w:line="1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establishes a specific reserve for individually evaluated loans which do not share similar risk characteristics with the loans included in the quantitative baseline. These individually evaluated loans are removed from the pooling approach discussed above for the quantitative baseline, and include non-accrual loans, troubled debt restructurings (“TDRs”), and other loans as deemed appropriate by management. In addition, the Company individually evaluates “reasonably expected” TDRs, which are identified by the Company as a commercial loan expected to be classified as a TDR within the next six months. Management judgment is utilized to make this determination.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 Portfolio Segment</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historical loss experience for the consumer portfolio segment is primarily determined using a Vintage method. This method measures historical loss behavior in the form of a historical loss rate for homogenous loan pools that originate in the same period, known as a vintage. The historical loss rates are then applied to origination loan balances by vintage to determine the quantitative baseline portion of the Allowance for most of the consumer portfolio segment. The homogenous loan pools are segmented according to similar risk characteristics (e.g., residential mortgage, home equity) and may be sub-segmented further (e.g., geography, lien position) depending on the product.</w:t>
      </w:r>
    </w:p>
    <w:p>
      <w:pPr>
        <w:spacing w:after="0" w:line="14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also considers qualitative adjustments to the quantitative baseline. For example, the Company considers the impact of current environmental factors at the reporting date that did not exist over the period from which historical experience was used. The environmental factors considered for the consumer portfolio are similar to the aforementioned factors considered for the commercial portfolio.</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incorporates a one-year R&amp;S loss forecast period to account for forecasted economic conditions and other factors on the performance of the consumer portfolio which could differ from historical loss experience. The Company performs a quarterly asset quality review designed to estimate gross charge-offs and recoveries for the forecast period. Management evaluates additional factors that may not be reflected in the net charge-off forecast to determine whether a qualitative adjustment is warranted.</w:t>
      </w:r>
    </w:p>
    <w:p>
      <w:pPr>
        <w:spacing w:after="0" w:line="1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the January 1, 2020, implementation date, and following the one-year R&amp;S loss forecast period, the Company chose a reversion back to average historical loss rates using a straight line method based on forecasted and relatively benign economic conditions at the measurement date, with the exception of the home equity portfolio. For the home equity portfolio, the Company elected to revert back to average historical loss rates using a straight line method over the halfway point of the average life of the portfolio. The halfway point is used for the home equity portfolio given the longer average life length compared to the other consumer portfolios.</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Since the first quarter of 2020, the Company has chosen an immediate reversion back to average historical loss rates following the one-year R&amp;S loss forecast period. The reversion method, however, does not reflect the potential for higher losses than pre-pandemic levels due to the impact of COVID-19 beyond the R&amp;S loss forecast period, which the Company has addressed through other qualitative adjustments.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establishes a specific reserve for individually evaluated loans that do not share similar risk characteristics with the loans included in the quantitative baseline. These individually evaluated loans include “reasonably expected” TDRs, identified by the Company as a consumer loan for which a borrower’s application of loan modification due to hardship has been approved by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Loans and Leases and the Allowance for Credit Losses</w:t>
      </w:r>
      <w:r>
        <w:rPr>
          <w:rFonts w:ascii="Arial" w:cs="Arial" w:eastAsia="Arial" w:hAnsi="Arial"/>
          <w:sz w:val="18"/>
          <w:szCs w:val="18"/>
          <w:color w:val="auto"/>
        </w:rPr>
        <w:t xml:space="preserve">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Held-to-Maturity (“HTM”) Debt Securities</w:t>
      </w:r>
    </w:p>
    <w:p>
      <w:pPr>
        <w:spacing w:after="0" w:line="18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HTM debt securities are also required to utilize the CECL approach to estimate expected credit losses. 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also carries a limited portfolio of HTM municipal bonds. As of March 31, 2021, the entire portfolio consisted of State of Hawaii bonds carrying a Moody’s rating of Aa2, with a portion of these bonds escrowed to maturity. To estimate the expected credit losses, the Company utilized the probability of default (“PD”)/loss given default (“LGD”) methodology. The PD, which represents the percentage likelihood that a bond will default over a given time period, is primarily based upon the bond’s current credit rating and maturity and computed using Moody’s rating transition matrix, which provides the probability of a rating migrating to default within a one-year period (adjustments are made for longer maturities). The LGD, which represents the percentage of loss if a default occurs, is based on the median recovery rate for municipals according to Moody’s. The Company’s exposure at default, represented by the carrying value of the municipal bond portfolio, is multiplied with the PD and the LGD to arrive at the expected credit loss. Management may exercise discretion to make adjustments based on environmental factors. As of March 31, 2021, the Company determined that the expected credit loss on its municipal bond portfolio was de minimis, and therefore, an allowance for credit losses was not recorded.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Available-for-Sale (“AFS”) Debt Securities</w:t>
      </w:r>
    </w:p>
    <w:p>
      <w:pPr>
        <w:spacing w:after="0" w:line="18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The impairment model for available-for-sale (“AFS”) debt securities differs from the CECL approach utilized by HTM debt securities because AFS debt securities are measured at fair value rather than amortized cost. Although ASU No. 2016-13 replaced the legacy other-than-temporary impairment (“OTTI”) model with a credit loss model, it retained the fundamental nature of the legacy OTTI model. One notable change from the legacy OTTI model is when evaluating whether credit loss exists, an entity may no longer consider the length of time fair value has been less than amortized cost. For AFS debt securities in an unrealized loss position, the Company first assesses whether it intends to sell, or it is more likely than not that it will be required to sell the security before recovery of its amortized cost basis. If either criteria is met, the security’s amortized cost basis is written down to fair value through income. 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Changes in the allowance for credit losses are recorded as a provision for (or reversal of) credit losses. Losses are charged against the allowance when management believes the uncollectibility of an AFS security is confirmed or when either of the criteria regarding intent or requirement to sell is met. As of March 31, 2021, the Company determined that the unrealized loss positions in AFS securities were not the result of credit losses, and therefore, an allowance for credit losses was not recorded. See Note 3 </w:t>
      </w:r>
      <w:r>
        <w:rPr>
          <w:rFonts w:ascii="Arial" w:cs="Arial" w:eastAsia="Arial" w:hAnsi="Arial"/>
          <w:sz w:val="17"/>
          <w:szCs w:val="17"/>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w:t>
      </w:r>
      <w:r>
        <w:rPr>
          <w:rFonts w:ascii="Arial" w:cs="Arial" w:eastAsia="Arial" w:hAnsi="Arial"/>
          <w:sz w:val="17"/>
          <w:szCs w:val="17"/>
          <w:color w:val="auto"/>
        </w:rPr>
        <w:t>for more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(“AIR”)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Upon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and its related amendments on January 1, 2020,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made the following elections regarding AIR:</w:t>
      </w:r>
    </w:p>
    <w:p>
      <w:pPr>
        <w:spacing w:after="0" w:line="170" w:lineRule="exact"/>
        <w:rPr>
          <w:sz w:val="20"/>
          <w:szCs w:val="20"/>
          <w:color w:val="auto"/>
        </w:rPr>
      </w:pPr>
    </w:p>
    <w:p>
      <w:pPr>
        <w:ind w:left="5540" w:right="4100" w:hanging="5168"/>
        <w:spacing w:after="0" w:line="527" w:lineRule="auto"/>
        <w:tabs>
          <w:tab w:leader="none" w:pos="743"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Presenting AIR separately within another consolidated statements of condition line 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Excluding AIR that is included in the amortized cost of financing receivables from related disclosure requirements.</w:t>
      </w:r>
    </w:p>
    <w:p>
      <w:pPr>
        <w:spacing w:after="0" w:line="184" w:lineRule="exact"/>
        <w:rPr>
          <w:rFonts w:ascii="Arial" w:cs="Arial" w:eastAsia="Arial" w:hAnsi="Arial"/>
          <w:sz w:val="18"/>
          <w:szCs w:val="18"/>
          <w:color w:val="auto"/>
        </w:rPr>
      </w:pPr>
    </w:p>
    <w:p>
      <w:pPr>
        <w:ind w:left="740" w:right="120" w:hanging="368"/>
        <w:spacing w:after="0" w:line="25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our policy to write off AIR by reversing interest income. For commercial loans, the write off typically occurs upon becoming 90 days past due. For consumer loans, the write off typically occurs upon becoming 120 days past due. Historically, the Company has not experienced uncollectible AIR on its investment securities. However, the Company would generally write off AIR by reversing interest income if the Company does not reasonably expect to receive payments. Due to the timely manner in which AIR is written off, the amounts of such write offs are immaterial.</w:t>
      </w:r>
    </w:p>
    <w:p>
      <w:pPr>
        <w:spacing w:after="0" w:line="147"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measuring an allowance for credit losses for AIR due to the Company’s policy of writing off uncollectible AIR in a timely manner, as described above.</w:t>
      </w:r>
    </w:p>
    <w:p>
      <w:pPr>
        <w:spacing w:after="0" w:line="129" w:lineRule="exact"/>
        <w:rPr>
          <w:rFonts w:ascii="Arial" w:cs="Arial" w:eastAsia="Arial" w:hAnsi="Arial"/>
          <w:sz w:val="18"/>
          <w:szCs w:val="18"/>
          <w:color w:val="auto"/>
        </w:rPr>
      </w:pPr>
    </w:p>
    <w:p>
      <w:pPr>
        <w:ind w:left="740" w:right="120" w:hanging="368"/>
        <w:spacing w:after="0" w:line="25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Company began offering loan modifications to assist borrowers negatively impacted by the COVID-19 national emergency. In general, the Company does not classify such loans as nonperforming and continues to accrue and recognize interest income during the forbearance period. For these loans, the Company evaluates the need to record an allowance for the related AIR as any amounts that may become uncollectible may not be considered written off in a timely manner. As of March 31, 2021, and December 31, 2020, the Company recorded an AIR allowance of $2.4 million and $2.7 million, respectively. The allowance was recorded as a contra-asset against AIR with the offset to provision for credit losses. In addition, the Company elected to deduct the AIR from the AIR allowance (rather than reversing interest income) when the AIR is deemed uncollectible, which generally occurs when the related loan is placed on nonaccrual status or is charged-off. See the </w:t>
      </w:r>
      <w:r>
        <w:rPr>
          <w:rFonts w:ascii="Arial" w:cs="Arial" w:eastAsia="Arial" w:hAnsi="Arial"/>
          <w:sz w:val="18"/>
          <w:szCs w:val="18"/>
          <w:i w:val="1"/>
          <w:iCs w:val="1"/>
          <w:color w:val="auto"/>
        </w:rPr>
        <w:t xml:space="preserve">Operating, Accounting and Reporting Considerations related to COVID-19 </w:t>
      </w:r>
      <w:r>
        <w:rPr>
          <w:rFonts w:ascii="Arial" w:cs="Arial" w:eastAsia="Arial" w:hAnsi="Arial"/>
          <w:sz w:val="18"/>
          <w:szCs w:val="18"/>
          <w:color w:val="auto"/>
        </w:rPr>
        <w:t>section below for further discussion on COVID-19 loan</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Collateral-Dependent Loans</w:t>
      </w:r>
    </w:p>
    <w:p>
      <w:pPr>
        <w:spacing w:after="0" w:line="19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 financial asset is considered collateral-dependent when the debtor is experiencing financial difficulty and repayment is expected to be provided substantially through the sale or operation of the collateral. For all classes of loans and leases deemed collateral-dependent, the Company elected the practical expedient to estimate expected credit losses based on the collateral’s fair value less cost to sell. In most cases, the Company records a partial charge-off to reduce the loan’s carrying value to the collateral’s fair value less cost to sell. Substantially all of the collateral consists of various types of real estate including residential properties; commercial properties such as retail centers, office buildings, and lodging; agriculture land; and vacant 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 (the “Unfunded Reserve”)</w:t>
      </w:r>
    </w:p>
    <w:p>
      <w:pPr>
        <w:spacing w:after="0" w:line="18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recognized as a liability (other liabilities in the consolidated statements of condition), with adjustments to the reserve recognized in provision for credit losses in the consolidated statements of income. The Unfunded Reserve is determined by estimating future draws and applying the expected loss rates on those draws. Future draws are based on historical averages of utilization rates (i.e., the likelihood of draws taken). To estimate future draws on unfunded balances, current utilization rates are compared to historical utilization rates. If current utilization rates are below historical utilization rates, the rate difference is applied to the committed balance to estimate the future draw. Loss rates are estimated by utilizing the same loss rates calculated for the Allowance general reserves. For the commercial portfolio, the historical loss rates were calculated utilizing the Cohort methodology, while the consumer portfolio utilized the Vintage methodology.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Accounting and Reporting Considerations related to COVID-19</w:t>
      </w:r>
    </w:p>
    <w:p>
      <w:pPr>
        <w:spacing w:after="0" w:line="19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COVID-19 pandemic has negatively impacted the global economy, including Hawaii and the Pacific Islands. In response to this crisis, the Coronavirus Aid, Relief, and Economic Security (“CARES”) Act was passed by Congress and signed into law on March 27, 2020. The CARES Act, along with subsequent relief programs, provided substantial funding to fight the COVID-19 pandemic and stimulate the economy by supporting individuals and businesses through loans, grants, tax changes, and other types of relief. Some of the provisions applicable to the Company include, but are not limited to:</w:t>
      </w:r>
    </w:p>
    <w:p>
      <w:pPr>
        <w:spacing w:after="0" w:line="117" w:lineRule="exact"/>
        <w:rPr>
          <w:sz w:val="20"/>
          <w:szCs w:val="20"/>
          <w:color w:val="auto"/>
        </w:rPr>
      </w:pPr>
    </w:p>
    <w:p>
      <w:pPr>
        <w:ind w:left="740" w:right="4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Accounting for Loan Modifications </w:t>
      </w:r>
      <w:r>
        <w:rPr>
          <w:rFonts w:ascii="Arial" w:cs="Arial" w:eastAsia="Arial" w:hAnsi="Arial"/>
          <w:sz w:val="18"/>
          <w:szCs w:val="18"/>
          <w:color w:val="auto"/>
        </w:rPr>
        <w:t>– Section 4013 of the</w:t>
      </w:r>
      <w:r>
        <w:rPr>
          <w:rFonts w:ascii="Arial" w:cs="Arial" w:eastAsia="Arial" w:hAnsi="Arial"/>
          <w:sz w:val="18"/>
          <w:szCs w:val="18"/>
          <w:i w:val="1"/>
          <w:iCs w:val="1"/>
          <w:color w:val="auto"/>
        </w:rPr>
        <w:t xml:space="preserve"> </w:t>
      </w:r>
      <w:r>
        <w:rPr>
          <w:rFonts w:ascii="Arial" w:cs="Arial" w:eastAsia="Arial" w:hAnsi="Arial"/>
          <w:sz w:val="18"/>
          <w:szCs w:val="18"/>
          <w:color w:val="231F20"/>
        </w:rPr>
        <w:t>CARES Act provides that a financial institution may elect to suspend (1) the</w:t>
      </w:r>
      <w:r>
        <w:rPr>
          <w:rFonts w:ascii="Arial" w:cs="Arial" w:eastAsia="Arial" w:hAnsi="Arial"/>
          <w:sz w:val="18"/>
          <w:szCs w:val="18"/>
          <w:i w:val="1"/>
          <w:iCs w:val="1"/>
          <w:color w:val="auto"/>
        </w:rPr>
        <w:t xml:space="preserve"> </w:t>
      </w:r>
      <w:r>
        <w:rPr>
          <w:rFonts w:ascii="Arial" w:cs="Arial" w:eastAsia="Arial" w:hAnsi="Arial"/>
          <w:sz w:val="18"/>
          <w:szCs w:val="18"/>
          <w:color w:val="231F20"/>
        </w:rPr>
        <w:t xml:space="preserve">requirements under GAAP for certain loan modifications that would otherwise be categorized as a TDR and (2) any determination that such loan modifications would be considered a TDR, including the related impairment for accounting purposes. </w:t>
      </w:r>
      <w:r>
        <w:rPr>
          <w:rFonts w:ascii="Arial" w:cs="Arial" w:eastAsia="Arial" w:hAnsi="Arial"/>
          <w:sz w:val="18"/>
          <w:szCs w:val="18"/>
          <w:color w:val="000000"/>
        </w:rPr>
        <w:t>See Note 4</w:t>
      </w:r>
      <w:r>
        <w:rPr>
          <w:rFonts w:ascii="Arial" w:cs="Arial" w:eastAsia="Arial" w:hAnsi="Arial"/>
          <w:sz w:val="18"/>
          <w:szCs w:val="18"/>
          <w:color w:val="231F20"/>
        </w:rPr>
        <w:t xml:space="preserve"> </w:t>
      </w:r>
      <w:r>
        <w:rPr>
          <w:rFonts w:ascii="Arial" w:cs="Arial" w:eastAsia="Arial" w:hAnsi="Arial"/>
          <w:sz w:val="18"/>
          <w:szCs w:val="18"/>
          <w:i w:val="1"/>
          <w:iCs w:val="1"/>
          <w:color w:val="000000"/>
        </w:rPr>
        <w:t>Loans and Leases and the</w:t>
      </w:r>
      <w:r>
        <w:rPr>
          <w:rFonts w:ascii="Arial" w:cs="Arial" w:eastAsia="Arial" w:hAnsi="Arial"/>
          <w:sz w:val="18"/>
          <w:szCs w:val="18"/>
          <w:color w:val="231F20"/>
        </w:rPr>
        <w:t xml:space="preserve"> </w:t>
      </w:r>
      <w:r>
        <w:rPr>
          <w:rFonts w:ascii="Arial" w:cs="Arial" w:eastAsia="Arial" w:hAnsi="Arial"/>
          <w:sz w:val="18"/>
          <w:szCs w:val="18"/>
          <w:i w:val="1"/>
          <w:iCs w:val="1"/>
          <w:color w:val="000000"/>
        </w:rPr>
        <w:t xml:space="preserve">Allowance for Credit Losses </w:t>
      </w:r>
      <w:r>
        <w:rPr>
          <w:rFonts w:ascii="Arial" w:cs="Arial" w:eastAsia="Arial" w:hAnsi="Arial"/>
          <w:sz w:val="18"/>
          <w:szCs w:val="18"/>
          <w:color w:val="000000"/>
        </w:rPr>
        <w:t>for more information.</w:t>
      </w:r>
    </w:p>
    <w:p>
      <w:pPr>
        <w:spacing w:after="0" w:line="146" w:lineRule="exact"/>
        <w:rPr>
          <w:rFonts w:ascii="Arial" w:cs="Arial" w:eastAsia="Arial" w:hAnsi="Arial"/>
          <w:sz w:val="18"/>
          <w:szCs w:val="18"/>
          <w:color w:val="auto"/>
        </w:rPr>
      </w:pPr>
    </w:p>
    <w:p>
      <w:pPr>
        <w:ind w:left="740" w:right="80" w:hanging="368"/>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Paycheck Protection Program </w:t>
      </w:r>
      <w:r>
        <w:rPr>
          <w:rFonts w:ascii="Arial" w:cs="Arial" w:eastAsia="Arial" w:hAnsi="Arial"/>
          <w:sz w:val="18"/>
          <w:szCs w:val="18"/>
          <w:color w:val="auto"/>
        </w:rPr>
        <w:t>- The CARES Act established the Paycheck Protection Program (“PPP”), an expansion of the Small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Administration’s (“SBA”) 7(a) loan program and the Economic Injury Disaster Loan Program (“EIDL”), administered directly by the SBA. On December 27, 2020, the Consolidated Appropriations Act, 2021 (“CAA”) was signed into law. The CAA provides several amendments to the PPP, including additional funding for first and second draws of PPP loans up to March 31, 2021. On March 30, 2021, the PPP Extension Act of 2021 was signed into law, which extends the program to May 31, 2021. The Company is a participant in the PPP. See Note 4 </w:t>
      </w:r>
      <w:r>
        <w:rPr>
          <w:rFonts w:ascii="Arial" w:cs="Arial" w:eastAsia="Arial" w:hAnsi="Arial"/>
          <w:sz w:val="18"/>
          <w:szCs w:val="18"/>
          <w:i w:val="1"/>
          <w:iCs w:val="1"/>
          <w:color w:val="auto"/>
        </w:rPr>
        <w:t>Loans and Leases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the Allowance for Credit Losses </w:t>
      </w:r>
      <w:r>
        <w:rPr>
          <w:rFonts w:ascii="Arial" w:cs="Arial" w:eastAsia="Arial" w:hAnsi="Arial"/>
          <w:sz w:val="18"/>
          <w:szCs w:val="18"/>
          <w:color w:val="auto"/>
        </w:rPr>
        <w:t>for more information.</w:t>
      </w:r>
    </w:p>
    <w:p>
      <w:pPr>
        <w:spacing w:after="0" w:line="1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Also in response to the COVID-19 pandemic, the Board of Governors of the Federal Reserve System (“FRB”), the Federal Deposit Insurance Corporation (“FDIC”), the National Credit Union Administration (“NCUA”), the Office of the Comptroller of the Currency (“OCC”), and the Consumer Financial Protection Bureau (“CFPB”), in consultation with the state financial regulators (collectively, the “agencies”) issued a joint interagency statement (issued March 22, 2020; revised statement issued April 7, 2020). Some of the provisions applicable to the Company include, but are not limited to:</w:t>
      </w:r>
    </w:p>
    <w:p>
      <w:pPr>
        <w:spacing w:after="0" w:line="117" w:lineRule="exact"/>
        <w:rPr>
          <w:sz w:val="20"/>
          <w:szCs w:val="20"/>
          <w:color w:val="auto"/>
        </w:rPr>
      </w:pPr>
    </w:p>
    <w:p>
      <w:pPr>
        <w:ind w:left="740" w:right="120" w:hanging="368"/>
        <w:spacing w:after="0" w:line="25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Accounting for Loan Modifications </w:t>
      </w:r>
      <w:r>
        <w:rPr>
          <w:rFonts w:ascii="Arial" w:cs="Arial" w:eastAsia="Arial" w:hAnsi="Arial"/>
          <w:sz w:val="18"/>
          <w:szCs w:val="18"/>
          <w:color w:val="auto"/>
        </w:rPr>
        <w:t>- Loan modifications that do not meet the conditions of the CARES Act may still qualify as a modification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does not need to be accounted for as a TDR. The agencies confirmed with FASB staff that short-term modifications made on a good faith basis in response to COVID-19 to borrowers who were current prior to any relief are not TDRs. This includes short-term modifications such as payment deferrals, fee waivers, extensions of repayment terms, or insignificant delays in payment. See Note 4 </w:t>
      </w:r>
      <w:r>
        <w:rPr>
          <w:rFonts w:ascii="Arial" w:cs="Arial" w:eastAsia="Arial" w:hAnsi="Arial"/>
          <w:sz w:val="18"/>
          <w:szCs w:val="18"/>
          <w:i w:val="1"/>
          <w:iCs w:val="1"/>
          <w:color w:val="auto"/>
        </w:rPr>
        <w:t>Loans and Leases and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for more information.</w:t>
      </w:r>
    </w:p>
    <w:p>
      <w:pPr>
        <w:spacing w:after="0" w:line="147" w:lineRule="exact"/>
        <w:rPr>
          <w:rFonts w:ascii="Arial" w:cs="Arial" w:eastAsia="Arial" w:hAnsi="Arial"/>
          <w:sz w:val="18"/>
          <w:szCs w:val="18"/>
          <w:color w:val="auto"/>
        </w:rPr>
      </w:pPr>
    </w:p>
    <w:p>
      <w:pPr>
        <w:ind w:left="740" w:right="40" w:hanging="368"/>
        <w:spacing w:after="0" w:line="31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Past Due Reporting </w:t>
      </w:r>
      <w:r>
        <w:rPr>
          <w:rFonts w:ascii="Arial" w:cs="Arial" w:eastAsia="Arial" w:hAnsi="Arial"/>
          <w:sz w:val="16"/>
          <w:szCs w:val="16"/>
          <w:color w:val="auto"/>
        </w:rPr>
        <w:t>- With regard to loans not otherwise reportable as past due, financial institutions are not expected to designate loans with</w:t>
      </w:r>
      <w:r>
        <w:rPr>
          <w:rFonts w:ascii="Arial" w:cs="Arial" w:eastAsia="Arial" w:hAnsi="Arial"/>
          <w:sz w:val="16"/>
          <w:szCs w:val="16"/>
          <w:i w:val="1"/>
          <w:iCs w:val="1"/>
          <w:color w:val="auto"/>
        </w:rPr>
        <w:t xml:space="preserve"> </w:t>
      </w:r>
      <w:r>
        <w:rPr>
          <w:rFonts w:ascii="Arial" w:cs="Arial" w:eastAsia="Arial" w:hAnsi="Arial"/>
          <w:sz w:val="16"/>
          <w:szCs w:val="16"/>
          <w:color w:val="auto"/>
        </w:rPr>
        <w:t>deferrals granted due to COVID-19 as past due because of the deferral. A loan’s payment date is governed by the due date stipulated in the legal agreement. If a financial institution agrees to a payment deferral, these loans would not be considered past due during the period of the deferral.</w:t>
      </w:r>
    </w:p>
    <w:p>
      <w:pPr>
        <w:spacing w:after="0" w:line="108" w:lineRule="exact"/>
        <w:rPr>
          <w:rFonts w:ascii="Arial" w:cs="Arial" w:eastAsia="Arial" w:hAnsi="Arial"/>
          <w:sz w:val="16"/>
          <w:szCs w:val="16"/>
          <w:color w:val="auto"/>
        </w:rPr>
      </w:pPr>
    </w:p>
    <w:p>
      <w:pPr>
        <w:ind w:left="740" w:right="10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Nonaccrual Status and Charge-offs </w:t>
      </w:r>
      <w:r>
        <w:rPr>
          <w:rFonts w:ascii="Arial" w:cs="Arial" w:eastAsia="Arial" w:hAnsi="Arial"/>
          <w:sz w:val="18"/>
          <w:szCs w:val="18"/>
          <w:color w:val="auto"/>
        </w:rPr>
        <w:t>- During short-term COVID-19 modifications, these loans generally should not be reported as nonaccrual or</w:t>
      </w:r>
      <w:r>
        <w:rPr>
          <w:rFonts w:ascii="Arial" w:cs="Arial" w:eastAsia="Arial" w:hAnsi="Arial"/>
          <w:sz w:val="18"/>
          <w:szCs w:val="18"/>
          <w:i w:val="1"/>
          <w:iCs w:val="1"/>
          <w:color w:val="auto"/>
        </w:rPr>
        <w:t xml:space="preserve"> </w:t>
      </w:r>
      <w:r>
        <w:rPr>
          <w:rFonts w:ascii="Arial" w:cs="Arial" w:eastAsia="Arial" w:hAnsi="Arial"/>
          <w:sz w:val="18"/>
          <w:szCs w:val="18"/>
          <w:color w:val="auto"/>
        </w:rPr>
        <w:t>as classified.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began offering short-term loan modifications to assist borrowers during the COVID-19 pandemic. These modifications generally involve principal and/or interest payment deferrals for up to six months. These modifications generally meet the criteria of both Section 4013 of the CARES Act and the joint interagency statement, and therefore, the Company does not account for such loan modifications as TDRs. As the COVID-19 pandemic persists in negatively impacting the economy, the Company continues to offer additional loan modifications to borrowers struggling as a result of COVID-</w:t>
      </w:r>
    </w:p>
    <w:p>
      <w:pPr>
        <w:spacing w:after="0" w:line="1" w:lineRule="exact"/>
        <w:rPr>
          <w:sz w:val="20"/>
          <w:szCs w:val="20"/>
          <w:color w:val="auto"/>
        </w:rPr>
      </w:pPr>
    </w:p>
    <w:p>
      <w:pPr>
        <w:ind w:right="20" w:firstLine="8"/>
        <w:spacing w:after="0" w:line="281"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Similar to the initial modifications granted, the additional round of loan modifications are granted specifically under Section 4013 of the CARES Act and generally involve principal and/or interest payment deferrals for up to an additional six months for commercial and consumer loans, and principal-only deferrals for up to an additional 12 months for selected commercial loans. On August 3, 2020, the Federal Financial Institutions Examination Council on behalf of its members (collectively “the FFIEC members”) issued a joint statement on additional loan accommodations related to COVID-19. The joint statement clarifies that for loan modifications in which Section 4013 is being applied, subsequent modifications could also be eligible under Section</w:t>
      </w:r>
    </w:p>
    <w:p>
      <w:pPr>
        <w:spacing w:after="0" w:line="2" w:lineRule="exact"/>
        <w:rPr>
          <w:rFonts w:ascii="Arial" w:cs="Arial" w:eastAsia="Arial" w:hAnsi="Arial"/>
          <w:sz w:val="16"/>
          <w:szCs w:val="16"/>
          <w:color w:val="auto"/>
        </w:rPr>
      </w:pPr>
    </w:p>
    <w:p>
      <w:pPr>
        <w:ind w:right="20"/>
        <w:spacing w:after="0" w:line="281" w:lineRule="auto"/>
        <w:rPr>
          <w:rFonts w:ascii="Arial" w:cs="Arial" w:eastAsia="Arial" w:hAnsi="Arial"/>
          <w:sz w:val="16"/>
          <w:szCs w:val="16"/>
          <w:color w:val="auto"/>
        </w:rPr>
      </w:pPr>
      <w:r>
        <w:rPr>
          <w:rFonts w:ascii="Arial" w:cs="Arial" w:eastAsia="Arial" w:hAnsi="Arial"/>
          <w:sz w:val="16"/>
          <w:szCs w:val="16"/>
          <w:color w:val="auto"/>
        </w:rPr>
        <w:t>4013. To be eligible, each loan modification must be (1) related to the COVID-19 event; (2) executed on a loan that was not more than 30 days past due as of December 31, 2019; and (3) executed between March 1, 2020, and the earlier of (A) 60 days after the date of termination of the National Emergency or</w:t>
      </w:r>
    </w:p>
    <w:p>
      <w:pPr>
        <w:spacing w:after="0" w:line="1"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(B) December 31, 2020. The December 31, 2020 deadline was subsequently extended to January 1, 2022, by the CAA. Substantially all of the Company’s additional round of loan modifications granted under Section 4013 of the CARES Act are in compliance with the aforementioned FFIEC requirements. Accordingly, the Company does not account for such loan modifications as TDRs.</w:t>
      </w:r>
    </w:p>
    <w:p>
      <w:pPr>
        <w:spacing w:after="0" w:line="16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April 2020, the FASB staff issued a Q&amp;A document on accounting for lease concessions related to the effects of the COVID-19 pandemic. The FASB staff noted that entities may elect to not evaluate whether certain concessions provided by lessors to mitigate the effects of COVID-19 on lessees are lease modifications. This option is intended to reduce the operational challenges of individually assessing every COVID-19 related lease concession to determine whether it results in having to apply Topic 842 lease modification guidance. </w:t>
      </w:r>
      <w:r>
        <w:rPr>
          <w:rFonts w:ascii="Arial" w:cs="Arial" w:eastAsia="Arial" w:hAnsi="Arial"/>
          <w:sz w:val="17"/>
          <w:szCs w:val="17"/>
          <w:color w:val="231F20"/>
        </w:rPr>
        <w:t>This election is available only for concessions related to the effects</w:t>
      </w:r>
      <w:r>
        <w:rPr>
          <w:rFonts w:ascii="Arial" w:cs="Arial" w:eastAsia="Arial" w:hAnsi="Arial"/>
          <w:sz w:val="17"/>
          <w:szCs w:val="17"/>
          <w:color w:val="auto"/>
        </w:rPr>
        <w:t xml:space="preserve"> </w:t>
      </w:r>
      <w:r>
        <w:rPr>
          <w:rFonts w:ascii="Arial" w:cs="Arial" w:eastAsia="Arial" w:hAnsi="Arial"/>
          <w:sz w:val="17"/>
          <w:szCs w:val="17"/>
          <w:color w:val="231F20"/>
        </w:rPr>
        <w:t>of the COVID-19 pandemic that do not result in a substantial increase in either the rights of the lessor or the obligations of the lessee. For entities that choose this election, they may account for the concession as if no changes to the lease contract were made. Under that accounting, a lessor would continue to recognize income. The Company has elected to apply the relief provided by the FASB not to evaluate individual contracts. The Company also elected not to apply the lease modification framework for concessions granted.</w:t>
      </w:r>
    </w:p>
    <w:p>
      <w:pPr>
        <w:spacing w:after="0" w:line="1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231F20"/>
        </w:rPr>
        <w:t>The Company, as lessor, granted lease concessions on some of its sales-type finance leases for equipment and automobiles. Equipment lease concessions primarily consist of interest-only payments for a six-month period. Regular lease payments resume after the six-month period and the maturity date is extended by six months. Automobile lease concessions primarily consist of six-month extension programs whereby lease payments currently due are deferred and shifted to the end of the lease term. Interest income continues to accrue during the deferral period. As of March 31, 2021, the Company has not offered a material amount of concessions.</w:t>
      </w:r>
    </w:p>
    <w:p>
      <w:pPr>
        <w:spacing w:after="0" w:line="14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31F20"/>
        </w:rPr>
        <w:t xml:space="preserve">The Company, as lessor, leases and subleases real property to lessee tenants under operating leases. As of March 31, 2021, no material lease concessions have been granted to lessees. The Company, as lessee, also leases </w:t>
      </w:r>
      <w:r>
        <w:rPr>
          <w:rFonts w:ascii="Arial" w:cs="Arial" w:eastAsia="Arial" w:hAnsi="Arial"/>
          <w:sz w:val="18"/>
          <w:szCs w:val="18"/>
          <w:color w:val="000000"/>
        </w:rPr>
        <w:t>real estate property for branch locations, ATM locations, and office space. As of</w:t>
      </w:r>
      <w:r>
        <w:rPr>
          <w:rFonts w:ascii="Arial" w:cs="Arial" w:eastAsia="Arial" w:hAnsi="Arial"/>
          <w:sz w:val="18"/>
          <w:szCs w:val="18"/>
          <w:color w:val="231F20"/>
        </w:rPr>
        <w:t xml:space="preserve"> March 31, 2021</w:t>
      </w:r>
      <w:r>
        <w:rPr>
          <w:rFonts w:ascii="Arial" w:cs="Arial" w:eastAsia="Arial" w:hAnsi="Arial"/>
          <w:sz w:val="18"/>
          <w:szCs w:val="18"/>
          <w:color w:val="000000"/>
        </w:rPr>
        <w:t>, the Company has not requested any lease concessions.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2021</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This ASU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Finally, it clarifies that single-member limited liability companies and similar disregarded entities that are not subject to income tax are not required to recognize an allocation of consolidated income tax expense in their separate financial statements, but they could elect to do so. ASU 2019-12 is effective for interim and annual reporting periods beginning after December 15, 2020. ASU 2019-12 did not have a material impact on the Company’s Consolidated Financial Statements.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In January 2021, the FASB issued ASU No.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This ASU clarifies that all derivative instruments affected by changes to the interest rates used for discounting, margining or contract price alignment due to reference rate reform are in the scope of ASC</w:t>
      </w:r>
    </w:p>
    <w:p>
      <w:pPr>
        <w:ind w:right="20" w:firstLine="8"/>
        <w:spacing w:after="0" w:line="267" w:lineRule="auto"/>
        <w:tabs>
          <w:tab w:leader="none" w:pos="405" w:val="left"/>
        </w:tabs>
        <w:numPr>
          <w:ilvl w:val="0"/>
          <w:numId w:val="8"/>
        </w:numPr>
        <w:rPr>
          <w:rFonts w:ascii="Arial" w:cs="Arial" w:eastAsia="Arial" w:hAnsi="Arial"/>
          <w:sz w:val="17"/>
          <w:szCs w:val="17"/>
          <w:color w:val="auto"/>
        </w:rPr>
      </w:pPr>
      <w:r>
        <w:rPr>
          <w:rFonts w:ascii="Arial" w:cs="Arial" w:eastAsia="Arial" w:hAnsi="Arial"/>
          <w:sz w:val="17"/>
          <w:szCs w:val="17"/>
          <w:color w:val="auto"/>
        </w:rPr>
        <w:t>Entities may apply certain optional expedients in ASC 848 to derivative instruments that do not reference LIBOR or another rate expected to be discontinued as a result of reference rate reform if there is a change to the interest rate used for discounting, margining or contract price alignment. The ASU also clarifies other aspects of ASC 848 and provides new guidance on how to address the effects of the cash compensation adjustment that is provided as part of the above change on certain aspects of hedge accounting. ASU 2021-01 is intended to reduce diversity in practice related to accounting for (1) modifications to the terms of affected derivatives and (2) existing hedging relationships in which the affected derivatives are designated as hedging instruments. ASU 2021-01 is effective upon issuance and generally can be applied through December 31, 2022, similar to the rest of the relief provided under ASC 848. Entities may elect to apply the guidance on contract modifications either (1) retrospectively as of any date from the beginning of any interim period that includes March 12, 2020 or (2) prospectively to new modifications from any date in an interim period that includes or is after January 7, 2021, up to the date that financial statements are available to be issued. The Company elected to adopt the guidance on contract modifications retrospectively as of October 1, 2020, and it did not have a material impact on the Company’s Consolidated Financial Statements. As the Company currently does not utilize hedge accounting, the guidance on hedge accounting is not applicable.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 in Other Banks</w:t>
            </w:r>
          </w:p>
        </w:tc>
        <w:tc>
          <w:tcPr>
            <w:tcW w:w="29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4,506</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1,646</w:t>
            </w: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Funds Sold</w:t>
            </w:r>
          </w:p>
        </w:tc>
        <w:tc>
          <w:tcPr>
            <w:tcW w:w="298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1,101,631</w:t>
            </w:r>
          </w:p>
        </w:tc>
        <w:tc>
          <w:tcPr>
            <w:tcW w:w="4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333,022</w:t>
            </w:r>
          </w:p>
        </w:tc>
      </w:tr>
      <w:tr>
        <w:trPr>
          <w:trHeight w:val="216"/>
        </w:trPr>
        <w:tc>
          <w:tcPr>
            <w:tcW w:w="5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Cash and Due From Banks</w:t>
            </w:r>
          </w:p>
        </w:tc>
        <w:tc>
          <w:tcPr>
            <w:tcW w:w="29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286,717</w:t>
            </w:r>
          </w:p>
        </w:tc>
        <w:tc>
          <w:tcPr>
            <w:tcW w:w="4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279,420</w:t>
            </w:r>
          </w:p>
        </w:tc>
      </w:tr>
      <w:tr>
        <w:trPr>
          <w:trHeight w:val="210"/>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Cash and Cash Equivalents</w:t>
            </w:r>
          </w:p>
        </w:tc>
        <w:tc>
          <w:tcPr>
            <w:tcW w:w="2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1,392,854</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614,088</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March 31, 2021, and December 31, 2020,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w:t>
            </w:r>
          </w:p>
        </w:tc>
        <w:tc>
          <w:tcPr>
            <w:tcW w:w="3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Gains</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Losses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8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165,355</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408</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w:t>
            </w:r>
          </w:p>
        </w:tc>
        <w:tc>
          <w:tcPr>
            <w:tcW w:w="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165,222</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23,544</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785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24,325</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985</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1,035</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219,493</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3,589</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(967)</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222,115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1,564,690</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28,489</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(7,834)</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1,585,345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1,835,401</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13,646</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(41,118)</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1,807,929</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213,467</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6,007</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218,792</w:t>
            </w:r>
          </w:p>
        </w:tc>
      </w:tr>
      <w:tr>
        <w:trPr>
          <w:trHeight w:val="209"/>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3,613,558</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48,142</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(49,634)</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3,612,066</w:t>
            </w:r>
          </w:p>
        </w:tc>
      </w:tr>
      <w:tr>
        <w:trPr>
          <w:trHeight w:val="25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4,022,935</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52,975</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(51,147)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4,024,763</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Held-to-Maturity:</w:t>
            </w: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7,499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7,333</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33,596</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533</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34,129</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11,287</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3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11,496</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1,209,218</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26,398</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(13,732)</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1,221,884</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1,962,265</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28,181</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(25,499)</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1,964,947</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240,495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1,613</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237,557</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3,411,978</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56,192</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(43,782)</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3,424,388</w:t>
            </w:r>
          </w:p>
        </w:tc>
      </w:tr>
      <w:tr>
        <w:trPr>
          <w:trHeight w:val="25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3,464,360</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56,934</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3,477,346</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174,409</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427</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w:t>
            </w:r>
          </w:p>
        </w:tc>
        <w:tc>
          <w:tcPr>
            <w:tcW w:w="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174,245</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23,540</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1,301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24,840</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985</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1,062</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220,717</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4,844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(956)</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224,605</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1,561,603</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33,657</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(445)</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1,594,815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1,497,353</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21,254</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1,518,283</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243,029</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10,868</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253,839</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3,301,985</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65,779</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3,366,937</w:t>
            </w:r>
          </w:p>
        </w:tc>
      </w:tr>
      <w:tr>
        <w:trPr>
          <w:trHeight w:val="25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3,721,636</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72,428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3,791,689</w:t>
            </w:r>
          </w:p>
        </w:tc>
      </w:tr>
      <w:tr>
        <w:trPr>
          <w:trHeight w:val="19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Held-to-Maturity:</w:t>
            </w:r>
          </w:p>
        </w:tc>
        <w:tc>
          <w:tcPr>
            <w:tcW w:w="8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the U.S. Treasury and Government Agencies</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7,500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7,500</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33,763</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741</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34,504</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12,031</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3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12,282</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8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917,459</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30,580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948,010</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2,099,053</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51,735</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2,150,497</w:t>
            </w:r>
          </w:p>
        </w:tc>
      </w:tr>
      <w:tr>
        <w:trPr>
          <w:trHeight w:val="213"/>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192,921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3,179</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195,900</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8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3,209,433</w:t>
            </w: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85,494</w:t>
            </w: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3,294,407</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3,262,727</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86,494</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3,348,693</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Company elected to exclude accrued interest receivable (“AIR”) from the amortized cost basis of debt securities disclosed throughout this footnote. For available-for-sale (“AFS”) debt securities, AIR totaled $6.7 million and $6.6 million as of March 31, 2021, and December 31, 2020, respectively. For held-to-maturity (“HTM”) debt securities, AIR totaled $7.1 million and $6.8 million as of March 31, 2021, and December 31, 2020, respectively. AIR is included in the “accrued interest receivable” line item on the Company’s consolidated statements of condition.</w:t>
      </w:r>
    </w:p>
    <w:p>
      <w:pPr>
        <w:sectPr>
          <w:pgSz w:w="11900" w:h="16838" w:orient="portrait"/>
          <w:cols w:equalWidth="0" w:num="1">
            <w:col w:w="11240"/>
          </w:cols>
          <w:pgMar w:left="320" w:top="130"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March 31, 2021.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Amortized</w:t>
            </w: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Cost</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5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Available-for-Sale:</w:t>
            </w:r>
          </w:p>
        </w:tc>
        <w:tc>
          <w:tcPr>
            <w:tcW w:w="2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Due in One Year or Less</w:t>
            </w:r>
          </w:p>
        </w:tc>
        <w:tc>
          <w:tcPr>
            <w:tcW w:w="24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52,007</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51,965</w:t>
            </w: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Due After One Year Through Five Years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71,863</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74,454</w:t>
            </w: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Due After Five Years Through Ten Years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121,056</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121,972</w:t>
            </w:r>
          </w:p>
        </w:tc>
      </w:tr>
      <w:tr>
        <w:trPr>
          <w:trHeight w:val="213"/>
        </w:trPr>
        <w:tc>
          <w:tcPr>
            <w:tcW w:w="57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244,926</w:t>
            </w:r>
          </w:p>
        </w:tc>
        <w:tc>
          <w:tcPr>
            <w:tcW w:w="6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248,391</w:t>
            </w:r>
          </w:p>
        </w:tc>
      </w:tr>
      <w:tr>
        <w:trPr>
          <w:trHeight w:val="213"/>
        </w:trPr>
        <w:tc>
          <w:tcPr>
            <w:tcW w:w="5740" w:type="dxa"/>
            <w:vAlign w:val="bottom"/>
          </w:tcPr>
          <w:p>
            <w:pPr>
              <w:spacing w:after="0"/>
              <w:rPr>
                <w:sz w:val="20"/>
                <w:szCs w:val="20"/>
                <w:color w:val="auto"/>
              </w:rPr>
            </w:pPr>
            <w:r>
              <w:rPr>
                <w:rFonts w:ascii="Arial" w:cs="Arial" w:eastAsia="Arial" w:hAnsi="Arial"/>
                <w:sz w:val="16"/>
                <w:szCs w:val="16"/>
                <w:color w:val="auto"/>
              </w:rPr>
              <w:t>Debt Securities Issued by Government Agencies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164,451</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164,306</w:t>
            </w: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1,564,690</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1,585,345</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1,835,401</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1,807,929</w:t>
            </w:r>
          </w:p>
        </w:tc>
      </w:tr>
      <w:tr>
        <w:trPr>
          <w:trHeight w:val="213"/>
        </w:trPr>
        <w:tc>
          <w:tcPr>
            <w:tcW w:w="57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213,467</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218,792</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3,613,558</w:t>
            </w:r>
          </w:p>
        </w:tc>
        <w:tc>
          <w:tcPr>
            <w:tcW w:w="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3,612,066</w:t>
            </w:r>
          </w:p>
        </w:tc>
      </w:tr>
      <w:tr>
        <w:trPr>
          <w:trHeight w:val="250"/>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2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4,022,935</w:t>
            </w:r>
          </w:p>
        </w:tc>
        <w:tc>
          <w:tcPr>
            <w:tcW w:w="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4,024,763</w:t>
            </w:r>
          </w:p>
        </w:tc>
      </w:tr>
      <w:tr>
        <w:trPr>
          <w:trHeight w:val="199"/>
        </w:trPr>
        <w:tc>
          <w:tcPr>
            <w:tcW w:w="5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Held-to-Maturity:</w:t>
            </w:r>
          </w:p>
        </w:tc>
        <w:tc>
          <w:tcPr>
            <w:tcW w:w="24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Due in One Year or Less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33,595</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34,128</w:t>
            </w:r>
          </w:p>
        </w:tc>
      </w:tr>
      <w:tr>
        <w:trPr>
          <w:trHeight w:val="216"/>
        </w:trPr>
        <w:tc>
          <w:tcPr>
            <w:tcW w:w="57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Due After One Year Through Five Years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18,787</w:t>
            </w:r>
          </w:p>
        </w:tc>
        <w:tc>
          <w:tcPr>
            <w:tcW w:w="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18,830</w:t>
            </w:r>
          </w:p>
        </w:tc>
      </w:tr>
      <w:tr>
        <w:trPr>
          <w:trHeight w:val="210"/>
        </w:trPr>
        <w:tc>
          <w:tcPr>
            <w:tcW w:w="57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52,382</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52,958</w:t>
            </w:r>
          </w:p>
        </w:tc>
      </w:tr>
      <w:tr>
        <w:trPr>
          <w:trHeight w:val="21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13"/>
        </w:trPr>
        <w:tc>
          <w:tcPr>
            <w:tcW w:w="574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24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1,209,218</w:t>
            </w:r>
          </w:p>
        </w:tc>
        <w:tc>
          <w:tcPr>
            <w:tcW w:w="60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1,221,884</w:t>
            </w: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2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1,962,265</w:t>
            </w: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1,964,947</w:t>
            </w:r>
          </w:p>
        </w:tc>
      </w:tr>
      <w:tr>
        <w:trPr>
          <w:trHeight w:val="213"/>
        </w:trPr>
        <w:tc>
          <w:tcPr>
            <w:tcW w:w="57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2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240,495</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237,557</w:t>
            </w:r>
          </w:p>
        </w:tc>
      </w:tr>
      <w:tr>
        <w:trPr>
          <w:trHeight w:val="209"/>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2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3,411,978</w:t>
            </w:r>
          </w:p>
        </w:tc>
        <w:tc>
          <w:tcPr>
            <w:tcW w:w="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3,424,388</w:t>
            </w:r>
          </w:p>
        </w:tc>
      </w:tr>
      <w:tr>
        <w:trPr>
          <w:trHeight w:val="210"/>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2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3,464,360</w:t>
            </w:r>
          </w:p>
        </w:tc>
        <w:tc>
          <w:tcPr>
            <w:tcW w:w="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3,477,346</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Investment securities with carrying values of $3.6 billion as of March 31, 2021, and December 31, 2020, respectively, were pledged to secure deposits of governmental entities, securities sold under agreements to repurchase, and FRB discount window borrowing.</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gains and losses from the sales of investment securities for the three months ended March 31, 2021, and March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Pr>
          <w:p>
            <w:pPr>
              <w:spacing w:after="0"/>
              <w:rPr>
                <w:sz w:val="17"/>
                <w:szCs w:val="17"/>
                <w:color w:val="auto"/>
              </w:rPr>
            </w:pPr>
          </w:p>
        </w:tc>
      </w:tr>
      <w:tr>
        <w:trPr>
          <w:trHeight w:val="210"/>
        </w:trPr>
        <w:tc>
          <w:tcPr>
            <w:tcW w:w="5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r>
      <w:tr>
        <w:trPr>
          <w:trHeight w:val="213"/>
        </w:trPr>
        <w:tc>
          <w:tcPr>
            <w:tcW w:w="5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Gross Gains on Sales of Investment Securities</w:t>
            </w:r>
          </w:p>
        </w:tc>
        <w:tc>
          <w:tcPr>
            <w:tcW w:w="266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77</w:t>
            </w:r>
          </w:p>
        </w:tc>
      </w:tr>
      <w:tr>
        <w:trPr>
          <w:trHeight w:val="213"/>
        </w:trPr>
        <w:tc>
          <w:tcPr>
            <w:tcW w:w="5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Gross Losses on Sales of Investment Securities</w:t>
            </w:r>
          </w:p>
        </w:tc>
        <w:tc>
          <w:tcPr>
            <w:tcW w:w="2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(1,203)</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w:t>
            </w:r>
          </w:p>
        </w:tc>
      </w:tr>
      <w:tr>
        <w:trPr>
          <w:trHeight w:val="209"/>
        </w:trPr>
        <w:tc>
          <w:tcPr>
            <w:tcW w:w="5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Gains (Losses) on Sales of Investment Securities</w:t>
            </w:r>
          </w:p>
        </w:tc>
        <w:tc>
          <w:tcPr>
            <w:tcW w:w="2660" w:type="dxa"/>
            <w:vAlign w:val="bottom"/>
            <w:tcBorders>
              <w:bottom w:val="single" w:sz="8" w:color="auto"/>
            </w:tcBorders>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(1,203)</w:t>
            </w:r>
          </w:p>
        </w:tc>
        <w:tc>
          <w:tcPr>
            <w:tcW w:w="9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(970)</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losses on sales of investment securities during the three months ended March 31, 2021, and March 31, 2020, were due to fees paid to the counterparties of the Company’s prior Visa Class B share sale transactions, which are expensed as incurred.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Company’s AFS debt securities in an unrealized loss position for which an allowance for credit losses has not been recorded, aggregated by major security type and length of time in a continuous unrealized loss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w w:val="98"/>
              </w:rPr>
              <w:t>Less Than 12 Months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12 Months or Longer</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auto"/>
            </w:tcBorders>
          </w:tcPr>
          <w:p>
            <w:pPr>
              <w:spacing w:after="0"/>
              <w:rPr>
                <w:sz w:val="18"/>
                <w:szCs w:val="18"/>
                <w:color w:val="auto"/>
              </w:rPr>
            </w:pPr>
          </w:p>
        </w:tc>
      </w:tr>
      <w:tr>
        <w:trPr>
          <w:trHeight w:val="199"/>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Gross</w:t>
            </w: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Unrealized</w:t>
            </w:r>
          </w:p>
        </w:tc>
      </w:tr>
      <w:tr>
        <w:trPr>
          <w:trHeight w:val="213"/>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6"/>
              </w:rPr>
              <w:t>Fair Value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Losses</w:t>
            </w:r>
          </w:p>
        </w:tc>
      </w:tr>
      <w:tr>
        <w:trPr>
          <w:trHeight w:val="213"/>
        </w:trPr>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b w:val="1"/>
                <w:bCs w:val="1"/>
                <w:color w:val="auto"/>
              </w:rPr>
              <w:t>Available-for-Sale: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the U.S. Treasury</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Government Agencies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2,833</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96,248</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99,081</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w:t>
            </w: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Debt Securities Issued by States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4700" w:type="dxa"/>
            <w:vAlign w:val="bottom"/>
          </w:tcPr>
          <w:p>
            <w:pPr>
              <w:ind w:left="120"/>
              <w:spacing w:after="0"/>
              <w:rPr>
                <w:sz w:val="20"/>
                <w:szCs w:val="20"/>
                <w:color w:val="auto"/>
              </w:rPr>
            </w:pPr>
            <w:r>
              <w:rPr>
                <w:rFonts w:ascii="Arial" w:cs="Arial" w:eastAsia="Arial" w:hAnsi="Arial"/>
                <w:sz w:val="16"/>
                <w:szCs w:val="16"/>
                <w:color w:val="auto"/>
              </w:rPr>
              <w:t>and Political Subdivisions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U.S. Government-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Sponsored Enterprises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39,224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74,809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114,033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(967)</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354,059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8,515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362,574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(7,834)</w:t>
            </w:r>
          </w:p>
        </w:tc>
      </w:tr>
      <w:tr>
        <w:trPr>
          <w:trHeight w:val="20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2"/>
        </w:trPr>
        <w:tc>
          <w:tcPr>
            <w:tcW w:w="47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Enterprises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1,229,286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1,229,286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(41,118)</w:t>
            </w:r>
          </w:p>
        </w:tc>
      </w:tr>
      <w:tr>
        <w:trPr>
          <w:trHeight w:val="213"/>
        </w:trPr>
        <w:tc>
          <w:tcPr>
            <w:tcW w:w="4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Commercial-Government Agencies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24,246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24,246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r>
      <w:tr>
        <w:trPr>
          <w:trHeight w:val="210"/>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1,607,591</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(49,413)</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8,515</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1,616,106</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(49,634)</w:t>
            </w:r>
          </w:p>
        </w:tc>
      </w:tr>
      <w:tr>
        <w:trPr>
          <w:trHeight w:val="250"/>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1,650,179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(50,203)</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179,597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1,829,776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(51,147)</w:t>
            </w:r>
          </w:p>
        </w:tc>
      </w:tr>
      <w:tr>
        <w:trPr>
          <w:trHeight w:val="199"/>
        </w:trPr>
        <w:tc>
          <w:tcPr>
            <w:tcW w:w="4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4700" w:type="dxa"/>
            <w:vAlign w:val="bottom"/>
            <w:shd w:val="clear" w:color="auto" w:fill="CFF0FC"/>
          </w:tcPr>
          <w:p>
            <w:pPr>
              <w:spacing w:after="0" w:line="218" w:lineRule="exact"/>
              <w:rPr>
                <w:sz w:val="20"/>
                <w:szCs w:val="20"/>
                <w:color w:val="auto"/>
              </w:rPr>
            </w:pPr>
            <w:r>
              <w:rPr>
                <w:rFonts w:ascii="Arial" w:cs="Arial" w:eastAsia="Arial" w:hAnsi="Arial"/>
                <w:sz w:val="15"/>
                <w:szCs w:val="15"/>
                <w:b w:val="1"/>
                <w:bCs w:val="1"/>
                <w:color w:val="auto"/>
              </w:rPr>
              <w:t xml:space="preserve">Available-for-Sale: </w:t>
            </w:r>
            <w:r>
              <w:rPr>
                <w:rFonts w:ascii="Arial" w:cs="Arial" w:eastAsia="Arial" w:hAnsi="Arial"/>
                <w:sz w:val="25"/>
                <w:szCs w:val="25"/>
                <w:b w:val="1"/>
                <w:bCs w:val="1"/>
                <w:color w:val="auto"/>
                <w:vertAlign w:val="superscript"/>
              </w:rPr>
              <w:t>1</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Debt Securities Issued by the U.S. Treasury</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4700" w:type="dxa"/>
            <w:vAlign w:val="bottom"/>
          </w:tcPr>
          <w:p>
            <w:pPr>
              <w:ind w:left="120"/>
              <w:spacing w:after="0"/>
              <w:rPr>
                <w:sz w:val="20"/>
                <w:szCs w:val="20"/>
                <w:color w:val="auto"/>
              </w:rPr>
            </w:pPr>
            <w:r>
              <w:rPr>
                <w:rFonts w:ascii="Arial" w:cs="Arial" w:eastAsia="Arial" w:hAnsi="Arial"/>
                <w:sz w:val="16"/>
                <w:szCs w:val="16"/>
                <w:color w:val="auto"/>
              </w:rPr>
              <w:t>and Government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21,338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87,070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(549)</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108,408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(591)</w:t>
            </w:r>
          </w:p>
        </w:tc>
      </w:tr>
      <w:tr>
        <w:trPr>
          <w:trHeight w:val="20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2"/>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Political Subdivisions</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Debt Securities Issued by Corporations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115,000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113,538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28,063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141,601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94,002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94,002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w:t>
            </w:r>
          </w:p>
        </w:tc>
      </w:tr>
      <w:tr>
        <w:trPr>
          <w:trHeight w:val="213"/>
        </w:trPr>
        <w:tc>
          <w:tcPr>
            <w:tcW w:w="4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 Government Agencies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25,075</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25,075</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09"/>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Mortgage-Backed Securities</w:t>
            </w: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232,615</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28,063</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260,678</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(827)</w:t>
            </w:r>
          </w:p>
        </w:tc>
      </w:tr>
      <w:tr>
        <w:trPr>
          <w:trHeight w:val="210"/>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318,953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165,159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484,112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fair value and gross unrealized losses as of December 31, 2020 have been updated to properly reflect the length of time they were in a continuous unrealized loss position.</w:t>
      </w:r>
    </w:p>
    <w:p>
      <w:pPr>
        <w:spacing w:after="0" w:line="20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does not believe that the AFS debt securities that were in an unrealized loss position as of March 31, 2021, which were comprised of 155 individual securities, represent a credit loss impairment. The gross unrealized losses were primarily attributable to changes in interest rates, relative to when the investment securities were purchased. As of March 31, 2021, and December 31, 2020, the gross unrealized losses reported for mortgage-backed securities were mostly related to investment securities issued by the Ginnie Mae, Fannie Mae, and Freddie Mac.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 as of March 31, 2021.</w:t>
      </w:r>
    </w:p>
    <w:p>
      <w:pPr>
        <w:spacing w:after="0" w:line="13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 also carries a limited portfolio of HTM municipal bonds. As of March 31, 2021, the entire portfolio consisted of State of Hawaii bonds carrying a Moody’s rating of Aa2, with a portion of these bonds escrowed to maturity. Utilizing the CECL approach, the Company determined that the expected credit loss on its municipal bond portfolio was de minimis, and therefore, an allowance for credit losses was not recorded as of March 31, 2021.</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from taxable and non-taxable investment securities for the three months ended March 31, 2021, and March 31, 2020,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Pr>
          <w:p>
            <w:pPr>
              <w:spacing w:after="0"/>
              <w:rPr>
                <w:sz w:val="17"/>
                <w:szCs w:val="17"/>
                <w:color w:val="auto"/>
              </w:rPr>
            </w:pPr>
          </w:p>
        </w:tc>
      </w:tr>
      <w:tr>
        <w:trPr>
          <w:trHeight w:val="210"/>
        </w:trPr>
        <w:tc>
          <w:tcPr>
            <w:tcW w:w="5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r>
      <w:tr>
        <w:trPr>
          <w:trHeight w:val="213"/>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Taxable</w:t>
            </w:r>
          </w:p>
        </w:tc>
        <w:tc>
          <w:tcPr>
            <w:tcW w:w="278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28,856</w:t>
            </w:r>
          </w:p>
        </w:tc>
        <w:tc>
          <w:tcPr>
            <w:tcW w:w="100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35,393</w:t>
            </w:r>
          </w:p>
        </w:tc>
      </w:tr>
      <w:tr>
        <w:trPr>
          <w:trHeight w:val="213"/>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Non-Taxable</w:t>
            </w:r>
          </w:p>
        </w:tc>
        <w:tc>
          <w:tcPr>
            <w:tcW w:w="2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281</w:t>
            </w:r>
          </w:p>
        </w:tc>
        <w:tc>
          <w:tcPr>
            <w:tcW w:w="10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570</w:t>
            </w:r>
          </w:p>
        </w:tc>
      </w:tr>
      <w:tr>
        <w:trPr>
          <w:trHeight w:val="210"/>
        </w:trPr>
        <w:tc>
          <w:tcPr>
            <w:tcW w:w="5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Interest Income from Investment Securities</w:t>
            </w:r>
          </w:p>
        </w:tc>
        <w:tc>
          <w:tcPr>
            <w:tcW w:w="2780" w:type="dxa"/>
            <w:vAlign w:val="bottom"/>
            <w:tcBorders>
              <w:bottom w:val="single" w:sz="8" w:color="auto"/>
            </w:tcBorders>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29,137</w:t>
            </w:r>
          </w:p>
        </w:tc>
        <w:tc>
          <w:tcPr>
            <w:tcW w:w="100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35,963</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2021, and December 31, 2020, the carrying value of the Company’s Federal Home Loan Bank of Des Moines stock and Federal Reserve Bank stock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3"/>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Federal Home Loan Bank Stock</w:t>
            </w:r>
          </w:p>
        </w:tc>
        <w:tc>
          <w:tcPr>
            <w:tcW w:w="31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12,000</w:t>
            </w:r>
          </w:p>
        </w:tc>
        <w:tc>
          <w:tcPr>
            <w:tcW w:w="5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12,000</w:t>
            </w:r>
          </w:p>
        </w:tc>
      </w:tr>
      <w:tr>
        <w:trPr>
          <w:trHeight w:val="213"/>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Federal Reserve Bank Stock</w:t>
            </w:r>
          </w:p>
        </w:tc>
        <w:tc>
          <w:tcPr>
            <w:tcW w:w="3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21,401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21,340</w:t>
            </w:r>
          </w:p>
        </w:tc>
      </w:tr>
      <w:tr>
        <w:trPr>
          <w:trHeight w:val="210"/>
        </w:trPr>
        <w:tc>
          <w:tcPr>
            <w:tcW w:w="4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31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33,401</w:t>
            </w:r>
          </w:p>
        </w:tc>
        <w:tc>
          <w:tcPr>
            <w:tcW w:w="5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33,340</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March 31, 2021, the conversion ratio was 1.6228.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second quarter of 2020, the Company sold its remaining 80,214 Visa Class B Shares and recorded a $14.2 million gain on sale. As a result of this sale, the Company no longer owns any Visa Class B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Loans and Leases and the Allowance for Credit Losses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March 31, 2021, and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3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32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2,013,981</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1,875,293</w:t>
            </w: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3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2,859,246</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2,854,829</w:t>
            </w: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Construction</w:t>
            </w:r>
          </w:p>
        </w:tc>
        <w:tc>
          <w:tcPr>
            <w:tcW w:w="32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281,164</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259,798</w:t>
            </w:r>
          </w:p>
        </w:tc>
      </w:tr>
      <w:tr>
        <w:trPr>
          <w:trHeight w:val="216"/>
        </w:trPr>
        <w:tc>
          <w:tcPr>
            <w:tcW w:w="46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Lease Financing</w:t>
            </w:r>
          </w:p>
        </w:tc>
        <w:tc>
          <w:tcPr>
            <w:tcW w:w="3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104,980</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110,766</w:t>
            </w:r>
          </w:p>
        </w:tc>
      </w:tr>
      <w:tr>
        <w:trPr>
          <w:trHeight w:val="209"/>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3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5,259,371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5,100,686</w:t>
            </w: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3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32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4,216,976</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4,130,513</w:t>
            </w: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3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1,577,500</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1,604,538</w:t>
            </w: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32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710,407</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708,800</w:t>
            </w:r>
          </w:p>
        </w:tc>
      </w:tr>
      <w:tr>
        <w:trPr>
          <w:trHeight w:val="219"/>
        </w:trPr>
        <w:tc>
          <w:tcPr>
            <w:tcW w:w="468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3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376,449</w:t>
            </w:r>
          </w:p>
        </w:tc>
        <w:tc>
          <w:tcPr>
            <w:tcW w:w="5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395,483</w:t>
            </w:r>
          </w:p>
        </w:tc>
      </w:tr>
      <w:tr>
        <w:trPr>
          <w:trHeight w:val="207"/>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3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6,881,332</w:t>
            </w:r>
          </w:p>
        </w:tc>
        <w:tc>
          <w:tcPr>
            <w:tcW w:w="5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6,839,334</w:t>
            </w:r>
          </w:p>
        </w:tc>
      </w:tr>
      <w:tr>
        <w:trPr>
          <w:trHeight w:val="210"/>
        </w:trPr>
        <w:tc>
          <w:tcPr>
            <w:tcW w:w="4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Loans and Leases</w:t>
            </w:r>
          </w:p>
        </w:tc>
        <w:tc>
          <w:tcPr>
            <w:tcW w:w="322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12,140,703</w:t>
            </w:r>
          </w:p>
        </w:tc>
        <w:tc>
          <w:tcPr>
            <w:tcW w:w="5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11,940,020</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$2.1 million and $3.2 million for the three months ended March 31, 2021, and March 31, 2020, respectively.</w:t>
      </w:r>
    </w:p>
    <w:p>
      <w:pPr>
        <w:spacing w:after="0" w:line="13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elected to exclude AIR from the amortized cost basis of loans disclosed throughout this footnote. As of March 31, 2021, and December 31, 2020, AIR for loans totaled $34.1 million and $35.9 million, respectively, and is included in the “accrued interest receivable” line item on the Company’s consolidated statements of condition.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 previously mentioned in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the CARES Act established the PPP, administered directly by the</w:t>
      </w:r>
    </w:p>
    <w:p>
      <w:pPr>
        <w:spacing w:after="0" w:line="35"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SBA. The PPP provides loans to small businesses who were affected by economic conditions as a result of COVID-19 to provide cash-flow assistance to employers who maintain their eligible costs during the COVID-19 emergency. PPP loans carry an interest rate of one percent, and a maturity of two or five years. These loans are fully guaranteed by the SBA and may be eligible for forgiveness by the SBA to the extent that the proceeds are used to cover eligible costs over a period of up to 24 weeks after the loan is made as long as certain conditions are met regarding employee retention and compensation levels. PPP loans deemed eligible for forgiveness by the SBA will be repaid by the SBA to the Company. The SBA pays the Company fees for processing</w:t>
      </w:r>
    </w:p>
    <w:p>
      <w:pPr>
        <w:spacing w:after="0" w:line="3" w:lineRule="exact"/>
        <w:rPr>
          <w:sz w:val="20"/>
          <w:szCs w:val="20"/>
          <w:color w:val="auto"/>
        </w:rPr>
      </w:pPr>
    </w:p>
    <w:p>
      <w:pPr>
        <w:ind w:right="440" w:firstLine="8"/>
        <w:spacing w:after="0" w:line="302" w:lineRule="auto"/>
        <w:tabs>
          <w:tab w:leader="none" w:pos="3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loans. These processing fees are accounted for as loan origination fees and recognized over the contractual loan term as a yield adjustment on the loans. PPP loans are included in the Commercial and Industrial loan class. As of March 31, 2021, and December 31, 2020, PPP loans totaled $744.8 million (6,911 loans) and $528.1 million (4,435 loans),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(the “Allowance”)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portfolio segment, the activity in the Allowance for the three months ended March 31, 2021, and March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Consumer</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00"/>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March 31, 2021</w:t>
            </w: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 (December 31, 2020)</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84,847</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131,405</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216,252</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(6,043)</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(6,291)</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112</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3,263</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3,375</w:t>
            </w:r>
          </w:p>
        </w:tc>
      </w:tr>
      <w:tr>
        <w:trPr>
          <w:trHeight w:val="209"/>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(2,780)</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(2,916)</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(1,900)</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(13,093)</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(14,993)</w:t>
            </w:r>
          </w:p>
        </w:tc>
      </w:tr>
      <w:tr>
        <w:trPr>
          <w:trHeight w:val="249"/>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82,811</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115,532</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198,343</w:t>
            </w:r>
          </w:p>
        </w:tc>
      </w:tr>
      <w:tr>
        <w:trPr>
          <w:trHeight w:val="199"/>
        </w:trPr>
        <w:tc>
          <w:tcPr>
            <w:tcW w:w="5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1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5560" w:type="dxa"/>
            <w:vAlign w:val="bottom"/>
          </w:tcPr>
          <w:p>
            <w:pPr>
              <w:ind w:left="260"/>
              <w:spacing w:after="0"/>
              <w:rPr>
                <w:sz w:val="20"/>
                <w:szCs w:val="20"/>
                <w:color w:val="auto"/>
              </w:rPr>
            </w:pPr>
            <w:r>
              <w:rPr>
                <w:rFonts w:ascii="Arial" w:cs="Arial" w:eastAsia="Arial" w:hAnsi="Arial"/>
                <w:sz w:val="16"/>
                <w:szCs w:val="16"/>
                <w:b w:val="1"/>
                <w:bCs w:val="1"/>
                <w:color w:val="auto"/>
              </w:rPr>
              <w:t>Allowance for Credit Losses:</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 (December 31, 2020)</w:t>
            </w: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73,801</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36,226</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110,027</w:t>
            </w:r>
          </w:p>
        </w:tc>
      </w:tr>
      <w:tr>
        <w:trPr>
          <w:trHeight w:val="213"/>
        </w:trPr>
        <w:tc>
          <w:tcPr>
            <w:tcW w:w="55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CECL Adoption (Day 1) Impact</w:t>
            </w: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(18,789)</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17,052</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w:t>
            </w:r>
          </w:p>
        </w:tc>
      </w:tr>
      <w:tr>
        <w:trPr>
          <w:trHeight w:val="213"/>
        </w:trPr>
        <w:tc>
          <w:tcPr>
            <w:tcW w:w="5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Balance at Beginning of Period (January 1, 2020)</w:t>
            </w:r>
          </w:p>
        </w:tc>
        <w:tc>
          <w:tcPr>
            <w:tcW w:w="1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55,012</w:t>
            </w: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53,278</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108,290</w:t>
            </w:r>
          </w:p>
        </w:tc>
      </w:tr>
      <w:tr>
        <w:trPr>
          <w:trHeight w:val="213"/>
        </w:trPr>
        <w:tc>
          <w:tcPr>
            <w:tcW w:w="5560" w:type="dxa"/>
            <w:vAlign w:val="bottom"/>
          </w:tcPr>
          <w:p>
            <w:pPr>
              <w:ind w:left="740"/>
              <w:spacing w:after="0"/>
              <w:rPr>
                <w:sz w:val="20"/>
                <w:szCs w:val="20"/>
                <w:color w:val="auto"/>
              </w:rPr>
            </w:pPr>
            <w:r>
              <w:rPr>
                <w:rFonts w:ascii="Arial" w:cs="Arial" w:eastAsia="Arial" w:hAnsi="Arial"/>
                <w:sz w:val="16"/>
                <w:szCs w:val="16"/>
                <w:color w:val="auto"/>
              </w:rPr>
              <w:t>Loans and Leases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(6,484)</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(7,177)</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Recoveries on Loans and Leases Previously Charged-Off</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329</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3,108</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3,437</w:t>
            </w:r>
          </w:p>
        </w:tc>
      </w:tr>
      <w:tr>
        <w:trPr>
          <w:trHeight w:val="210"/>
        </w:trPr>
        <w:tc>
          <w:tcPr>
            <w:tcW w:w="5560" w:type="dxa"/>
            <w:vAlign w:val="bottom"/>
          </w:tcPr>
          <w:p>
            <w:pPr>
              <w:ind w:left="740"/>
              <w:spacing w:after="0"/>
              <w:rPr>
                <w:sz w:val="20"/>
                <w:szCs w:val="20"/>
                <w:color w:val="auto"/>
              </w:rPr>
            </w:pPr>
            <w:r>
              <w:rPr>
                <w:rFonts w:ascii="Arial" w:cs="Arial" w:eastAsia="Arial" w:hAnsi="Arial"/>
                <w:sz w:val="16"/>
                <w:szCs w:val="16"/>
                <w:color w:val="auto"/>
              </w:rPr>
              <w:t>Net Loans and Leases Recovered (Charged-Off)</w:t>
            </w:r>
          </w:p>
        </w:tc>
        <w:tc>
          <w:tcPr>
            <w:tcW w:w="13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4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(3,376)</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(3,740)</w:t>
            </w:r>
          </w:p>
        </w:tc>
      </w:tr>
      <w:tr>
        <w:trPr>
          <w:trHeight w:val="216"/>
        </w:trPr>
        <w:tc>
          <w:tcPr>
            <w:tcW w:w="55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Provision for Credit Losses</w:t>
            </w:r>
          </w:p>
        </w:tc>
        <w:tc>
          <w:tcPr>
            <w:tcW w:w="1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13,339</w:t>
            </w:r>
          </w:p>
        </w:tc>
        <w:tc>
          <w:tcPr>
            <w:tcW w:w="4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20,261</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33,600</w:t>
            </w:r>
          </w:p>
        </w:tc>
      </w:tr>
      <w:tr>
        <w:trPr>
          <w:trHeight w:val="209"/>
        </w:trPr>
        <w:tc>
          <w:tcPr>
            <w:tcW w:w="55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Balance at End of Period</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67,987</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70,163</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138,150</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18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Pass:</w:t>
            </w:r>
          </w:p>
        </w:tc>
        <w:tc>
          <w:tcPr>
            <w:tcW w:w="9420" w:type="dxa"/>
            <w:vAlign w:val="bottom"/>
          </w:tcPr>
          <w:p>
            <w:pPr>
              <w:ind w:left="220"/>
              <w:spacing w:after="0"/>
              <w:rPr>
                <w:sz w:val="20"/>
                <w:szCs w:val="20"/>
                <w:color w:val="auto"/>
              </w:rPr>
            </w:pPr>
            <w:r>
              <w:rPr>
                <w:rFonts w:ascii="Arial" w:cs="Arial" w:eastAsia="Arial" w:hAnsi="Arial"/>
                <w:sz w:val="18"/>
                <w:szCs w:val="18"/>
                <w:color w:val="auto"/>
                <w:w w:val="95"/>
              </w:rPr>
              <w:t>Loans and leases in all classes within the commercial and consumer portfolio segments that are not adversely rated, are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0"/>
              </w:rPr>
              <w:t>contractually current as to principal and interest, and are otherwise in compliance with the contractual terms of the loan or lease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3"/>
              </w:rPr>
              <w:t>agreement. Management believes that there is a low likelihood of loss related to those loans and leases that are considered</w:t>
            </w:r>
          </w:p>
        </w:tc>
      </w:tr>
      <w:tr>
        <w:trPr>
          <w:trHeight w:val="230"/>
        </w:trPr>
        <w:tc>
          <w:tcPr>
            <w:tcW w:w="18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rPr>
              <w:t>Pass.</w:t>
            </w:r>
          </w:p>
        </w:tc>
      </w:tr>
      <w:tr>
        <w:trPr>
          <w:trHeight w:val="377"/>
        </w:trPr>
        <w:tc>
          <w:tcPr>
            <w:tcW w:w="1820" w:type="dxa"/>
            <w:vAlign w:val="bottom"/>
          </w:tcPr>
          <w:p>
            <w:pPr>
              <w:ind w:left="380"/>
              <w:spacing w:after="0"/>
              <w:rPr>
                <w:sz w:val="20"/>
                <w:szCs w:val="20"/>
                <w:color w:val="auto"/>
              </w:rPr>
            </w:pPr>
            <w:r>
              <w:rPr>
                <w:rFonts w:ascii="Arial" w:cs="Arial" w:eastAsia="Arial" w:hAnsi="Arial"/>
                <w:sz w:val="18"/>
                <w:szCs w:val="18"/>
                <w:color w:val="auto"/>
              </w:rPr>
              <w:t>Special Mention:</w:t>
            </w:r>
          </w:p>
        </w:tc>
        <w:tc>
          <w:tcPr>
            <w:tcW w:w="9420" w:type="dxa"/>
            <w:vAlign w:val="bottom"/>
          </w:tcPr>
          <w:p>
            <w:pPr>
              <w:ind w:left="220"/>
              <w:spacing w:after="0"/>
              <w:rPr>
                <w:sz w:val="20"/>
                <w:szCs w:val="20"/>
                <w:color w:val="auto"/>
              </w:rPr>
            </w:pPr>
            <w:r>
              <w:rPr>
                <w:rFonts w:ascii="Arial" w:cs="Arial" w:eastAsia="Arial" w:hAnsi="Arial"/>
                <w:sz w:val="18"/>
                <w:szCs w:val="18"/>
                <w:color w:val="auto"/>
                <w:w w:val="98"/>
              </w:rPr>
              <w:t>Loans and leases in all classes within the commercial portfolio segment that have potential weaknesses that deserve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5"/>
              </w:rPr>
              <w:t>management’s close attention. If not addressed, these potential weaknesses may result in deterioration of the repayment</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89"/>
              </w:rPr>
              <w:t>prospects for the loan or lease. Management believes that there is a moderate likelihood of some loss related to those loans and</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leases that are considered Special Mention. The Special Mention credit quality indicator is not used for the consumer portfolio</w:t>
            </w:r>
          </w:p>
        </w:tc>
      </w:tr>
      <w:tr>
        <w:trPr>
          <w:trHeight w:val="230"/>
        </w:trPr>
        <w:tc>
          <w:tcPr>
            <w:tcW w:w="18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rPr>
              <w:t>segment.</w:t>
            </w:r>
          </w:p>
        </w:tc>
      </w:tr>
      <w:tr>
        <w:trPr>
          <w:trHeight w:val="377"/>
        </w:trPr>
        <w:tc>
          <w:tcPr>
            <w:tcW w:w="1820" w:type="dxa"/>
            <w:vAlign w:val="bottom"/>
          </w:tcPr>
          <w:p>
            <w:pPr>
              <w:ind w:left="380"/>
              <w:spacing w:after="0"/>
              <w:rPr>
                <w:sz w:val="20"/>
                <w:szCs w:val="20"/>
                <w:color w:val="auto"/>
              </w:rPr>
            </w:pPr>
            <w:r>
              <w:rPr>
                <w:rFonts w:ascii="Arial" w:cs="Arial" w:eastAsia="Arial" w:hAnsi="Arial"/>
                <w:sz w:val="18"/>
                <w:szCs w:val="18"/>
                <w:color w:val="auto"/>
              </w:rPr>
              <w:t>Classified:</w:t>
            </w:r>
          </w:p>
        </w:tc>
        <w:tc>
          <w:tcPr>
            <w:tcW w:w="9420" w:type="dxa"/>
            <w:vAlign w:val="bottom"/>
          </w:tcPr>
          <w:p>
            <w:pPr>
              <w:ind w:left="220"/>
              <w:spacing w:after="0"/>
              <w:rPr>
                <w:sz w:val="20"/>
                <w:szCs w:val="20"/>
                <w:color w:val="auto"/>
              </w:rPr>
            </w:pPr>
            <w:r>
              <w:rPr>
                <w:rFonts w:ascii="Arial" w:cs="Arial" w:eastAsia="Arial" w:hAnsi="Arial"/>
                <w:sz w:val="18"/>
                <w:szCs w:val="18"/>
                <w:color w:val="auto"/>
                <w:w w:val="89"/>
              </w:rPr>
              <w:t>Loans and leases in the classes within the commercial portfolio segment that are inadequately protected by the sound worth and</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3"/>
              </w:rPr>
              <w:t>paying capacity of the borrower or of the collateral pledged, if any. Classified loans and leases are also those in the classes</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within the consumer portfolio segment that are past due 90 days or more as to principal or interest. Residential mortgage loans</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that are past due 90 days or more as to principal or interest may be considered Pass if the current loan-to-value ratio is 60% or</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6"/>
              </w:rPr>
              <w:t>less. Home equity loans that are past due 90 days or more as to principal or interest may be considered Pass if the first</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3"/>
              </w:rPr>
              <w:t>mortgage is with the Company and the current combined loan-to-value ratio is 60% or less. Residential mortgage and home</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3"/>
              </w:rPr>
              <w:t>equity loans may be current as to principal and interest, but may be considered Classified for a period of generally up to six</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7"/>
              </w:rPr>
              <w:t>months following a loan modification. Following a period of demonstrated performance in accordance with the modified</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1"/>
              </w:rPr>
              <w:t>contractual terms, the loan may be removed from Classified status. Management believes that there is a distinct possibility that</w:t>
            </w:r>
          </w:p>
        </w:tc>
      </w:tr>
      <w:tr>
        <w:trPr>
          <w:trHeight w:val="216"/>
        </w:trPr>
        <w:tc>
          <w:tcPr>
            <w:tcW w:w="1820" w:type="dxa"/>
            <w:vAlign w:val="bottom"/>
          </w:tcPr>
          <w:p>
            <w:pPr>
              <w:spacing w:after="0"/>
              <w:rPr>
                <w:sz w:val="18"/>
                <w:szCs w:val="18"/>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w w:val="95"/>
              </w:rPr>
              <w:t>the Company will sustain some loss if the deficiencies related to Classified loans and leases are not corrected in a timely</w:t>
            </w:r>
          </w:p>
        </w:tc>
      </w:tr>
      <w:tr>
        <w:trPr>
          <w:trHeight w:val="230"/>
        </w:trPr>
        <w:tc>
          <w:tcPr>
            <w:tcW w:w="1820" w:type="dxa"/>
            <w:vAlign w:val="bottom"/>
          </w:tcPr>
          <w:p>
            <w:pPr>
              <w:spacing w:after="0"/>
              <w:rPr>
                <w:sz w:val="20"/>
                <w:szCs w:val="20"/>
                <w:color w:val="auto"/>
              </w:rPr>
            </w:pPr>
          </w:p>
        </w:tc>
        <w:tc>
          <w:tcPr>
            <w:tcW w:w="9420" w:type="dxa"/>
            <w:vAlign w:val="bottom"/>
          </w:tcPr>
          <w:p>
            <w:pPr>
              <w:ind w:left="220"/>
              <w:spacing w:after="0"/>
              <w:rPr>
                <w:sz w:val="20"/>
                <w:szCs w:val="20"/>
                <w:color w:val="auto"/>
              </w:rPr>
            </w:pPr>
            <w:r>
              <w:rPr>
                <w:rFonts w:ascii="Arial" w:cs="Arial" w:eastAsia="Arial" w:hAnsi="Arial"/>
                <w:sz w:val="18"/>
                <w:szCs w:val="18"/>
                <w:color w:val="auto"/>
              </w:rPr>
              <w:t>manner.</w:t>
            </w:r>
          </w:p>
        </w:tc>
      </w:tr>
      <w:tr>
        <w:trPr>
          <w:trHeight w:val="418"/>
        </w:trPr>
        <w:tc>
          <w:tcPr>
            <w:tcW w:w="1820" w:type="dxa"/>
            <w:vAlign w:val="bottom"/>
          </w:tcPr>
          <w:p>
            <w:pPr>
              <w:spacing w:after="0"/>
              <w:rPr>
                <w:sz w:val="24"/>
                <w:szCs w:val="24"/>
                <w:color w:val="auto"/>
              </w:rPr>
            </w:pPr>
          </w:p>
        </w:tc>
        <w:tc>
          <w:tcPr>
            <w:tcW w:w="9420" w:type="dxa"/>
            <w:vAlign w:val="bottom"/>
          </w:tcPr>
          <w:p>
            <w:pPr>
              <w:ind w:left="3720"/>
              <w:spacing w:after="0"/>
              <w:rPr>
                <w:sz w:val="20"/>
                <w:szCs w:val="20"/>
                <w:color w:val="auto"/>
              </w:rPr>
            </w:pPr>
            <w:r>
              <w:rPr>
                <w:rFonts w:ascii="Arial" w:cs="Arial" w:eastAsia="Arial" w:hAnsi="Arial"/>
                <w:sz w:val="18"/>
                <w:szCs w:val="18"/>
                <w:color w:val="auto"/>
              </w:rPr>
              <w:t>21</w:t>
            </w:r>
          </w:p>
        </w:tc>
      </w:tr>
      <w:tr>
        <w:trPr>
          <w:trHeight w:val="115"/>
        </w:trPr>
        <w:tc>
          <w:tcPr>
            <w:tcW w:w="1820" w:type="dxa"/>
            <w:vAlign w:val="bottom"/>
            <w:tcBorders>
              <w:bottom w:val="single" w:sz="8" w:color="9A9A9A"/>
            </w:tcBorders>
          </w:tcPr>
          <w:p>
            <w:pPr>
              <w:spacing w:after="0"/>
              <w:rPr>
                <w:sz w:val="10"/>
                <w:szCs w:val="10"/>
                <w:color w:val="auto"/>
              </w:rPr>
            </w:pPr>
          </w:p>
        </w:tc>
        <w:tc>
          <w:tcPr>
            <w:tcW w:w="9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For pass rated credits, risk ratings are certified at a minimum annually. For special mention or classified credits, risk ratings are reviewed for appropriateness on an ongoing basis, monthly, or at a minimum, quarterly. The following presents by credit quality indicator, loan class, and year of origination, the amortized cost basis of the Company’s loans and leases as of March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6"/>
                <w:szCs w:val="16"/>
                <w:b w:val="1"/>
                <w:bCs w:val="1"/>
                <w:color w:val="auto"/>
                <w:w w:val="93"/>
              </w:rPr>
              <w:t>Term Loans by Origination Year</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w w:val="88"/>
              </w:rPr>
              <w:t>Revolving</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7"/>
              <w:spacing w:after="0"/>
              <w:rPr>
                <w:sz w:val="20"/>
                <w:szCs w:val="20"/>
                <w:color w:val="auto"/>
              </w:rPr>
            </w:pPr>
            <w:r>
              <w:rPr>
                <w:rFonts w:ascii="Arial" w:cs="Arial" w:eastAsia="Arial" w:hAnsi="Arial"/>
                <w:sz w:val="16"/>
                <w:szCs w:val="16"/>
                <w:b w:val="1"/>
                <w:bCs w:val="1"/>
                <w:color w:val="auto"/>
              </w:rPr>
              <w:t>YTD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Converted</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3"/>
        </w:trPr>
        <w:tc>
          <w:tcPr>
            <w:tcW w:w="222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w w:val="88"/>
              </w:rPr>
              <w:t>Revolving</w:t>
            </w: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rPr>
              <w:t>to Term</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Loans</w:t>
            </w:r>
          </w:p>
        </w:tc>
      </w:tr>
      <w:tr>
        <w:trPr>
          <w:trHeight w:val="213"/>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Prior</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and Leases</w:t>
            </w:r>
          </w:p>
        </w:tc>
      </w:tr>
      <w:tr>
        <w:trPr>
          <w:trHeight w:val="212"/>
        </w:trPr>
        <w:tc>
          <w:tcPr>
            <w:tcW w:w="2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and Industrial</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338,648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868,969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116,796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116,999</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42,553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106,466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295,977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720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1,887,128</w:t>
            </w: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88</w:t>
            </w: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32,548</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2,040</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364</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27,586</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62,666</w:t>
            </w: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270</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8,477</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13,656</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711</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18,864</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22,011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91</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64,187</w:t>
            </w:r>
          </w:p>
        </w:tc>
      </w:tr>
      <w:tr>
        <w:trPr>
          <w:trHeight w:val="137"/>
        </w:trPr>
        <w:tc>
          <w:tcPr>
            <w:tcW w:w="222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Commercial and</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22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Industrial</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339,006</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909,994</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118,943</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130,655</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43,264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125,694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345,574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851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2,013,981</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ind w:left="260"/>
              <w:spacing w:after="0" w:line="143" w:lineRule="exact"/>
              <w:rPr>
                <w:sz w:val="20"/>
                <w:szCs w:val="20"/>
                <w:color w:val="auto"/>
              </w:rPr>
            </w:pPr>
            <w:r>
              <w:rPr>
                <w:rFonts w:ascii="Arial" w:cs="Arial" w:eastAsia="Arial" w:hAnsi="Arial"/>
                <w:sz w:val="14"/>
                <w:szCs w:val="14"/>
                <w:color w:val="auto"/>
              </w:rPr>
              <w:t>Commercial Mortgage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150,533</w:t>
            </w:r>
          </w:p>
        </w:tc>
        <w:tc>
          <w:tcPr>
            <w:tcW w:w="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830,847</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409,973</w:t>
            </w: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340,907</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224,916</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651,705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73,919</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2,682,800</w:t>
            </w: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2,101</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87,109</w:t>
            </w:r>
          </w:p>
        </w:tc>
        <w:tc>
          <w:tcPr>
            <w:tcW w:w="3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28,340</w:t>
            </w:r>
          </w:p>
        </w:tc>
        <w:tc>
          <w:tcPr>
            <w:tcW w:w="3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3,073</w:t>
            </w: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7,100</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18,364</w:t>
            </w:r>
          </w:p>
        </w:tc>
        <w:tc>
          <w:tcPr>
            <w:tcW w:w="2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146,087</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858</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15,883</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651</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272</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12,695</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30,359</w:t>
            </w:r>
          </w:p>
        </w:tc>
      </w:tr>
      <w:tr>
        <w:trPr>
          <w:trHeight w:val="137"/>
        </w:trPr>
        <w:tc>
          <w:tcPr>
            <w:tcW w:w="2220" w:type="dxa"/>
            <w:vAlign w:val="bottom"/>
          </w:tcPr>
          <w:p>
            <w:pPr>
              <w:ind w:left="260"/>
              <w:spacing w:after="0" w:line="137" w:lineRule="exact"/>
              <w:rPr>
                <w:sz w:val="20"/>
                <w:szCs w:val="20"/>
                <w:color w:val="auto"/>
              </w:rPr>
            </w:pPr>
            <w:r>
              <w:rPr>
                <w:rFonts w:ascii="Arial" w:cs="Arial" w:eastAsia="Arial" w:hAnsi="Arial"/>
                <w:sz w:val="14"/>
                <w:szCs w:val="14"/>
                <w:color w:val="auto"/>
              </w:rPr>
              <w:t>Total Commercial</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7"/>
        </w:trPr>
        <w:tc>
          <w:tcPr>
            <w:tcW w:w="22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Mortgage</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153,492</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933,839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438,964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343,980</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232,288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682,764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73,919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2,859,246</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Construction</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44,556</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106,654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89,590</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11,272</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28,198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281,164</w:t>
            </w:r>
          </w:p>
        </w:tc>
      </w:tr>
      <w:tr>
        <w:trPr>
          <w:trHeight w:val="155"/>
        </w:trPr>
        <w:tc>
          <w:tcPr>
            <w:tcW w:w="2220" w:type="dxa"/>
            <w:vAlign w:val="bottom"/>
            <w:tcBorders>
              <w:bottom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Construction</w:t>
            </w:r>
          </w:p>
        </w:tc>
        <w:tc>
          <w:tcPr>
            <w:tcW w:w="1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44,556</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106,654</w:t>
            </w:r>
          </w:p>
        </w:tc>
        <w:tc>
          <w:tcPr>
            <w:tcW w:w="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89,590</w:t>
            </w:r>
          </w:p>
        </w:tc>
        <w:tc>
          <w:tcPr>
            <w:tcW w:w="3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11,272</w:t>
            </w:r>
          </w:p>
        </w:tc>
        <w:tc>
          <w:tcPr>
            <w:tcW w:w="3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894</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28,198</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281,164</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ind w:left="260"/>
              <w:spacing w:after="0" w:line="143" w:lineRule="exact"/>
              <w:rPr>
                <w:sz w:val="20"/>
                <w:szCs w:val="20"/>
                <w:color w:val="auto"/>
              </w:rPr>
            </w:pPr>
            <w:r>
              <w:rPr>
                <w:rFonts w:ascii="Arial" w:cs="Arial" w:eastAsia="Arial" w:hAnsi="Arial"/>
                <w:sz w:val="14"/>
                <w:szCs w:val="14"/>
                <w:color w:val="auto"/>
              </w:rPr>
              <w:t>Lease Financing</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4,324</w:t>
            </w:r>
          </w:p>
        </w:tc>
        <w:tc>
          <w:tcPr>
            <w:tcW w:w="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19,212</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19,450</w:t>
            </w: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12,764</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3,441</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44,528</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103,719</w:t>
            </w: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3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3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2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961</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977</w:t>
            </w:r>
          </w:p>
        </w:tc>
      </w:tr>
      <w:tr>
        <w:trPr>
          <w:trHeight w:val="137"/>
        </w:trPr>
        <w:tc>
          <w:tcPr>
            <w:tcW w:w="2220" w:type="dxa"/>
            <w:vAlign w:val="bottom"/>
          </w:tcPr>
          <w:p>
            <w:pPr>
              <w:ind w:left="260"/>
              <w:spacing w:after="0" w:line="137" w:lineRule="exact"/>
              <w:rPr>
                <w:sz w:val="20"/>
                <w:szCs w:val="20"/>
                <w:color w:val="auto"/>
              </w:rPr>
            </w:pPr>
            <w:r>
              <w:rPr>
                <w:rFonts w:ascii="Arial" w:cs="Arial" w:eastAsia="Arial" w:hAnsi="Arial"/>
                <w:sz w:val="14"/>
                <w:szCs w:val="14"/>
                <w:color w:val="auto"/>
              </w:rPr>
              <w:t>Total Lease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7"/>
        </w:trPr>
        <w:tc>
          <w:tcPr>
            <w:tcW w:w="22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Financing</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4,324</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19,243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19,513</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13,817</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44,606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104,980</w:t>
            </w:r>
          </w:p>
        </w:tc>
      </w:tr>
      <w:tr>
        <w:trPr>
          <w:trHeight w:val="143"/>
        </w:trPr>
        <w:tc>
          <w:tcPr>
            <w:tcW w:w="222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Total Commercial</w:t>
            </w:r>
          </w:p>
        </w:tc>
        <w:tc>
          <w:tcPr>
            <w:tcW w:w="10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541,378</w:t>
            </w:r>
          </w:p>
        </w:tc>
        <w:tc>
          <w:tcPr>
            <w:tcW w:w="280" w:type="dxa"/>
            <w:vAlign w:val="bottom"/>
            <w:tcBorders>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1,969,730</w:t>
            </w:r>
          </w:p>
        </w:tc>
        <w:tc>
          <w:tcPr>
            <w:tcW w:w="3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667,010</w:t>
            </w:r>
          </w:p>
        </w:tc>
        <w:tc>
          <w:tcPr>
            <w:tcW w:w="3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499,724</w:t>
            </w:r>
          </w:p>
        </w:tc>
        <w:tc>
          <w:tcPr>
            <w:tcW w:w="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279,923</w:t>
            </w:r>
          </w:p>
        </w:tc>
        <w:tc>
          <w:tcPr>
            <w:tcW w:w="2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853,064</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447,691</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851</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5,259,371</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spacing w:after="0" w:line="143"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461,424</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1,258,849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507,084</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259,764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401,540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1,325,854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4,214,515</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294</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403</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913</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851</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2,461</w:t>
            </w:r>
          </w:p>
        </w:tc>
      </w:tr>
      <w:tr>
        <w:trPr>
          <w:trHeight w:val="137"/>
        </w:trPr>
        <w:tc>
          <w:tcPr>
            <w:tcW w:w="2220" w:type="dxa"/>
            <w:vAlign w:val="bottom"/>
          </w:tcPr>
          <w:p>
            <w:pPr>
              <w:ind w:left="260"/>
              <w:spacing w:after="0" w:line="137" w:lineRule="exact"/>
              <w:rPr>
                <w:sz w:val="20"/>
                <w:szCs w:val="20"/>
                <w:color w:val="auto"/>
              </w:rPr>
            </w:pPr>
            <w:r>
              <w:rPr>
                <w:rFonts w:ascii="Arial" w:cs="Arial" w:eastAsia="Arial" w:hAnsi="Arial"/>
                <w:sz w:val="14"/>
                <w:szCs w:val="14"/>
                <w:color w:val="auto"/>
              </w:rPr>
              <w:t>Total Residential</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7"/>
        </w:trPr>
        <w:tc>
          <w:tcPr>
            <w:tcW w:w="22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Mortgage</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461,424</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1,258,849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507,378</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260,167</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402,453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1,326,705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4,216,976</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Home Equity</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4,233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1,531,403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35,016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1,570,652</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74</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5,640</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1,134</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6,848</w:t>
            </w:r>
          </w:p>
        </w:tc>
      </w:tr>
      <w:tr>
        <w:trPr>
          <w:trHeight w:val="195"/>
        </w:trPr>
        <w:tc>
          <w:tcPr>
            <w:tcW w:w="22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Home Equity</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4,307</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1,537,043</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36,150</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1,577,500</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Automobile</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78,416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198,814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194,351</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140,735</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58,966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38,521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709,803</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128</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112</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122</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100</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604</w:t>
            </w:r>
          </w:p>
        </w:tc>
      </w:tr>
      <w:tr>
        <w:trPr>
          <w:trHeight w:val="195"/>
        </w:trPr>
        <w:tc>
          <w:tcPr>
            <w:tcW w:w="22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Automobile</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78,416</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198,956</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194,479</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140,847</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59,088</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38,621</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710,407</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1</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7"/>
              <w:spacing w:after="0"/>
              <w:rPr>
                <w:sz w:val="20"/>
                <w:szCs w:val="20"/>
                <w:color w:val="auto"/>
              </w:rPr>
            </w:pPr>
            <w:r>
              <w:rPr>
                <w:rFonts w:ascii="Arial" w:cs="Arial" w:eastAsia="Arial" w:hAnsi="Arial"/>
                <w:sz w:val="14"/>
                <w:szCs w:val="14"/>
                <w:color w:val="auto"/>
              </w:rPr>
              <w:t>23,146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65,620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132,730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81,022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32,567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9,534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29,581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1,421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375,621</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294</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218</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72</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60</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828</w:t>
            </w:r>
          </w:p>
        </w:tc>
      </w:tr>
      <w:tr>
        <w:trPr>
          <w:trHeight w:val="195"/>
        </w:trPr>
        <w:tc>
          <w:tcPr>
            <w:tcW w:w="22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color w:val="auto"/>
              </w:rPr>
              <w:t>Total Other</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23,146</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65,769</w:t>
            </w: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133,024</w:t>
            </w: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81,240</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32,639</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9,564</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29,641</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1,426</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376,449</w:t>
            </w:r>
          </w:p>
        </w:tc>
      </w:tr>
      <w:tr>
        <w:trPr>
          <w:trHeight w:val="143"/>
        </w:trPr>
        <w:tc>
          <w:tcPr>
            <w:tcW w:w="222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Total Consumer</w:t>
            </w:r>
          </w:p>
        </w:tc>
        <w:tc>
          <w:tcPr>
            <w:tcW w:w="10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562,986</w:t>
            </w:r>
          </w:p>
        </w:tc>
        <w:tc>
          <w:tcPr>
            <w:tcW w:w="280" w:type="dxa"/>
            <w:vAlign w:val="bottom"/>
            <w:tcBorders>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1,523,574</w:t>
            </w:r>
          </w:p>
        </w:tc>
        <w:tc>
          <w:tcPr>
            <w:tcW w:w="3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834,881</w:t>
            </w:r>
          </w:p>
        </w:tc>
        <w:tc>
          <w:tcPr>
            <w:tcW w:w="3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482,254</w:t>
            </w:r>
          </w:p>
        </w:tc>
        <w:tc>
          <w:tcPr>
            <w:tcW w:w="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494,180</w:t>
            </w:r>
          </w:p>
        </w:tc>
        <w:tc>
          <w:tcPr>
            <w:tcW w:w="2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1,379,197</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1,566,684</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37,576</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6,881,332</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Total Loans and Leases</w:t>
            </w:r>
          </w:p>
        </w:tc>
        <w:tc>
          <w:tcPr>
            <w:tcW w:w="1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w w:val="96"/>
              </w:rPr>
              <w:t>1,104,364</w:t>
            </w:r>
          </w:p>
        </w:tc>
        <w:tc>
          <w:tcPr>
            <w:tcW w:w="28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3,493,304</w:t>
            </w: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1,501,891</w:t>
            </w:r>
          </w:p>
        </w:tc>
        <w:tc>
          <w:tcPr>
            <w:tcW w:w="3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981,978</w:t>
            </w:r>
          </w:p>
        </w:tc>
        <w:tc>
          <w:tcPr>
            <w:tcW w:w="3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774,103</w:t>
            </w:r>
          </w:p>
        </w:tc>
        <w:tc>
          <w:tcPr>
            <w:tcW w:w="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2,232,261</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2,014,375</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38,427</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6"/>
              </w:rPr>
              <w:t>12,140,703</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March 31, 2021, and March 31, 2020, $0.9 million and $0.6 million revolving loans, respectively, were converted to term loans.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presents by credit quality indicator, loan class, and year of origination, the amortized cost basis of the Company’s loans and leases as of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6"/>
                <w:szCs w:val="16"/>
                <w:b w:val="1"/>
                <w:bCs w:val="1"/>
                <w:color w:val="auto"/>
                <w:w w:val="93"/>
              </w:rPr>
              <w:t>Term Loans by Origination Year</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w w:val="88"/>
              </w:rPr>
              <w:t>Revolving</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Converted</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w w:val="88"/>
              </w:rPr>
              <w:t>Revolving</w:t>
            </w:r>
          </w:p>
        </w:tc>
        <w:tc>
          <w:tcPr>
            <w:tcW w:w="200" w:type="dxa"/>
            <w:vAlign w:val="bottom"/>
          </w:tcPr>
          <w:p>
            <w:pPr>
              <w:spacing w:after="0"/>
              <w:rPr>
                <w:sz w:val="17"/>
                <w:szCs w:val="17"/>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rPr>
              <w:t>to Term</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Loans</w:t>
            </w:r>
          </w:p>
        </w:tc>
      </w:tr>
      <w:tr>
        <w:trPr>
          <w:trHeight w:val="213"/>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Prior</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rPr>
              <w:t>Loans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and Leases</w:t>
            </w:r>
          </w:p>
        </w:tc>
      </w:tr>
      <w:tr>
        <w:trPr>
          <w:trHeight w:val="213"/>
        </w:trPr>
        <w:tc>
          <w:tcPr>
            <w:tcW w:w="2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162"/>
        </w:trPr>
        <w:tc>
          <w:tcPr>
            <w:tcW w:w="2220" w:type="dxa"/>
            <w:vAlign w:val="bottom"/>
          </w:tcPr>
          <w:p>
            <w:pPr>
              <w:spacing w:after="0"/>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and Industrial</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944,463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149,024</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149,468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49,385</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52,354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68,269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342,339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847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1,756,149</w:t>
            </w: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11,702</w:t>
            </w: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w:t>
            </w: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32,319</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52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44,320</w:t>
            </w: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32,208</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2,266</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777</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19,166</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18,529</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125</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74,824</w:t>
            </w:r>
          </w:p>
        </w:tc>
      </w:tr>
      <w:tr>
        <w:trPr>
          <w:trHeight w:val="137"/>
        </w:trPr>
        <w:tc>
          <w:tcPr>
            <w:tcW w:w="222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Commercial and</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22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Industrial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988,373</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150,800</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151,734</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50,162</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52,483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87,530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393,187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1,024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1,875,293</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ind w:left="260"/>
              <w:spacing w:after="0" w:line="143" w:lineRule="exact"/>
              <w:rPr>
                <w:sz w:val="20"/>
                <w:szCs w:val="20"/>
                <w:color w:val="auto"/>
              </w:rPr>
            </w:pPr>
            <w:r>
              <w:rPr>
                <w:rFonts w:ascii="Arial" w:cs="Arial" w:eastAsia="Arial" w:hAnsi="Arial"/>
                <w:sz w:val="14"/>
                <w:szCs w:val="14"/>
                <w:color w:val="auto"/>
              </w:rPr>
              <w:t>Commercial Mortgage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847,676</w:t>
            </w:r>
          </w:p>
        </w:tc>
        <w:tc>
          <w:tcPr>
            <w:tcW w:w="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458,472</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350,363</w:t>
            </w: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245,157</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267,860</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425,157</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76,869</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2,671,554</w:t>
            </w:r>
          </w:p>
        </w:tc>
      </w:tr>
      <w:tr>
        <w:trPr>
          <w:trHeight w:val="162"/>
        </w:trPr>
        <w:tc>
          <w:tcPr>
            <w:tcW w:w="2220" w:type="dxa"/>
            <w:vAlign w:val="bottom"/>
          </w:tcPr>
          <w:p>
            <w:pPr>
              <w:ind w:left="50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66,523</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28,418</w:t>
            </w:r>
          </w:p>
        </w:tc>
        <w:tc>
          <w:tcPr>
            <w:tcW w:w="3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3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7,117</w:t>
            </w: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8,665</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5,035</w:t>
            </w:r>
          </w:p>
        </w:tc>
        <w:tc>
          <w:tcPr>
            <w:tcW w:w="2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116,049</w:t>
            </w:r>
          </w:p>
        </w:tc>
      </w:tr>
      <w:tr>
        <w:trPr>
          <w:trHeight w:val="162"/>
        </w:trPr>
        <w:tc>
          <w:tcPr>
            <w:tcW w:w="2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49,640</w:t>
            </w:r>
          </w:p>
        </w:tc>
        <w:tc>
          <w:tcPr>
            <w:tcW w:w="2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3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2,783</w:t>
            </w:r>
          </w:p>
        </w:tc>
        <w:tc>
          <w:tcPr>
            <w:tcW w:w="3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274</w:t>
            </w:r>
          </w:p>
        </w:tc>
        <w:tc>
          <w:tcPr>
            <w:tcW w:w="3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4,742</w:t>
            </w: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9,132</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67,226</w:t>
            </w:r>
          </w:p>
        </w:tc>
      </w:tr>
      <w:tr>
        <w:trPr>
          <w:trHeight w:val="137"/>
        </w:trPr>
        <w:tc>
          <w:tcPr>
            <w:tcW w:w="2220" w:type="dxa"/>
            <w:vAlign w:val="bottom"/>
          </w:tcPr>
          <w:p>
            <w:pPr>
              <w:ind w:left="260"/>
              <w:spacing w:after="0" w:line="137" w:lineRule="exact"/>
              <w:rPr>
                <w:sz w:val="20"/>
                <w:szCs w:val="20"/>
                <w:color w:val="auto"/>
              </w:rPr>
            </w:pPr>
            <w:r>
              <w:rPr>
                <w:rFonts w:ascii="Arial" w:cs="Arial" w:eastAsia="Arial" w:hAnsi="Arial"/>
                <w:sz w:val="14"/>
                <w:szCs w:val="14"/>
                <w:color w:val="auto"/>
              </w:rPr>
              <w:t>Total Commercial</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7"/>
        </w:trPr>
        <w:tc>
          <w:tcPr>
            <w:tcW w:w="22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Mortgage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963,839</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487,545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353,437</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252,548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281,267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439,324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76,869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2,854,829</w:t>
            </w:r>
          </w:p>
        </w:tc>
      </w:tr>
      <w:tr>
        <w:trPr>
          <w:trHeight w:val="143"/>
        </w:trPr>
        <w:tc>
          <w:tcPr>
            <w:tcW w:w="22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Construction</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Pass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106,508</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105,731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11,275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8,133</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28,151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259,798</w:t>
            </w:r>
          </w:p>
        </w:tc>
      </w:tr>
      <w:tr>
        <w:trPr>
          <w:trHeight w:val="155"/>
        </w:trPr>
        <w:tc>
          <w:tcPr>
            <w:tcW w:w="2220" w:type="dxa"/>
            <w:vAlign w:val="bottom"/>
            <w:tcBorders>
              <w:bottom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Construction</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106,508</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105,731</w:t>
            </w:r>
          </w:p>
        </w:tc>
        <w:tc>
          <w:tcPr>
            <w:tcW w:w="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11,275</w:t>
            </w:r>
          </w:p>
        </w:tc>
        <w:tc>
          <w:tcPr>
            <w:tcW w:w="3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8,133</w:t>
            </w:r>
          </w:p>
        </w:tc>
        <w:tc>
          <w:tcPr>
            <w:tcW w:w="3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28,151</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259,798</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ind w:left="260"/>
              <w:spacing w:after="0" w:line="143" w:lineRule="exact"/>
              <w:rPr>
                <w:sz w:val="20"/>
                <w:szCs w:val="20"/>
                <w:color w:val="auto"/>
              </w:rPr>
            </w:pPr>
            <w:r>
              <w:rPr>
                <w:rFonts w:ascii="Arial" w:cs="Arial" w:eastAsia="Arial" w:hAnsi="Arial"/>
                <w:sz w:val="14"/>
                <w:szCs w:val="14"/>
                <w:color w:val="auto"/>
              </w:rPr>
              <w:t>Lease Financing</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19,906</w:t>
            </w:r>
          </w:p>
        </w:tc>
        <w:tc>
          <w:tcPr>
            <w:tcW w:w="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20,132</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13,785</w:t>
            </w: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4,202</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9,657</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41,755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109,437</w:t>
            </w: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1,092</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w:t>
            </w:r>
          </w:p>
        </w:tc>
      </w:tr>
      <w:tr>
        <w:trPr>
          <w:trHeight w:val="137"/>
        </w:trPr>
        <w:tc>
          <w:tcPr>
            <w:tcW w:w="222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Lease</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2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Financing</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19,939</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20,199</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14,877</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4,244</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9,752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41,755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110,766</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22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Total Commercial</w:t>
            </w: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96"/>
              </w:rPr>
              <w:t>2,078,659</w:t>
            </w:r>
          </w:p>
        </w:tc>
        <w:tc>
          <w:tcPr>
            <w:tcW w:w="28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764,275</w:t>
            </w: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531,323</w:t>
            </w:r>
          </w:p>
        </w:tc>
        <w:tc>
          <w:tcPr>
            <w:tcW w:w="3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315,087</w:t>
            </w:r>
          </w:p>
        </w:tc>
        <w:tc>
          <w:tcPr>
            <w:tcW w:w="3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343,502</w:t>
            </w:r>
          </w:p>
        </w:tc>
        <w:tc>
          <w:tcPr>
            <w:tcW w:w="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568,609</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498,207</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1,024</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5,100,686</w:t>
            </w:r>
          </w:p>
        </w:tc>
      </w:tr>
      <w:tr>
        <w:trPr>
          <w:trHeight w:val="143"/>
        </w:trPr>
        <w:tc>
          <w:tcPr>
            <w:tcW w:w="22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Consumer</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96"/>
              </w:rPr>
              <w:t>1,300,831</w:t>
            </w:r>
          </w:p>
        </w:tc>
        <w:tc>
          <w:tcPr>
            <w:tcW w:w="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576,452</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295,522</w:t>
            </w: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454,165</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545,798</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954,120</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4,126,888</w:t>
            </w: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1,032</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2,299</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3,625</w:t>
            </w:r>
          </w:p>
        </w:tc>
      </w:tr>
      <w:tr>
        <w:trPr>
          <w:trHeight w:val="137"/>
        </w:trPr>
        <w:tc>
          <w:tcPr>
            <w:tcW w:w="2220" w:type="dxa"/>
            <w:vAlign w:val="bottom"/>
            <w:shd w:val="clear" w:color="auto" w:fill="CFF0FC"/>
          </w:tcPr>
          <w:p>
            <w:pPr>
              <w:ind w:left="260"/>
              <w:spacing w:after="0" w:line="137" w:lineRule="exact"/>
              <w:rPr>
                <w:sz w:val="20"/>
                <w:szCs w:val="20"/>
                <w:color w:val="auto"/>
              </w:rPr>
            </w:pPr>
            <w:r>
              <w:rPr>
                <w:rFonts w:ascii="Arial" w:cs="Arial" w:eastAsia="Arial" w:hAnsi="Arial"/>
                <w:sz w:val="14"/>
                <w:szCs w:val="14"/>
                <w:color w:val="auto"/>
              </w:rPr>
              <w:t>Total Residential</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r>
      <w:tr>
        <w:trPr>
          <w:trHeight w:val="167"/>
        </w:trPr>
        <w:tc>
          <w:tcPr>
            <w:tcW w:w="222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4"/>
                <w:szCs w:val="14"/>
                <w:color w:val="auto"/>
              </w:rPr>
              <w:t>Mortgage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96"/>
              </w:rPr>
              <w:t>1,300,831</w:t>
            </w:r>
          </w:p>
        </w:tc>
        <w:tc>
          <w:tcPr>
            <w:tcW w:w="2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576,746</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295,522</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455,197</w:t>
            </w:r>
          </w:p>
        </w:tc>
        <w:tc>
          <w:tcPr>
            <w:tcW w:w="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545,798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956,419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4,130,513</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ind w:left="260"/>
              <w:spacing w:after="0" w:line="143" w:lineRule="exact"/>
              <w:rPr>
                <w:sz w:val="20"/>
                <w:szCs w:val="20"/>
                <w:color w:val="auto"/>
              </w:rPr>
            </w:pPr>
            <w:r>
              <w:rPr>
                <w:rFonts w:ascii="Arial" w:cs="Arial" w:eastAsia="Arial" w:hAnsi="Arial"/>
                <w:sz w:val="14"/>
                <w:szCs w:val="14"/>
                <w:color w:val="auto"/>
              </w:rPr>
              <w:t>Home Equity</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4,449</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1,556,671</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37,559</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1,598,679</w:t>
            </w: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4,693</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1,078</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5,859</w:t>
            </w:r>
          </w:p>
        </w:tc>
      </w:tr>
      <w:tr>
        <w:trPr>
          <w:trHeight w:val="155"/>
        </w:trPr>
        <w:tc>
          <w:tcPr>
            <w:tcW w:w="2220" w:type="dxa"/>
            <w:vAlign w:val="bottom"/>
            <w:tcBorders>
              <w:bottom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Home Equity</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4,537</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1,561,364</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38,637</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1,604,538</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ind w:left="260"/>
              <w:spacing w:after="0" w:line="143" w:lineRule="exact"/>
              <w:rPr>
                <w:sz w:val="20"/>
                <w:szCs w:val="20"/>
                <w:color w:val="auto"/>
              </w:rPr>
            </w:pPr>
            <w:r>
              <w:rPr>
                <w:rFonts w:ascii="Arial" w:cs="Arial" w:eastAsia="Arial" w:hAnsi="Arial"/>
                <w:sz w:val="14"/>
                <w:szCs w:val="14"/>
                <w:color w:val="auto"/>
              </w:rPr>
              <w:t>Automobile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219,218</w:t>
            </w:r>
          </w:p>
        </w:tc>
        <w:tc>
          <w:tcPr>
            <w:tcW w:w="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213,914</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158,216</w:t>
            </w: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68,776</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33,899</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13,850</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707,873</w:t>
            </w: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r>
      <w:tr>
        <w:trPr>
          <w:trHeight w:val="155"/>
        </w:trPr>
        <w:tc>
          <w:tcPr>
            <w:tcW w:w="2220" w:type="dxa"/>
            <w:vAlign w:val="bottom"/>
            <w:tcBorders>
              <w:bottom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Automobile</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219,319</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214,159</w:t>
            </w:r>
          </w:p>
        </w:tc>
        <w:tc>
          <w:tcPr>
            <w:tcW w:w="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158,387</w:t>
            </w:r>
          </w:p>
        </w:tc>
        <w:tc>
          <w:tcPr>
            <w:tcW w:w="3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68,889</w:t>
            </w:r>
          </w:p>
        </w:tc>
        <w:tc>
          <w:tcPr>
            <w:tcW w:w="3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34,060</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13,986</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708,800</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2220" w:type="dxa"/>
            <w:vAlign w:val="bottom"/>
          </w:tcPr>
          <w:p>
            <w:pPr>
              <w:ind w:left="260"/>
              <w:spacing w:after="0" w:line="143" w:lineRule="exact"/>
              <w:rPr>
                <w:sz w:val="20"/>
                <w:szCs w:val="20"/>
                <w:color w:val="auto"/>
              </w:rPr>
            </w:pPr>
            <w:r>
              <w:rPr>
                <w:rFonts w:ascii="Arial" w:cs="Arial" w:eastAsia="Arial" w:hAnsi="Arial"/>
                <w:sz w:val="14"/>
                <w:szCs w:val="14"/>
                <w:color w:val="auto"/>
              </w:rPr>
              <w:t>Other</w:t>
            </w: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22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Pass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71,042</w:t>
            </w:r>
          </w:p>
        </w:tc>
        <w:tc>
          <w:tcPr>
            <w:tcW w:w="2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145,549</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92,993</w:t>
            </w:r>
          </w:p>
        </w:tc>
        <w:tc>
          <w:tcPr>
            <w:tcW w:w="3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39,770</w:t>
            </w:r>
          </w:p>
        </w:tc>
        <w:tc>
          <w:tcPr>
            <w:tcW w:w="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9,225</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2,189</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32,070</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4"/>
                <w:szCs w:val="14"/>
                <w:color w:val="auto"/>
              </w:rPr>
              <w:t>1,485</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394,323</w:t>
            </w:r>
          </w:p>
        </w:tc>
      </w:tr>
      <w:tr>
        <w:trPr>
          <w:trHeight w:val="162"/>
        </w:trPr>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Classified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85</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w:t>
            </w:r>
          </w:p>
        </w:tc>
      </w:tr>
      <w:tr>
        <w:trPr>
          <w:trHeight w:val="155"/>
        </w:trPr>
        <w:tc>
          <w:tcPr>
            <w:tcW w:w="2220" w:type="dxa"/>
            <w:vAlign w:val="bottom"/>
            <w:tcBorders>
              <w:bottom w:val="single" w:sz="8" w:color="auto"/>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Other</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71,093</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145,968</w:t>
            </w:r>
          </w:p>
        </w:tc>
        <w:tc>
          <w:tcPr>
            <w:tcW w:w="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93,368</w:t>
            </w:r>
          </w:p>
        </w:tc>
        <w:tc>
          <w:tcPr>
            <w:tcW w:w="3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39,937</w:t>
            </w:r>
          </w:p>
        </w:tc>
        <w:tc>
          <w:tcPr>
            <w:tcW w:w="3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9,267</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2,210</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32,155</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55" w:lineRule="exact"/>
              <w:rPr>
                <w:sz w:val="20"/>
                <w:szCs w:val="20"/>
                <w:color w:val="auto"/>
              </w:rPr>
            </w:pPr>
            <w:r>
              <w:rPr>
                <w:rFonts w:ascii="Arial" w:cs="Arial" w:eastAsia="Arial" w:hAnsi="Arial"/>
                <w:sz w:val="14"/>
                <w:szCs w:val="14"/>
                <w:color w:val="auto"/>
              </w:rPr>
              <w:t>1,485</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395,483</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222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Total Consumer</w:t>
            </w: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96"/>
              </w:rPr>
              <w:t>1,591,243</w:t>
            </w:r>
          </w:p>
        </w:tc>
        <w:tc>
          <w:tcPr>
            <w:tcW w:w="28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936,873</w:t>
            </w: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547,277</w:t>
            </w:r>
          </w:p>
        </w:tc>
        <w:tc>
          <w:tcPr>
            <w:tcW w:w="3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564,023</w:t>
            </w:r>
          </w:p>
        </w:tc>
        <w:tc>
          <w:tcPr>
            <w:tcW w:w="3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589,125</w:t>
            </w:r>
          </w:p>
        </w:tc>
        <w:tc>
          <w:tcPr>
            <w:tcW w:w="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977,152</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1,593,519</w:t>
            </w:r>
          </w:p>
        </w:tc>
        <w:tc>
          <w:tcPr>
            <w:tcW w:w="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line="143" w:lineRule="exact"/>
              <w:rPr>
                <w:sz w:val="20"/>
                <w:szCs w:val="20"/>
                <w:color w:val="auto"/>
              </w:rPr>
            </w:pPr>
            <w:r>
              <w:rPr>
                <w:rFonts w:ascii="Arial" w:cs="Arial" w:eastAsia="Arial" w:hAnsi="Arial"/>
                <w:sz w:val="14"/>
                <w:szCs w:val="14"/>
                <w:color w:val="auto"/>
              </w:rPr>
              <w:t>40,122</w:t>
            </w:r>
          </w:p>
        </w:tc>
        <w:tc>
          <w:tcPr>
            <w:tcW w:w="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6,839,334</w:t>
            </w:r>
          </w:p>
        </w:tc>
      </w:tr>
      <w:tr>
        <w:trPr>
          <w:trHeight w:val="143"/>
        </w:trPr>
        <w:tc>
          <w:tcPr>
            <w:tcW w:w="2220" w:type="dxa"/>
            <w:vAlign w:val="bottom"/>
            <w:tcBorders>
              <w:bottom w:val="single" w:sz="8" w:color="auto"/>
            </w:tcBorders>
            <w:shd w:val="clear" w:color="auto" w:fill="CFF0FC"/>
          </w:tcPr>
          <w:p>
            <w:pPr>
              <w:spacing w:after="0" w:line="143" w:lineRule="exact"/>
              <w:rPr>
                <w:sz w:val="20"/>
                <w:szCs w:val="20"/>
                <w:color w:val="auto"/>
              </w:rPr>
            </w:pPr>
            <w:r>
              <w:rPr>
                <w:rFonts w:ascii="Arial" w:cs="Arial" w:eastAsia="Arial" w:hAnsi="Arial"/>
                <w:sz w:val="14"/>
                <w:szCs w:val="14"/>
                <w:color w:val="auto"/>
              </w:rPr>
              <w:t>Total Loans and Leases</w:t>
            </w: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w w:val="96"/>
              </w:rPr>
              <w:t>3,669,902</w:t>
            </w:r>
          </w:p>
        </w:tc>
        <w:tc>
          <w:tcPr>
            <w:tcW w:w="280" w:type="dxa"/>
            <w:vAlign w:val="bottom"/>
            <w:tcBorders>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1,701,148</w:t>
            </w:r>
          </w:p>
        </w:tc>
        <w:tc>
          <w:tcPr>
            <w:tcW w:w="3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1,078,600</w:t>
            </w:r>
          </w:p>
        </w:tc>
        <w:tc>
          <w:tcPr>
            <w:tcW w:w="3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879,110</w:t>
            </w:r>
          </w:p>
        </w:tc>
        <w:tc>
          <w:tcPr>
            <w:tcW w:w="3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932,627</w:t>
            </w:r>
          </w:p>
        </w:tc>
        <w:tc>
          <w:tcPr>
            <w:tcW w:w="2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1,545,761</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2,091,726</w:t>
            </w:r>
          </w:p>
        </w:tc>
        <w:tc>
          <w:tcPr>
            <w:tcW w:w="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7"/>
              <w:spacing w:after="0" w:line="143" w:lineRule="exact"/>
              <w:rPr>
                <w:sz w:val="20"/>
                <w:szCs w:val="20"/>
                <w:color w:val="auto"/>
              </w:rPr>
            </w:pPr>
            <w:r>
              <w:rPr>
                <w:rFonts w:ascii="Arial" w:cs="Arial" w:eastAsia="Arial" w:hAnsi="Arial"/>
                <w:sz w:val="14"/>
                <w:szCs w:val="14"/>
                <w:color w:val="auto"/>
              </w:rPr>
              <w:t>41,146</w:t>
            </w:r>
          </w:p>
        </w:tc>
        <w:tc>
          <w:tcPr>
            <w:tcW w:w="2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96"/>
              </w:rPr>
              <w:t>11,940,020</w:t>
            </w: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Loans and leases are considered to be past due once becoming 30 days delinquent. For the consumer portfolio, this generally represents two missed monthly payments. The following presents by class, an aging analysis of the Company’s loan and lease portfolio as of March 31, 2021, and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Non-</w:t>
            </w:r>
          </w:p>
        </w:tc>
      </w:t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Accrual</w:t>
            </w:r>
          </w:p>
        </w:tc>
      </w:t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Loans</w:t>
            </w:r>
          </w:p>
        </w:tc>
      </w:tr>
      <w:tr>
        <w:trPr>
          <w:trHeight w:val="203"/>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30 - 59</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60 - 89</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Past Due</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Past Due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10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and Leases</w:t>
            </w:r>
          </w:p>
        </w:tc>
      </w:tr>
      <w:tr>
        <w:trPr>
          <w:trHeight w:val="199"/>
        </w:trPr>
        <w:tc>
          <w:tcPr>
            <w:tcW w:w="2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Days</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Days</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90 Days</w:t>
            </w:r>
          </w:p>
        </w:tc>
        <w:tc>
          <w:tcPr>
            <w:tcW w:w="3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Non-</w:t>
            </w:r>
          </w:p>
        </w:tc>
        <w:tc>
          <w:tcPr>
            <w:tcW w:w="2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and Non-</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Loans and</w:t>
            </w:r>
          </w:p>
        </w:tc>
        <w:tc>
          <w:tcPr>
            <w:tcW w:w="2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that are</w:t>
            </w:r>
          </w:p>
        </w:tc>
      </w:tr>
      <w:tr>
        <w:trPr>
          <w:trHeight w:val="220"/>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Past Due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Past Due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or More</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Accrual</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Accrual</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Current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Leases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
              <w:spacing w:after="0" w:line="220" w:lineRule="exact"/>
              <w:rPr>
                <w:sz w:val="20"/>
                <w:szCs w:val="20"/>
                <w:color w:val="auto"/>
              </w:rPr>
            </w:pPr>
            <w:r>
              <w:rPr>
                <w:rFonts w:ascii="Arial" w:cs="Arial" w:eastAsia="Arial" w:hAnsi="Arial"/>
                <w:sz w:val="15"/>
                <w:szCs w:val="15"/>
                <w:b w:val="1"/>
                <w:bCs w:val="1"/>
                <w:color w:val="auto"/>
              </w:rPr>
              <w:t xml:space="preserve">Current </w:t>
            </w:r>
            <w:r>
              <w:rPr>
                <w:rFonts w:ascii="Arial" w:cs="Arial" w:eastAsia="Arial" w:hAnsi="Arial"/>
                <w:sz w:val="25"/>
                <w:szCs w:val="25"/>
                <w:b w:val="1"/>
                <w:bCs w:val="1"/>
                <w:color w:val="auto"/>
                <w:vertAlign w:val="superscript"/>
              </w:rPr>
              <w:t>2</w:t>
            </w:r>
          </w:p>
        </w:tc>
      </w:tr>
      <w:tr>
        <w:trPr>
          <w:trHeight w:val="210"/>
        </w:trPr>
        <w:tc>
          <w:tcPr>
            <w:tcW w:w="2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 of March 31, 2021</w:t>
            </w: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6"/>
                <w:szCs w:val="16"/>
                <w:color w:val="auto"/>
              </w:rPr>
              <w:t>Commercial</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3,398</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3,770</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2,010,211</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2,013,981</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257</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8,503</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8,503</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2,850,743</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2,859,246</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4,959</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281,164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281,164</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13"/>
        </w:trPr>
        <w:tc>
          <w:tcPr>
            <w:tcW w:w="23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Lease Financing</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104,980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104,980</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9"/>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3,398</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70</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8,796</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12,273</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5,247,098</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5,259,371</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5,216</w:t>
            </w:r>
          </w:p>
        </w:tc>
      </w:tr>
      <w:tr>
        <w:trPr>
          <w:trHeight w:val="210"/>
        </w:trPr>
        <w:tc>
          <w:tcPr>
            <w:tcW w:w="2340" w:type="dxa"/>
            <w:vAlign w:val="bottom"/>
          </w:tcPr>
          <w:p>
            <w:pPr>
              <w:spacing w:after="0"/>
              <w:rPr>
                <w:sz w:val="20"/>
                <w:szCs w:val="20"/>
                <w:color w:val="auto"/>
              </w:rPr>
            </w:pPr>
            <w:r>
              <w:rPr>
                <w:rFonts w:ascii="Arial" w:cs="Arial" w:eastAsia="Arial" w:hAnsi="Arial"/>
                <w:sz w:val="16"/>
                <w:szCs w:val="16"/>
                <w:color w:val="auto"/>
              </w:rPr>
              <w:t>Consumer</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3,510</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3,111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4,069</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1,804</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12,494</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4,204,482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4,216,976</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404</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4,568</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2,328</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4,906</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4,951</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16,753</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1,560,747</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1,577,500</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882</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5,422</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1,157</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604</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7,183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703,224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710,407</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23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4,650</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1,237</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828</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6,715</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369,734</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376,449</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7"/>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5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18,150</w:t>
            </w: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7,833</w:t>
            </w:r>
          </w:p>
        </w:tc>
        <w:tc>
          <w:tcPr>
            <w:tcW w:w="2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10,407</w:t>
            </w:r>
          </w:p>
        </w:tc>
        <w:tc>
          <w:tcPr>
            <w:tcW w:w="3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6,755</w:t>
            </w: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43,145</w:t>
            </w: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6,838,187</w:t>
            </w: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6,881,332</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1,286</w:t>
            </w:r>
          </w:p>
        </w:tc>
      </w:tr>
      <w:tr>
        <w:trPr>
          <w:trHeight w:val="250"/>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21,548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10,416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2"/>
              </w:rPr>
              <w:t>12,085,285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12,140,703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6,502</w:t>
            </w:r>
          </w:p>
        </w:tc>
      </w:tr>
      <w:tr>
        <w:trPr>
          <w:trHeight w:val="199"/>
        </w:trPr>
        <w:tc>
          <w:tcPr>
            <w:tcW w:w="2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13"/>
        </w:trPr>
        <w:tc>
          <w:tcPr>
            <w:tcW w:w="2340" w:type="dxa"/>
            <w:vAlign w:val="bottom"/>
          </w:tcPr>
          <w:p>
            <w:pPr>
              <w:spacing w:after="0"/>
              <w:rPr>
                <w:sz w:val="20"/>
                <w:szCs w:val="20"/>
                <w:color w:val="auto"/>
              </w:rPr>
            </w:pPr>
            <w:r>
              <w:rPr>
                <w:rFonts w:ascii="Arial" w:cs="Arial" w:eastAsia="Arial" w:hAnsi="Arial"/>
                <w:sz w:val="16"/>
                <w:szCs w:val="16"/>
                <w:b w:val="1"/>
                <w:bCs w:val="1"/>
                <w:color w:val="auto"/>
              </w:rPr>
              <w:t>As of December 31, 2020</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191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1,874,602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1,875,293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8,527</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8,527</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2,846,302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2,854,829</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4,983</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Construction</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259,798</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259,798</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2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Lease Financing</w:t>
            </w:r>
          </w:p>
        </w:tc>
        <w:tc>
          <w:tcPr>
            <w:tcW w:w="5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110,766</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110,766</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10"/>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8,968</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9,218</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5,091,468</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5,100,686</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5,268</w:t>
            </w:r>
          </w:p>
        </w:tc>
      </w:tr>
      <w:tr>
        <w:trPr>
          <w:trHeight w:val="213"/>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4,049</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2,083</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5,274</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3,223</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14,629</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4,115,884</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4,130,513</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2,100</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3,423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3,378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3,187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3,958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13,946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1,590,592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1,604,538</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987</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5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6,358</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2,215</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925</w:t>
            </w:r>
          </w:p>
        </w:tc>
        <w:tc>
          <w:tcPr>
            <w:tcW w:w="30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9,498</w:t>
            </w:r>
          </w:p>
        </w:tc>
        <w:tc>
          <w:tcPr>
            <w:tcW w:w="2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699,302</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708,800</w:t>
            </w:r>
          </w:p>
        </w:tc>
        <w:tc>
          <w:tcPr>
            <w:tcW w:w="2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9"/>
        </w:trPr>
        <w:tc>
          <w:tcPr>
            <w:tcW w:w="234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2,556</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1,612</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1,160</w:t>
            </w: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5,328</w:t>
            </w: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390,155</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395,483</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07"/>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16,386</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9,288</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10,546</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7,181</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43,401</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6,795,933</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6,839,334</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3,087</w:t>
            </w:r>
          </w:p>
        </w:tc>
      </w:tr>
      <w:tr>
        <w:trPr>
          <w:trHeight w:val="210"/>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16,577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9,347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10,546</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16,149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52,619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92"/>
              </w:rPr>
              <w:t>11,887,401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11,940,020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8,355</w:t>
            </w: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ind w:left="180" w:hanging="172"/>
        <w:spacing w:after="0"/>
        <w:tabs>
          <w:tab w:leader="none" w:pos="1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Loans and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non-accrual loans and leases as of March 31, 2021, and December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w w:val="98"/>
              </w:rPr>
              <w:t>Non-accrual</w:t>
            </w:r>
          </w:p>
        </w:tc>
        <w:tc>
          <w:tcPr>
            <w:tcW w:w="200" w:type="dxa"/>
            <w:vAlign w:val="bottom"/>
          </w:tcPr>
          <w:p>
            <w:pPr>
              <w:spacing w:after="0"/>
              <w:rPr>
                <w:sz w:val="11"/>
                <w:szCs w:val="11"/>
                <w:color w:val="auto"/>
              </w:rPr>
            </w:pPr>
          </w:p>
        </w:tc>
        <w:tc>
          <w:tcPr>
            <w:tcW w:w="98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rPr>
              <w:t>Non-accrual</w:t>
            </w:r>
          </w:p>
        </w:tc>
        <w:tc>
          <w:tcPr>
            <w:tcW w:w="200" w:type="dxa"/>
            <w:vAlign w:val="bottom"/>
          </w:tcPr>
          <w:p>
            <w:pPr>
              <w:spacing w:after="0"/>
              <w:rPr>
                <w:sz w:val="11"/>
                <w:szCs w:val="11"/>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 Non-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8"/>
              </w:rPr>
              <w:t>Non-accrual</w:t>
            </w:r>
          </w:p>
        </w:tc>
        <w:tc>
          <w:tcPr>
            <w:tcW w:w="260" w:type="dxa"/>
            <w:vAlign w:val="bottom"/>
          </w:tcPr>
          <w:p>
            <w:pPr>
              <w:spacing w:after="0"/>
              <w:rPr>
                <w:sz w:val="11"/>
                <w:szCs w:val="11"/>
                <w:color w:val="auto"/>
              </w:rPr>
            </w:pPr>
          </w:p>
        </w:tc>
        <w:tc>
          <w:tcPr>
            <w:tcW w:w="1020" w:type="dxa"/>
            <w:vAlign w:val="bottom"/>
          </w:tcPr>
          <w:p>
            <w:pPr>
              <w:jc w:val="right"/>
              <w:ind w:right="88"/>
              <w:spacing w:after="0" w:line="133" w:lineRule="exact"/>
              <w:rPr>
                <w:sz w:val="20"/>
                <w:szCs w:val="20"/>
                <w:color w:val="auto"/>
              </w:rPr>
            </w:pPr>
            <w:r>
              <w:rPr>
                <w:rFonts w:ascii="Arial" w:cs="Arial" w:eastAsia="Arial" w:hAnsi="Arial"/>
                <w:sz w:val="14"/>
                <w:szCs w:val="14"/>
                <w:b w:val="1"/>
                <w:bCs w:val="1"/>
                <w:color w:val="auto"/>
              </w:rPr>
              <w:t>Non-accrual</w:t>
            </w:r>
          </w:p>
        </w:tc>
        <w:tc>
          <w:tcPr>
            <w:tcW w:w="180" w:type="dxa"/>
            <w:vAlign w:val="bottom"/>
          </w:tcPr>
          <w:p>
            <w:pPr>
              <w:spacing w:after="0"/>
              <w:rPr>
                <w:sz w:val="11"/>
                <w:szCs w:val="11"/>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 Non-</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9"/>
              </w:rPr>
              <w:t>loans with a</w:t>
            </w:r>
          </w:p>
        </w:tc>
        <w:tc>
          <w:tcPr>
            <w:tcW w:w="20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3"/>
              </w:rPr>
              <w:t>loans without</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loans with a</w:t>
            </w:r>
          </w:p>
        </w:tc>
        <w:tc>
          <w:tcPr>
            <w:tcW w:w="260" w:type="dxa"/>
            <w:vAlign w:val="bottom"/>
          </w:tcPr>
          <w:p>
            <w:pPr>
              <w:spacing w:after="0"/>
              <w:rPr>
                <w:sz w:val="12"/>
                <w:szCs w:val="12"/>
                <w:color w:val="auto"/>
              </w:rPr>
            </w:pPr>
          </w:p>
        </w:tc>
        <w:tc>
          <w:tcPr>
            <w:tcW w:w="10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3"/>
              </w:rPr>
              <w:t>loans without</w:t>
            </w: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thousands)</w:t>
            </w: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related ACL</w:t>
            </w:r>
          </w:p>
        </w:tc>
        <w:tc>
          <w:tcPr>
            <w:tcW w:w="11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a related ACL</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accrual loans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related ACL</w:t>
            </w:r>
          </w:p>
        </w:tc>
        <w:tc>
          <w:tcPr>
            <w:tcW w:w="12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a related ACL</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accrual loans</w:t>
            </w:r>
          </w:p>
        </w:tc>
        <w:tc>
          <w:tcPr>
            <w:tcW w:w="0" w:type="dxa"/>
            <w:vAlign w:val="bottom"/>
          </w:tcPr>
          <w:p>
            <w:pPr>
              <w:spacing w:after="0"/>
              <w:rPr>
                <w:sz w:val="1"/>
                <w:szCs w:val="1"/>
                <w:color w:val="auto"/>
              </w:rPr>
            </w:pPr>
          </w:p>
        </w:tc>
      </w:tr>
      <w:tr>
        <w:trPr>
          <w:trHeight w:val="156"/>
        </w:trPr>
        <w:tc>
          <w:tcPr>
            <w:tcW w:w="30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Commercial</w:t>
            </w: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Commercial and Industrial</w:t>
            </w: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Commercial Mortgage</w:t>
            </w:r>
          </w:p>
        </w:tc>
        <w:tc>
          <w:tcPr>
            <w:tcW w:w="12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8,503</w:t>
            </w:r>
          </w:p>
        </w:tc>
        <w:tc>
          <w:tcPr>
            <w:tcW w:w="2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8,503</w:t>
            </w:r>
          </w:p>
        </w:tc>
        <w:tc>
          <w:tcPr>
            <w:tcW w:w="1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8,527</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8,527</w:t>
            </w:r>
          </w:p>
        </w:tc>
        <w:tc>
          <w:tcPr>
            <w:tcW w:w="0" w:type="dxa"/>
            <w:vAlign w:val="bottom"/>
          </w:tcPr>
          <w:p>
            <w:pPr>
              <w:spacing w:after="0"/>
              <w:rPr>
                <w:sz w:val="1"/>
                <w:szCs w:val="1"/>
                <w:color w:val="auto"/>
              </w:rPr>
            </w:pPr>
          </w:p>
        </w:tc>
      </w:tr>
      <w:tr>
        <w:trPr>
          <w:trHeight w:val="155"/>
        </w:trPr>
        <w:tc>
          <w:tcPr>
            <w:tcW w:w="30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Commercial</w:t>
            </w: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8,796</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8,796</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8,968</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8,968</w:t>
            </w:r>
          </w:p>
        </w:tc>
        <w:tc>
          <w:tcPr>
            <w:tcW w:w="0" w:type="dxa"/>
            <w:vAlign w:val="bottom"/>
          </w:tcPr>
          <w:p>
            <w:pPr>
              <w:spacing w:after="0"/>
              <w:rPr>
                <w:sz w:val="1"/>
                <w:szCs w:val="1"/>
                <w:color w:val="auto"/>
              </w:rPr>
            </w:pPr>
          </w:p>
        </w:tc>
      </w:tr>
      <w:tr>
        <w:trPr>
          <w:trHeight w:val="156"/>
        </w:trPr>
        <w:tc>
          <w:tcPr>
            <w:tcW w:w="30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Consumer</w:t>
            </w: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1,679</w:t>
            </w:r>
          </w:p>
        </w:tc>
        <w:tc>
          <w:tcPr>
            <w:tcW w:w="20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2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3,096</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3,223</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Home Equity</w:t>
            </w:r>
          </w:p>
        </w:tc>
        <w:tc>
          <w:tcPr>
            <w:tcW w:w="12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4,951</w:t>
            </w:r>
          </w:p>
        </w:tc>
        <w:tc>
          <w:tcPr>
            <w:tcW w:w="2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4,951</w:t>
            </w:r>
          </w:p>
        </w:tc>
        <w:tc>
          <w:tcPr>
            <w:tcW w:w="1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3,958</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3,958</w:t>
            </w:r>
          </w:p>
        </w:tc>
        <w:tc>
          <w:tcPr>
            <w:tcW w:w="0" w:type="dxa"/>
            <w:vAlign w:val="bottom"/>
          </w:tcPr>
          <w:p>
            <w:pPr>
              <w:spacing w:after="0"/>
              <w:rPr>
                <w:sz w:val="1"/>
                <w:szCs w:val="1"/>
                <w:color w:val="auto"/>
              </w:rPr>
            </w:pPr>
          </w:p>
        </w:tc>
      </w:tr>
      <w:tr>
        <w:trPr>
          <w:trHeight w:val="155"/>
        </w:trPr>
        <w:tc>
          <w:tcPr>
            <w:tcW w:w="30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Consumer</w:t>
            </w: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6,630</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125</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6,755</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7,054</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127</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7,181</w:t>
            </w:r>
          </w:p>
        </w:tc>
        <w:tc>
          <w:tcPr>
            <w:tcW w:w="0" w:type="dxa"/>
            <w:vAlign w:val="bottom"/>
          </w:tcPr>
          <w:p>
            <w:pPr>
              <w:spacing w:after="0"/>
              <w:rPr>
                <w:sz w:val="1"/>
                <w:szCs w:val="1"/>
                <w:color w:val="auto"/>
              </w:rPr>
            </w:pPr>
          </w:p>
        </w:tc>
      </w:tr>
      <w:tr>
        <w:trPr>
          <w:trHeight w:val="156"/>
        </w:trPr>
        <w:tc>
          <w:tcPr>
            <w:tcW w:w="30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w:t>
            </w:r>
          </w:p>
        </w:tc>
        <w:tc>
          <w:tcPr>
            <w:tcW w:w="1360" w:type="dxa"/>
            <w:vAlign w:val="bottom"/>
            <w:tcBorders>
              <w:bottom w:val="single" w:sz="8" w:color="auto"/>
            </w:tcBorders>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15,426</w:t>
            </w:r>
          </w:p>
        </w:tc>
        <w:tc>
          <w:tcPr>
            <w:tcW w:w="200" w:type="dxa"/>
            <w:vAlign w:val="bottom"/>
            <w:tcBorders>
              <w:bottom w:val="single" w:sz="8" w:color="auto"/>
            </w:tcBorders>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125</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15,551</w:t>
            </w:r>
          </w:p>
        </w:tc>
        <w:tc>
          <w:tcPr>
            <w:tcW w:w="240" w:type="dxa"/>
            <w:vAlign w:val="bottom"/>
            <w:tcBorders>
              <w:bottom w:val="single" w:sz="8" w:color="auto"/>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16,022</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127</w:t>
            </w:r>
          </w:p>
        </w:tc>
        <w:tc>
          <w:tcPr>
            <w:tcW w:w="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16,149</w:t>
            </w: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All payments received while on non-accrual status are applied against the principal balance of the loan or lease. The Company does not recognize interest income while loans or leases are on non-accrual status.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modification of a loan constitutes a TDR when the Company, for economic or legal reasons related to a borrower’s financial difficulties, grants a concession to the borrower that it would not otherwise consider. Loans modified in a TDR were $84.1 million as of March 31, 2021, and $72.5 million as of December 31, 2020. There were $0.3 million and $0.5 million commitments to lend additional funds on loans modified in a TDR as of March 31, 2021, and December 31, 2020, respectively.</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fully amortizing the loan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are uniquely designed to meet the specific needs of each borrower. Automobile loans modified in a TDR are primarily comprised of loans where the Company has lowered monthly payments by extending the term.</w:t>
      </w:r>
    </w:p>
    <w:p>
      <w:pPr>
        <w:spacing w:after="0" w:line="13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class, information related to loans modified in a TDR during the three months ended March 31, 2021, and March 31,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402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93"/>
              </w:rPr>
              <w:t>Loans Modified as a TDR for the</w:t>
            </w:r>
          </w:p>
        </w:tc>
        <w:tc>
          <w:tcPr>
            <w:tcW w:w="3920" w:type="dxa"/>
            <w:vAlign w:val="bottom"/>
            <w:gridSpan w:val="5"/>
          </w:tcPr>
          <w:p>
            <w:pPr>
              <w:jc w:val="right"/>
              <w:ind w:right="799"/>
              <w:spacing w:after="0"/>
              <w:rPr>
                <w:sz w:val="20"/>
                <w:szCs w:val="20"/>
                <w:color w:val="auto"/>
              </w:rPr>
            </w:pPr>
            <w:r>
              <w:rPr>
                <w:rFonts w:ascii="Arial" w:cs="Arial" w:eastAsia="Arial" w:hAnsi="Arial"/>
                <w:sz w:val="16"/>
                <w:szCs w:val="16"/>
                <w:b w:val="1"/>
                <w:bCs w:val="1"/>
                <w:color w:val="auto"/>
              </w:rPr>
              <w:t>Loans Modified as a TDR for the</w:t>
            </w:r>
          </w:p>
        </w:tc>
      </w:tr>
      <w:tr>
        <w:trPr>
          <w:trHeight w:val="213"/>
        </w:trPr>
        <w:tc>
          <w:tcPr>
            <w:tcW w:w="3300" w:type="dxa"/>
            <w:vAlign w:val="bottom"/>
          </w:tcPr>
          <w:p>
            <w:pPr>
              <w:spacing w:after="0"/>
              <w:rPr>
                <w:sz w:val="18"/>
                <w:szCs w:val="18"/>
                <w:color w:val="auto"/>
              </w:rPr>
            </w:pPr>
          </w:p>
        </w:tc>
        <w:tc>
          <w:tcPr>
            <w:tcW w:w="402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w w:val="93"/>
              </w:rPr>
              <w:t>Three Months Ended March 31, 2021</w:t>
            </w:r>
          </w:p>
        </w:tc>
        <w:tc>
          <w:tcPr>
            <w:tcW w:w="3920" w:type="dxa"/>
            <w:vAlign w:val="bottom"/>
            <w:gridSpan w:val="5"/>
          </w:tcPr>
          <w:p>
            <w:pPr>
              <w:jc w:val="right"/>
              <w:ind w:right="659"/>
              <w:spacing w:after="0"/>
              <w:rPr>
                <w:sz w:val="20"/>
                <w:szCs w:val="20"/>
                <w:color w:val="auto"/>
              </w:rPr>
            </w:pPr>
            <w:r>
              <w:rPr>
                <w:rFonts w:ascii="Arial" w:cs="Arial" w:eastAsia="Arial" w:hAnsi="Arial"/>
                <w:sz w:val="16"/>
                <w:szCs w:val="16"/>
                <w:b w:val="1"/>
                <w:bCs w:val="1"/>
                <w:color w:val="auto"/>
              </w:rPr>
              <w:t>Three Months Ended March 31, 2020</w:t>
            </w:r>
          </w:p>
        </w:tc>
      </w:tr>
      <w:tr>
        <w:trPr>
          <w:trHeight w:val="207"/>
        </w:trPr>
        <w:tc>
          <w:tcPr>
            <w:tcW w:w="33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Increase in</w:t>
            </w: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Recorded</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Increase in</w:t>
            </w:r>
          </w:p>
        </w:tc>
      </w:tr>
      <w:tr>
        <w:trPr>
          <w:trHeight w:val="216"/>
        </w:trPr>
        <w:tc>
          <w:tcPr>
            <w:tcW w:w="3300" w:type="dxa"/>
            <w:vAlign w:val="bottom"/>
          </w:tcPr>
          <w:p>
            <w:pPr>
              <w:spacing w:after="0"/>
              <w:rPr>
                <w:sz w:val="20"/>
                <w:szCs w:val="20"/>
                <w:color w:val="auto"/>
              </w:rPr>
            </w:pPr>
            <w:r>
              <w:rPr>
                <w:rFonts w:ascii="Arial" w:cs="Arial" w:eastAsia="Arial" w:hAnsi="Arial"/>
                <w:sz w:val="16"/>
                <w:szCs w:val="16"/>
                <w:b w:val="1"/>
                <w:bCs w:val="1"/>
                <w:color w:val="auto"/>
              </w:rPr>
              <w:t>Troubled Debt Restructurings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Allowance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Allowance</w:t>
            </w:r>
          </w:p>
        </w:tc>
      </w:tr>
      <w:tr>
        <w:trPr>
          <w:trHeight w:val="205"/>
        </w:trPr>
        <w:tc>
          <w:tcPr>
            <w:tcW w:w="330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3"/>
              </w:rPr>
              <w:t>(as of period</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(as of period</w:t>
            </w:r>
          </w:p>
        </w:tc>
        <w:tc>
          <w:tcPr>
            <w:tcW w:w="2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(as of period</w:t>
            </w:r>
          </w:p>
        </w:tc>
      </w:tr>
      <w:tr>
        <w:trPr>
          <w:trHeight w:val="220"/>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end)</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Contracts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end)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end)</w:t>
            </w:r>
          </w:p>
        </w:tc>
      </w:tr>
      <w:tr>
        <w:trPr>
          <w:trHeight w:val="209"/>
        </w:trPr>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3"/>
        </w:trPr>
        <w:tc>
          <w:tcPr>
            <w:tcW w:w="33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and Industrial</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r>
      <w:tr>
        <w:trPr>
          <w:trHeight w:val="210"/>
        </w:trPr>
        <w:tc>
          <w:tcPr>
            <w:tcW w:w="3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112</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r>
      <w:tr>
        <w:trPr>
          <w:trHeight w:val="209"/>
        </w:trPr>
        <w:tc>
          <w:tcPr>
            <w:tcW w:w="3300" w:type="dxa"/>
            <w:vAlign w:val="bottom"/>
          </w:tcPr>
          <w:p>
            <w:pPr>
              <w:spacing w:after="0"/>
              <w:rPr>
                <w:sz w:val="20"/>
                <w:szCs w:val="20"/>
                <w:color w:val="auto"/>
              </w:rPr>
            </w:pPr>
            <w:r>
              <w:rPr>
                <w:rFonts w:ascii="Arial" w:cs="Arial" w:eastAsia="Arial" w:hAnsi="Arial"/>
                <w:sz w:val="16"/>
                <w:szCs w:val="16"/>
                <w:color w:val="auto"/>
              </w:rPr>
              <w:t>Consumer</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330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8,287</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893</w:t>
            </w:r>
          </w:p>
        </w:tc>
        <w:tc>
          <w:tcPr>
            <w:tcW w:w="28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219"/>
        </w:trPr>
        <w:tc>
          <w:tcPr>
            <w:tcW w:w="330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214</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1,965</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240</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w:t>
            </w:r>
          </w:p>
        </w:tc>
      </w:tr>
      <w:tr>
        <w:trPr>
          <w:trHeight w:val="207"/>
        </w:trPr>
        <w:tc>
          <w:tcPr>
            <w:tcW w:w="3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609</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10,304</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1,133</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w:t>
            </w:r>
          </w:p>
        </w:tc>
      </w:tr>
      <w:tr>
        <w:trPr>
          <w:trHeight w:val="209"/>
        </w:trPr>
        <w:tc>
          <w:tcPr>
            <w:tcW w:w="3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614</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10,416</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199</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1,232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26</w:t>
            </w: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revolving credit and installment financing.</w:t>
      </w:r>
    </w:p>
    <w:p>
      <w:pPr>
        <w:spacing w:after="0" w:line="19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presents by class, all loans modified in a TDR that defaulted during the three months ended March 31, 2021, and March 31, 2020, and within twelve months of their modification date. A TDR is considered to be in default once it becomes 60 days or more past due following a modification.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35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3380" w:type="dxa"/>
            <w:vAlign w:val="bottom"/>
            <w:gridSpan w:val="3"/>
          </w:tcPr>
          <w:p>
            <w:pPr>
              <w:jc w:val="right"/>
              <w:ind w:right="94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4340" w:type="dxa"/>
            <w:vAlign w:val="bottom"/>
          </w:tcPr>
          <w:p>
            <w:pPr>
              <w:spacing w:after="0"/>
              <w:rPr>
                <w:sz w:val="18"/>
                <w:szCs w:val="18"/>
                <w:color w:val="auto"/>
              </w:rPr>
            </w:pPr>
          </w:p>
        </w:tc>
        <w:tc>
          <w:tcPr>
            <w:tcW w:w="35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4"/>
              </w:rPr>
              <w:t>March 31, 2021</w:t>
            </w:r>
          </w:p>
        </w:tc>
        <w:tc>
          <w:tcPr>
            <w:tcW w:w="3380" w:type="dxa"/>
            <w:vAlign w:val="bottom"/>
            <w:gridSpan w:val="3"/>
          </w:tcPr>
          <w:p>
            <w:pPr>
              <w:jc w:val="right"/>
              <w:ind w:right="1140"/>
              <w:spacing w:after="0"/>
              <w:rPr>
                <w:sz w:val="20"/>
                <w:szCs w:val="20"/>
                <w:color w:val="auto"/>
              </w:rPr>
            </w:pPr>
            <w:r>
              <w:rPr>
                <w:rFonts w:ascii="Arial" w:cs="Arial" w:eastAsia="Arial" w:hAnsi="Arial"/>
                <w:sz w:val="16"/>
                <w:szCs w:val="16"/>
                <w:b w:val="1"/>
                <w:bCs w:val="1"/>
                <w:color w:val="auto"/>
              </w:rPr>
              <w:t>March 31, 2020</w:t>
            </w:r>
          </w:p>
        </w:tc>
      </w:tr>
      <w:tr>
        <w:trPr>
          <w:trHeight w:val="210"/>
        </w:trPr>
        <w:tc>
          <w:tcPr>
            <w:tcW w:w="4340" w:type="dxa"/>
            <w:vAlign w:val="bottom"/>
          </w:tcPr>
          <w:p>
            <w:pPr>
              <w:spacing w:after="0"/>
              <w:rPr>
                <w:sz w:val="20"/>
                <w:szCs w:val="20"/>
                <w:color w:val="auto"/>
              </w:rPr>
            </w:pPr>
            <w:r>
              <w:rPr>
                <w:rFonts w:ascii="Arial" w:cs="Arial" w:eastAsia="Arial" w:hAnsi="Arial"/>
                <w:sz w:val="16"/>
                <w:szCs w:val="16"/>
                <w:b w:val="1"/>
                <w:bCs w:val="1"/>
                <w:color w:val="auto"/>
              </w:rPr>
              <w:t>TDRs that Defaulted During the Period,</w:t>
            </w: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Recorded</w:t>
            </w:r>
          </w:p>
        </w:tc>
        <w:tc>
          <w:tcPr>
            <w:tcW w:w="1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Recorded</w:t>
            </w:r>
          </w:p>
        </w:tc>
      </w:tr>
      <w:tr>
        <w:trPr>
          <w:trHeight w:val="216"/>
        </w:trPr>
        <w:tc>
          <w:tcPr>
            <w:tcW w:w="4340" w:type="dxa"/>
            <w:vAlign w:val="bottom"/>
          </w:tcPr>
          <w:p>
            <w:pPr>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Investment</w:t>
            </w: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8"/>
                <w:szCs w:val="18"/>
                <w:color w:val="auto"/>
              </w:rPr>
            </w:pPr>
          </w:p>
        </w:tc>
        <w:tc>
          <w:tcPr>
            <w:tcW w:w="1480" w:type="dxa"/>
            <w:vAlign w:val="bottom"/>
          </w:tcPr>
          <w:p>
            <w:pPr>
              <w:jc w:val="right"/>
              <w:ind w:right="60"/>
              <w:spacing w:after="0"/>
              <w:rPr>
                <w:sz w:val="20"/>
                <w:szCs w:val="20"/>
                <w:color w:val="auto"/>
              </w:rPr>
            </w:pPr>
            <w:r>
              <w:rPr>
                <w:rFonts w:ascii="Arial" w:cs="Arial" w:eastAsia="Arial" w:hAnsi="Arial"/>
                <w:sz w:val="16"/>
                <w:szCs w:val="16"/>
                <w:b w:val="1"/>
                <w:bCs w:val="1"/>
                <w:color w:val="auto"/>
              </w:rPr>
              <w:t>Investment</w:t>
            </w:r>
          </w:p>
        </w:tc>
      </w:tr>
      <w:tr>
        <w:trPr>
          <w:trHeight w:val="222"/>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300"/>
              <w:spacing w:after="0" w:line="222" w:lineRule="exact"/>
              <w:rPr>
                <w:sz w:val="20"/>
                <w:szCs w:val="20"/>
                <w:color w:val="auto"/>
              </w:rPr>
            </w:pPr>
            <w:r>
              <w:rPr>
                <w:rFonts w:ascii="Arial" w:cs="Arial" w:eastAsia="Arial" w:hAnsi="Arial"/>
                <w:sz w:val="15"/>
                <w:szCs w:val="15"/>
                <w:b w:val="1"/>
                <w:bCs w:val="1"/>
                <w:color w:val="auto"/>
                <w:w w:val="96"/>
              </w:rPr>
              <w:t>(as of period end)</w:t>
            </w:r>
            <w:r>
              <w:rPr>
                <w:rFonts w:ascii="Arial" w:cs="Arial" w:eastAsia="Arial" w:hAnsi="Arial"/>
                <w:sz w:val="25"/>
                <w:szCs w:val="25"/>
                <w:b w:val="1"/>
                <w:bCs w:val="1"/>
                <w:color w:val="auto"/>
                <w:w w:val="96"/>
                <w:vertAlign w:val="superscript"/>
              </w:rPr>
              <w:t>1</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Contracts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0"/>
              <w:spacing w:after="0" w:line="222" w:lineRule="exact"/>
              <w:rPr>
                <w:sz w:val="20"/>
                <w:szCs w:val="20"/>
                <w:color w:val="auto"/>
              </w:rPr>
            </w:pPr>
            <w:r>
              <w:rPr>
                <w:rFonts w:ascii="Arial" w:cs="Arial" w:eastAsia="Arial" w:hAnsi="Arial"/>
                <w:sz w:val="15"/>
                <w:szCs w:val="15"/>
                <w:b w:val="1"/>
                <w:bCs w:val="1"/>
                <w:color w:val="auto"/>
                <w:w w:val="97"/>
              </w:rPr>
              <w:t>(as of period end)</w:t>
            </w:r>
            <w:r>
              <w:rPr>
                <w:rFonts w:ascii="Arial" w:cs="Arial" w:eastAsia="Arial" w:hAnsi="Arial"/>
                <w:sz w:val="25"/>
                <w:szCs w:val="25"/>
                <w:b w:val="1"/>
                <w:bCs w:val="1"/>
                <w:color w:val="auto"/>
                <w:w w:val="97"/>
                <w:vertAlign w:val="superscript"/>
              </w:rPr>
              <w:t>1</w:t>
            </w:r>
          </w:p>
        </w:tc>
      </w:tr>
      <w:tr>
        <w:trPr>
          <w:trHeight w:val="210"/>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434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281</w:t>
            </w:r>
          </w:p>
        </w:tc>
        <w:tc>
          <w:tcPr>
            <w:tcW w:w="180" w:type="dxa"/>
            <w:vAlign w:val="bottom"/>
          </w:tcPr>
          <w:p>
            <w:pPr>
              <w:spacing w:after="0"/>
              <w:rPr>
                <w:sz w:val="18"/>
                <w:szCs w:val="18"/>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0"/>
              <w:spacing w:after="0"/>
              <w:rPr>
                <w:sz w:val="20"/>
                <w:szCs w:val="20"/>
                <w:color w:val="auto"/>
              </w:rPr>
            </w:pPr>
            <w:r>
              <w:rPr>
                <w:rFonts w:ascii="Arial" w:cs="Arial" w:eastAsia="Arial" w:hAnsi="Arial"/>
                <w:sz w:val="16"/>
                <w:szCs w:val="16"/>
                <w:color w:val="auto"/>
              </w:rPr>
              <w:t>176</w:t>
            </w:r>
          </w:p>
        </w:tc>
      </w:tr>
      <w:tr>
        <w:trPr>
          <w:trHeight w:val="219"/>
        </w:trPr>
        <w:tc>
          <w:tcPr>
            <w:tcW w:w="434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27</w:t>
            </w: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50</w:t>
            </w:r>
          </w:p>
        </w:tc>
      </w:tr>
      <w:tr>
        <w:trPr>
          <w:trHeight w:val="206"/>
        </w:trPr>
        <w:tc>
          <w:tcPr>
            <w:tcW w:w="43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Consumer</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308</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226</w:t>
            </w:r>
          </w:p>
        </w:tc>
      </w:tr>
      <w:tr>
        <w:trPr>
          <w:trHeight w:val="210"/>
        </w:trPr>
        <w:tc>
          <w:tcPr>
            <w:tcW w:w="4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308</w:t>
            </w:r>
          </w:p>
        </w:tc>
        <w:tc>
          <w:tcPr>
            <w:tcW w:w="1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226</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revolving credit and installment financing.</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in response to COVID-19</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Company initially offered short-term loan modifications to assist borrowers during the COVID-19 national emergency. These modifications generally involve principal and/or interest payment deferrals for up to six months. As the COVID-19 pandemic persists in negatively impacting the economy, the Company continues to offer additional loan modifications to borrowers struggling as a result of COVID-19. Similar to the initial modifications granted, the additional round of loan modifications generally involve principal and/or interest payment deferrals for up to an additional six months for commercial and consumer loans, and principal-only deferrals for up to an additional 12 months for selected commercial loans. The Company generally continues to accrue and recognize interest income during the deferral period. The Company offers several repayment options such as immediate repayment, repayment over a designated time period or as a balloon payment at maturity, or by extending the loan term. These modifications generally do not involve forgiveness or interest rate reductions. See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more information.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231F20"/>
        </w:rPr>
        <w:t xml:space="preserve">The Company, as lessor, also granted short-term lease concessions on some of its sales-type finance leases for equipment and automobiles. The concessions primarily consists of six-month extension programs whereby lease payments currently due are deferred and shifted to the end of the lease term. Interest income continues to accrue, and in certain cases paid during the deferral period. Additional rounds of lease concessions were not material. </w:t>
      </w:r>
      <w:r>
        <w:rPr>
          <w:rFonts w:ascii="Arial" w:cs="Arial" w:eastAsia="Arial" w:hAnsi="Arial"/>
          <w:sz w:val="18"/>
          <w:szCs w:val="18"/>
          <w:color w:val="000000"/>
        </w:rPr>
        <w:t>See 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Summary of Significant Accounting Policies</w:t>
      </w:r>
      <w:r>
        <w:rPr>
          <w:rFonts w:ascii="Arial" w:cs="Arial" w:eastAsia="Arial" w:hAnsi="Arial"/>
          <w:sz w:val="18"/>
          <w:szCs w:val="18"/>
          <w:color w:val="231F20"/>
        </w:rPr>
        <w:t xml:space="preserve"> </w:t>
      </w:r>
      <w:r>
        <w:rPr>
          <w:rFonts w:ascii="Arial" w:cs="Arial" w:eastAsia="Arial" w:hAnsi="Arial"/>
          <w:sz w:val="18"/>
          <w:szCs w:val="18"/>
          <w:color w:val="000000"/>
        </w:rPr>
        <w:t>for more information.</w:t>
      </w:r>
    </w:p>
    <w:p>
      <w:pPr>
        <w:spacing w:after="0" w:line="160"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These COVID-19 related loan and lease modifications totaled $271.0 million (118 loans and leases) for the commercial segment and $51.1 million (419 loans and leases) for the consumer segment and $311.6 million (210 loans and leases) for the commercial segment and $178.1 million (1,920 loans and leases) for the consumer segment as of March 31, 2021, and December 31,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$1.5 million as of March 31,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189"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$2.8 billion as of March 31, 2021, and December 31, 2020, respectively.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8"/>
          <w:szCs w:val="18"/>
          <w:i w:val="1"/>
          <w:iCs w:val="1"/>
          <w:color w:val="auto"/>
        </w:rPr>
        <w:t>Fair Value of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for more information). Changes to the balance of mortgage servicing rights are recorded in mortgage banking income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14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$1.6 million and $1.9 million for the three months ended March 31, 2021, and March 31, 2020, respectively.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months ended March 31, 2021, and March 31, 2020, the change in the carrying value of the Company’s mortgage servicing rights accounted for under the fair value measurement method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Pr>
          <w:p>
            <w:pPr>
              <w:spacing w:after="0"/>
              <w:rPr>
                <w:sz w:val="17"/>
                <w:szCs w:val="17"/>
                <w:color w:val="auto"/>
              </w:rPr>
            </w:pPr>
          </w:p>
        </w:tc>
      </w:tr>
      <w:tr>
        <w:trPr>
          <w:trHeight w:val="210"/>
        </w:trPr>
        <w:tc>
          <w:tcPr>
            <w:tcW w:w="7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958</w:t>
            </w:r>
          </w:p>
        </w:tc>
        <w:tc>
          <w:tcPr>
            <w:tcW w:w="98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1,126</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Change in Fair Value:</w:t>
            </w: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7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Due to Payoffs</w:t>
            </w:r>
          </w:p>
        </w:tc>
        <w:tc>
          <w:tcPr>
            <w:tcW w:w="5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w:t>
            </w:r>
          </w:p>
        </w:tc>
        <w:tc>
          <w:tcPr>
            <w:tcW w:w="9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r>
      <w:tr>
        <w:trPr>
          <w:trHeight w:val="209"/>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Changes in Fair Value of Mortgage Servicing Rights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919</w:t>
            </w:r>
          </w:p>
        </w:tc>
        <w:tc>
          <w:tcPr>
            <w:tcW w:w="98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1,101</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months ended March 31, 2021, and March 31, 2020, the change in the carrying value of the Company’s mortgage servicing rights accounted for under the amortization method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Pr>
          <w:p>
            <w:pPr>
              <w:spacing w:after="0"/>
              <w:rPr>
                <w:sz w:val="17"/>
                <w:szCs w:val="17"/>
                <w:color w:val="auto"/>
              </w:rPr>
            </w:pPr>
          </w:p>
        </w:tc>
      </w:tr>
      <w:tr>
        <w:trPr>
          <w:trHeight w:val="210"/>
        </w:trPr>
        <w:tc>
          <w:tcPr>
            <w:tcW w:w="7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18,694</w:t>
            </w:r>
          </w:p>
        </w:tc>
        <w:tc>
          <w:tcPr>
            <w:tcW w:w="94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23,896</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Servicing Rights that Resulted From Asset Transfers</w:t>
            </w:r>
          </w:p>
        </w:tc>
        <w:tc>
          <w:tcPr>
            <w:tcW w:w="5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1,680</w:t>
            </w:r>
          </w:p>
        </w:tc>
        <w:tc>
          <w:tcPr>
            <w:tcW w:w="94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1,165</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(1,163)</w:t>
            </w: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(1,112)</w:t>
            </w:r>
          </w:p>
        </w:tc>
      </w:tr>
      <w:tr>
        <w:trPr>
          <w:trHeight w:val="213"/>
        </w:trPr>
        <w:tc>
          <w:tcPr>
            <w:tcW w:w="77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Valuation Allowance Recovery (Provision)</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2,190</w:t>
            </w: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21,401</w:t>
            </w:r>
          </w:p>
        </w:tc>
        <w:tc>
          <w:tcPr>
            <w:tcW w:w="94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21,436</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b w:val="1"/>
                <w:bCs w:val="1"/>
                <w:color w:val="auto"/>
              </w:rPr>
              <w:t>Valuation Allowance:</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(3,892)</w:t>
            </w:r>
          </w:p>
        </w:tc>
        <w:tc>
          <w:tcPr>
            <w:tcW w:w="94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Valuation Allowance Recovery (Provision)</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2,190</w:t>
            </w: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at End of Period</w:t>
            </w: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(1,702)</w:t>
            </w:r>
          </w:p>
        </w:tc>
        <w:tc>
          <w:tcPr>
            <w:tcW w:w="94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(2,513)</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5"/>
        </w:trPr>
        <w:tc>
          <w:tcPr>
            <w:tcW w:w="7720" w:type="dxa"/>
            <w:vAlign w:val="bottom"/>
          </w:tcPr>
          <w:p>
            <w:pPr>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7720" w:type="dxa"/>
            <w:vAlign w:val="bottom"/>
          </w:tcPr>
          <w:p>
            <w:pPr>
              <w:ind w:left="120"/>
              <w:spacing w:after="0"/>
              <w:rPr>
                <w:sz w:val="20"/>
                <w:szCs w:val="20"/>
                <w:color w:val="auto"/>
              </w:rPr>
            </w:pPr>
            <w:r>
              <w:rPr>
                <w:rFonts w:ascii="Arial" w:cs="Arial" w:eastAsia="Arial" w:hAnsi="Arial"/>
                <w:sz w:val="16"/>
                <w:szCs w:val="16"/>
                <w:b w:val="1"/>
                <w:bCs w:val="1"/>
                <w:color w:val="auto"/>
              </w:rPr>
              <w:t>Under the Amortization Method</w:t>
            </w: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Beginning of Period</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18,694</w:t>
            </w:r>
          </w:p>
        </w:tc>
        <w:tc>
          <w:tcPr>
            <w:tcW w:w="94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25,714</w:t>
            </w:r>
          </w:p>
        </w:tc>
      </w:tr>
      <w:tr>
        <w:trPr>
          <w:trHeight w:val="210"/>
        </w:trPr>
        <w:tc>
          <w:tcPr>
            <w:tcW w:w="7720" w:type="dxa"/>
            <w:vAlign w:val="bottom"/>
          </w:tcPr>
          <w:p>
            <w:pPr>
              <w:spacing w:after="0"/>
              <w:rPr>
                <w:sz w:val="20"/>
                <w:szCs w:val="20"/>
                <w:color w:val="auto"/>
              </w:rPr>
            </w:pPr>
            <w:r>
              <w:rPr>
                <w:rFonts w:ascii="Arial" w:cs="Arial" w:eastAsia="Arial" w:hAnsi="Arial"/>
                <w:sz w:val="16"/>
                <w:szCs w:val="16"/>
                <w:color w:val="auto"/>
              </w:rPr>
              <w:t>End of Period</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21,401</w:t>
            </w:r>
          </w:p>
        </w:tc>
        <w:tc>
          <w:tcPr>
            <w:tcW w:w="94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21,436</w:t>
            </w:r>
          </w:p>
        </w:tc>
      </w:tr>
    </w:tbl>
    <w:p>
      <w:pPr>
        <w:spacing w:after="0" w:line="20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March 31, 2021, and December 31, 2020,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3940" w:type="dxa"/>
            <w:vAlign w:val="bottom"/>
          </w:tcPr>
          <w:p>
            <w:pPr>
              <w:jc w:val="right"/>
              <w:ind w:right="459"/>
              <w:spacing w:after="0"/>
              <w:rPr>
                <w:sz w:val="20"/>
                <w:szCs w:val="20"/>
                <w:color w:val="auto"/>
              </w:rPr>
            </w:pPr>
            <w:r>
              <w:rPr>
                <w:rFonts w:ascii="Arial" w:cs="Arial" w:eastAsia="Arial" w:hAnsi="Arial"/>
                <w:sz w:val="16"/>
                <w:szCs w:val="16"/>
                <w:b w:val="1"/>
                <w:bCs w:val="1"/>
                <w:color w:val="auto"/>
              </w:rPr>
              <w:t>March 31,</w:t>
            </w:r>
          </w:p>
        </w:tc>
        <w:tc>
          <w:tcPr>
            <w:tcW w:w="150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8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3"/>
        </w:trPr>
        <w:tc>
          <w:tcPr>
            <w:tcW w:w="5800" w:type="dxa"/>
            <w:vAlign w:val="bottom"/>
            <w:shd w:val="clear" w:color="auto" w:fill="CFF0FC"/>
          </w:tcPr>
          <w:p>
            <w:pPr>
              <w:spacing w:after="0" w:line="212" w:lineRule="exact"/>
              <w:rPr>
                <w:sz w:val="20"/>
                <w:szCs w:val="20"/>
                <w:color w:val="auto"/>
              </w:rPr>
            </w:pPr>
            <w:r>
              <w:rPr>
                <w:rFonts w:ascii="Arial" w:cs="Arial" w:eastAsia="Arial" w:hAnsi="Arial"/>
                <w:sz w:val="15"/>
                <w:szCs w:val="15"/>
                <w:color w:val="auto"/>
              </w:rPr>
              <w:t xml:space="preserve">Weighted-Average Constant Prepayment Rate </w:t>
            </w:r>
            <w:r>
              <w:rPr>
                <w:rFonts w:ascii="Arial" w:cs="Arial" w:eastAsia="Arial" w:hAnsi="Arial"/>
                <w:sz w:val="24"/>
                <w:szCs w:val="24"/>
                <w:color w:val="auto"/>
                <w:vertAlign w:val="superscript"/>
              </w:rPr>
              <w:t>1</w:t>
            </w:r>
          </w:p>
        </w:tc>
        <w:tc>
          <w:tcPr>
            <w:tcW w:w="39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11.27%</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Weighted-Average Life (in years)</w:t>
            </w:r>
          </w:p>
        </w:tc>
        <w:tc>
          <w:tcPr>
            <w:tcW w:w="3940" w:type="dxa"/>
            <w:vAlign w:val="bottom"/>
          </w:tcPr>
          <w:p>
            <w:pPr>
              <w:jc w:val="right"/>
              <w:ind w:right="459"/>
              <w:spacing w:after="0"/>
              <w:rPr>
                <w:sz w:val="20"/>
                <w:szCs w:val="20"/>
                <w:color w:val="auto"/>
              </w:rPr>
            </w:pPr>
            <w:r>
              <w:rPr>
                <w:rFonts w:ascii="Arial" w:cs="Arial" w:eastAsia="Arial" w:hAnsi="Arial"/>
                <w:sz w:val="16"/>
                <w:szCs w:val="16"/>
                <w:color w:val="auto"/>
              </w:rPr>
              <w:t>6.03</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4.99</w:t>
            </w:r>
          </w:p>
        </w:tc>
      </w:tr>
      <w:tr>
        <w:trPr>
          <w:trHeight w:val="21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Note Rate</w:t>
            </w:r>
          </w:p>
        </w:tc>
        <w:tc>
          <w:tcPr>
            <w:tcW w:w="39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3.79%</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r>
      <w:tr>
        <w:trPr>
          <w:trHeight w:val="277"/>
        </w:trPr>
        <w:tc>
          <w:tcPr>
            <w:tcW w:w="5800" w:type="dxa"/>
            <w:vAlign w:val="bottom"/>
          </w:tcPr>
          <w:p>
            <w:pPr>
              <w:spacing w:after="0" w:line="276" w:lineRule="exact"/>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7"/>
                <w:szCs w:val="27"/>
                <w:color w:val="auto"/>
                <w:vertAlign w:val="superscript"/>
              </w:rPr>
              <w:t>2</w:t>
            </w:r>
          </w:p>
        </w:tc>
        <w:tc>
          <w:tcPr>
            <w:tcW w:w="3940" w:type="dxa"/>
            <w:vAlign w:val="bottom"/>
          </w:tcPr>
          <w:p>
            <w:pPr>
              <w:jc w:val="right"/>
              <w:ind w:right="299"/>
              <w:spacing w:after="0"/>
              <w:rPr>
                <w:sz w:val="20"/>
                <w:szCs w:val="20"/>
                <w:color w:val="auto"/>
              </w:rPr>
            </w:pPr>
            <w:r>
              <w:rPr>
                <w:rFonts w:ascii="Arial" w:cs="Arial" w:eastAsia="Arial" w:hAnsi="Arial"/>
                <w:sz w:val="16"/>
                <w:szCs w:val="16"/>
                <w:color w:val="auto"/>
              </w:rPr>
              <w:t>6.88%</w:t>
            </w:r>
          </w:p>
        </w:tc>
        <w:tc>
          <w:tcPr>
            <w:tcW w:w="1500" w:type="dxa"/>
            <w:vAlign w:val="bottom"/>
          </w:tcPr>
          <w:p>
            <w:pPr>
              <w:jc w:val="right"/>
              <w:spacing w:after="0"/>
              <w:rPr>
                <w:sz w:val="20"/>
                <w:szCs w:val="20"/>
                <w:color w:val="auto"/>
              </w:rPr>
            </w:pPr>
            <w:r>
              <w:rPr>
                <w:rFonts w:ascii="Arial" w:cs="Arial" w:eastAsia="Arial" w:hAnsi="Arial"/>
                <w:sz w:val="16"/>
                <w:szCs w:val="16"/>
                <w:color w:val="auto"/>
              </w:rPr>
              <w:t>5.81%</w:t>
            </w:r>
          </w:p>
        </w:tc>
      </w:tr>
    </w:tbl>
    <w:p>
      <w:pPr>
        <w:ind w:left="180" w:hanging="172"/>
        <w:spacing w:after="0" w:line="221" w:lineRule="auto"/>
        <w:tabs>
          <w:tab w:leader="none" w:pos="1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Represents annualized loan prepayment rate assumption.</w:t>
      </w:r>
    </w:p>
    <w:p>
      <w:pPr>
        <w:ind w:left="180" w:hanging="172"/>
        <w:spacing w:after="0"/>
        <w:tabs>
          <w:tab w:leader="none" w:pos="180" w:val="left"/>
        </w:tabs>
        <w:numPr>
          <w:ilvl w:val="0"/>
          <w:numId w:val="19"/>
        </w:numPr>
        <w:rPr>
          <w:rFonts w:ascii="Arial" w:cs="Arial" w:eastAsia="Arial" w:hAnsi="Arial"/>
          <w:sz w:val="12"/>
          <w:szCs w:val="12"/>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5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March 31, 2021, and December 31, 2020, is presented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0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Constant Prepayment Rate</w:t>
            </w:r>
          </w:p>
        </w:tc>
        <w:tc>
          <w:tcPr>
            <w:tcW w:w="20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6160" w:type="dxa"/>
            <w:vAlign w:val="bottom"/>
          </w:tcPr>
          <w:p>
            <w:pPr>
              <w:ind w:left="260"/>
              <w:spacing w:after="0"/>
              <w:rPr>
                <w:sz w:val="20"/>
                <w:szCs w:val="20"/>
                <w:color w:val="auto"/>
              </w:rPr>
            </w:pPr>
            <w:r>
              <w:rPr>
                <w:rFonts w:ascii="Arial" w:cs="Arial" w:eastAsia="Arial" w:hAnsi="Arial"/>
                <w:sz w:val="16"/>
                <w:szCs w:val="16"/>
                <w:color w:val="auto"/>
              </w:rPr>
              <w:t>Decrease in fair value from 25 basis points (“bps”) adverse change</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9"/>
        </w:trPr>
        <w:tc>
          <w:tcPr>
            <w:tcW w:w="6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Decrease in fair value from 50 bps adverse change</w:t>
            </w:r>
          </w:p>
        </w:tc>
        <w:tc>
          <w:tcPr>
            <w:tcW w:w="20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(498)</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Discount Rate</w:t>
            </w:r>
          </w:p>
        </w:tc>
        <w:tc>
          <w:tcPr>
            <w:tcW w:w="2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Decrease in fair value from 25 bps adverse change</w:t>
            </w:r>
          </w:p>
        </w:tc>
        <w:tc>
          <w:tcPr>
            <w:tcW w:w="20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(226)</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r>
      <w:tr>
        <w:trPr>
          <w:trHeight w:val="210"/>
        </w:trPr>
        <w:tc>
          <w:tcPr>
            <w:tcW w:w="6160" w:type="dxa"/>
            <w:vAlign w:val="bottom"/>
          </w:tcPr>
          <w:p>
            <w:pPr>
              <w:ind w:left="260"/>
              <w:spacing w:after="0"/>
              <w:rPr>
                <w:sz w:val="20"/>
                <w:szCs w:val="20"/>
                <w:color w:val="auto"/>
              </w:rPr>
            </w:pPr>
            <w:r>
              <w:rPr>
                <w:rFonts w:ascii="Arial" w:cs="Arial" w:eastAsia="Arial" w:hAnsi="Arial"/>
                <w:sz w:val="16"/>
                <w:szCs w:val="16"/>
                <w:color w:val="auto"/>
              </w:rPr>
              <w:t>Decrease in fair value from 50 bps adverse change</w:t>
            </w:r>
          </w:p>
        </w:tc>
        <w:tc>
          <w:tcPr>
            <w:tcW w:w="20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(365)</w:t>
            </w:r>
          </w:p>
        </w:tc>
      </w:tr>
    </w:tbl>
    <w:p>
      <w:pPr>
        <w:spacing w:after="0" w:line="20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18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makes equity investments in various limited partnerships or limited liability companies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5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and related unfunded commitments were $134.8 million and $138.9 million as of March 31, 2021, and December 31, 2020, respectively, and are included in other assets in the consolidated statements of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expected payments for unfunded affordable housing commitments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w:t>
            </w:r>
          </w:p>
        </w:tc>
      </w:tr>
      <w:tr>
        <w:trPr>
          <w:trHeight w:val="213"/>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426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15,122</w:t>
            </w: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2022</w:t>
            </w:r>
          </w:p>
        </w:tc>
        <w:tc>
          <w:tcPr>
            <w:tcW w:w="42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6,757</w:t>
            </w: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19,025</w:t>
            </w: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2024</w:t>
            </w:r>
          </w:p>
        </w:tc>
        <w:tc>
          <w:tcPr>
            <w:tcW w:w="42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173</w:t>
            </w: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w:t>
            </w:r>
          </w:p>
        </w:tc>
      </w:tr>
      <w:tr>
        <w:trPr>
          <w:trHeight w:val="213"/>
        </w:trPr>
        <w:tc>
          <w:tcPr>
            <w:tcW w:w="5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4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3,424</w:t>
            </w:r>
          </w:p>
        </w:tc>
      </w:tr>
      <w:tr>
        <w:trPr>
          <w:trHeight w:val="210"/>
        </w:trPr>
        <w:tc>
          <w:tcPr>
            <w:tcW w:w="5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Unfunded Commitments</w:t>
            </w:r>
          </w:p>
        </w:tc>
        <w:tc>
          <w:tcPr>
            <w:tcW w:w="426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44,557</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months ended March 31, 2021, and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Pr>
          <w:p>
            <w:pPr>
              <w:spacing w:after="0"/>
              <w:rPr>
                <w:sz w:val="17"/>
                <w:szCs w:val="17"/>
                <w:color w:val="auto"/>
              </w:rPr>
            </w:pPr>
          </w:p>
        </w:tc>
      </w:tr>
      <w:tr>
        <w:trPr>
          <w:trHeight w:val="210"/>
        </w:trPr>
        <w:tc>
          <w:tcPr>
            <w:tcW w:w="5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r>
      <w:tr>
        <w:trPr>
          <w:trHeight w:val="213"/>
        </w:trPr>
        <w:tc>
          <w:tcPr>
            <w:tcW w:w="5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Effective Yield Method</w:t>
            </w:r>
          </w:p>
        </w:tc>
        <w:tc>
          <w:tcPr>
            <w:tcW w:w="20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5720" w:type="dxa"/>
            <w:vAlign w:val="bottom"/>
          </w:tcPr>
          <w:p>
            <w:pPr>
              <w:ind w:left="260"/>
              <w:spacing w:after="0"/>
              <w:rPr>
                <w:sz w:val="20"/>
                <w:szCs w:val="20"/>
                <w:color w:val="auto"/>
              </w:rPr>
            </w:pPr>
            <w:r>
              <w:rPr>
                <w:rFonts w:ascii="Arial" w:cs="Arial" w:eastAsia="Arial" w:hAnsi="Arial"/>
                <w:sz w:val="16"/>
                <w:szCs w:val="16"/>
                <w:color w:val="auto"/>
              </w:rPr>
              <w:t>Tax credits and other tax benefits recognized</w:t>
            </w:r>
          </w:p>
        </w:tc>
        <w:tc>
          <w:tcPr>
            <w:tcW w:w="25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2,151</w:t>
            </w:r>
          </w:p>
        </w:tc>
        <w:tc>
          <w:tcPr>
            <w:tcW w:w="104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2,938</w:t>
            </w:r>
          </w:p>
        </w:tc>
      </w:tr>
      <w:tr>
        <w:trPr>
          <w:trHeight w:val="219"/>
        </w:trPr>
        <w:tc>
          <w:tcPr>
            <w:tcW w:w="5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Expense in Provision for Income Taxes</w:t>
            </w:r>
          </w:p>
        </w:tc>
        <w:tc>
          <w:tcPr>
            <w:tcW w:w="20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1,692</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2,147</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Proportional Amortization Method</w:t>
            </w: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credits and other tax benefits recognized</w:t>
            </w:r>
          </w:p>
        </w:tc>
        <w:tc>
          <w:tcPr>
            <w:tcW w:w="252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2,591</w:t>
            </w:r>
          </w:p>
        </w:tc>
        <w:tc>
          <w:tcPr>
            <w:tcW w:w="104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1,523</w:t>
            </w:r>
          </w:p>
        </w:tc>
      </w:tr>
      <w:tr>
        <w:trPr>
          <w:trHeight w:val="210"/>
        </w:trPr>
        <w:tc>
          <w:tcPr>
            <w:tcW w:w="5720" w:type="dxa"/>
            <w:vAlign w:val="bottom"/>
          </w:tcPr>
          <w:p>
            <w:pPr>
              <w:ind w:left="260"/>
              <w:spacing w:after="0"/>
              <w:rPr>
                <w:sz w:val="20"/>
                <w:szCs w:val="20"/>
                <w:color w:val="auto"/>
              </w:rPr>
            </w:pPr>
            <w:r>
              <w:rPr>
                <w:rFonts w:ascii="Arial" w:cs="Arial" w:eastAsia="Arial" w:hAnsi="Arial"/>
                <w:sz w:val="16"/>
                <w:szCs w:val="16"/>
                <w:color w:val="auto"/>
              </w:rPr>
              <w:t>Amortization Expense in Provision for Income Taxes</w:t>
            </w: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2,326</w:t>
            </w:r>
          </w:p>
        </w:tc>
        <w:tc>
          <w:tcPr>
            <w:tcW w:w="104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1,318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losses related to LIHTC investments during the three months ended March 31, 2021, and March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Offsetting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third-party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$11.6 million and $17.2 million as of March 31, 2021, and December 31, 2020, respectively. See Note 12 </w:t>
      </w:r>
      <w:r>
        <w:rPr>
          <w:rFonts w:ascii="Arial" w:cs="Arial" w:eastAsia="Arial" w:hAnsi="Arial"/>
          <w:sz w:val="17"/>
          <w:szCs w:val="17"/>
          <w:i w:val="1"/>
          <w:iCs w:val="1"/>
          <w:color w:val="auto"/>
        </w:rPr>
        <w:t>Derivative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for more information.</w:t>
      </w:r>
    </w:p>
    <w:p>
      <w:pPr>
        <w:spacing w:after="0" w:line="1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1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2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March 31, 2021, and December 31, 2020, disaggregated by the class of collateral pledged.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8"/>
          </w:tcPr>
          <w:p>
            <w:pPr>
              <w:jc w:val="right"/>
              <w:ind w:right="79"/>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820" w:type="dxa"/>
            <w:vAlign w:val="bottom"/>
            <w:tcBorders>
              <w:bottom w:val="single" w:sz="8" w:color="auto"/>
            </w:tcBorders>
          </w:tcPr>
          <w:p>
            <w:pPr>
              <w:spacing w:after="0"/>
              <w:rPr>
                <w:sz w:val="18"/>
                <w:szCs w:val="18"/>
                <w:color w:val="auto"/>
              </w:rPr>
            </w:pPr>
          </w:p>
        </w:tc>
      </w:tr>
      <w:tr>
        <w:trPr>
          <w:trHeight w:val="199"/>
        </w:trPr>
        <w:tc>
          <w:tcPr>
            <w:tcW w:w="4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Up to</w:t>
            </w:r>
          </w:p>
        </w:tc>
        <w:tc>
          <w:tcPr>
            <w:tcW w:w="44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91-365</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After</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 days</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days</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 Years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 Years</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2"/>
        </w:trPr>
        <w:tc>
          <w:tcPr>
            <w:tcW w:w="4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6"/>
                <w:szCs w:val="16"/>
                <w:b w:val="1"/>
                <w:bCs w:val="1"/>
                <w:color w:val="auto"/>
              </w:rPr>
              <w:t>Class of Collateral Pledged: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4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 Government Agencies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77,117</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17,352</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94,469</w:t>
            </w:r>
          </w:p>
        </w:tc>
      </w:tr>
      <w:tr>
        <w:trPr>
          <w:trHeight w:val="213"/>
        </w:trPr>
        <w:tc>
          <w:tcPr>
            <w:tcW w:w="45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497,883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7,648</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505,531</w:t>
            </w:r>
          </w:p>
        </w:tc>
      </w:tr>
      <w:tr>
        <w:trPr>
          <w:trHeight w:val="209"/>
        </w:trPr>
        <w:tc>
          <w:tcPr>
            <w:tcW w:w="4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575,000</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25,490</w:t>
            </w:r>
          </w:p>
        </w:tc>
        <w:tc>
          <w:tcPr>
            <w:tcW w:w="4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600,490</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Class of Collateral Pledged:</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590</w:t>
            </w:r>
          </w:p>
        </w:tc>
      </w:tr>
      <w:tr>
        <w:trPr>
          <w:trHeight w:val="219"/>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Mortgage-Backed Securities:</w:t>
            </w: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13"/>
        </w:trPr>
        <w:tc>
          <w:tcPr>
            <w:tcW w:w="4520" w:type="dxa"/>
            <w:vAlign w:val="bottom"/>
          </w:tcPr>
          <w:p>
            <w:pPr>
              <w:ind w:left="260"/>
              <w:spacing w:after="0"/>
              <w:rPr>
                <w:sz w:val="20"/>
                <w:szCs w:val="20"/>
                <w:color w:val="auto"/>
              </w:rPr>
            </w:pPr>
            <w:r>
              <w:rPr>
                <w:rFonts w:ascii="Arial" w:cs="Arial" w:eastAsia="Arial" w:hAnsi="Arial"/>
                <w:sz w:val="16"/>
                <w:szCs w:val="16"/>
                <w:color w:val="auto"/>
              </w:rPr>
              <w:t>Residential - Government Agencies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83,599</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20,210</w:t>
            </w:r>
          </w:p>
        </w:tc>
        <w:tc>
          <w:tcPr>
            <w:tcW w:w="4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103,809</w:t>
            </w:r>
          </w:p>
        </w:tc>
      </w:tr>
      <w:tr>
        <w:trPr>
          <w:trHeight w:val="216"/>
        </w:trPr>
        <w:tc>
          <w:tcPr>
            <w:tcW w:w="45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Residential - U.S. Government-Sponsored Enterprises</w:t>
            </w:r>
          </w:p>
        </w:tc>
        <w:tc>
          <w:tcPr>
            <w:tcW w:w="6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491,401</w:t>
            </w: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4,790</w:t>
            </w: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496,191</w:t>
            </w:r>
          </w:p>
        </w:tc>
      </w:tr>
      <w:tr>
        <w:trPr>
          <w:trHeight w:val="210"/>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575,000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25,490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600,590</w:t>
            </w: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March 31, 2021, and December 31, 2020. The swap agreements the Company has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(i)</w:t>
            </w:r>
          </w:p>
        </w:tc>
        <w:tc>
          <w:tcPr>
            <w:tcW w:w="10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(ii)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(iii) = (i)-(ii)</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left="759"/>
              <w:spacing w:after="0"/>
              <w:rPr>
                <w:sz w:val="20"/>
                <w:szCs w:val="20"/>
                <w:color w:val="auto"/>
              </w:rPr>
            </w:pPr>
            <w:r>
              <w:rPr>
                <w:rFonts w:ascii="Arial" w:cs="Arial" w:eastAsia="Arial" w:hAnsi="Arial"/>
                <w:sz w:val="16"/>
                <w:szCs w:val="16"/>
                <w:b w:val="1"/>
                <w:bCs w:val="1"/>
                <w:color w:val="auto"/>
                <w:w w:val="99"/>
              </w:rPr>
              <w:t>(iv)</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(v) = (iii)-(iv)</w:t>
            </w:r>
          </w:p>
        </w:tc>
      </w:tr>
      <w:tr>
        <w:trPr>
          <w:trHeight w:val="199"/>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w w:val="90"/>
              </w:rPr>
              <w:t>Gross Amounts Not Offset in</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3"/>
        </w:trPr>
        <w:tc>
          <w:tcPr>
            <w:tcW w:w="2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w w:val="89"/>
              </w:rPr>
              <w:t>the Statements of Condition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9"/>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Netting</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1"/>
              </w:rPr>
              <w:t>Gross Amounts</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w w:val="93"/>
              </w:rPr>
              <w:t>Gross Amounts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Net Amounts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Adjustments</w:t>
            </w:r>
          </w:p>
        </w:tc>
        <w:tc>
          <w:tcPr>
            <w:tcW w:w="3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Recognized in</w:t>
            </w:r>
          </w:p>
        </w:tc>
        <w:tc>
          <w:tcPr>
            <w:tcW w:w="1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Offset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Presented 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per Master</w:t>
            </w:r>
          </w:p>
        </w:tc>
        <w:tc>
          <w:tcPr>
            <w:tcW w:w="3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of Collateral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the Statements</w:t>
            </w:r>
          </w:p>
        </w:tc>
        <w:tc>
          <w:tcPr>
            <w:tcW w:w="1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the Statements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the Statements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Netting</w:t>
            </w:r>
          </w:p>
        </w:tc>
        <w:tc>
          <w:tcPr>
            <w:tcW w:w="3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Pledged/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of Condition</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of Condition</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of Condition</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Arrangements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line="216" w:lineRule="exact"/>
              <w:rPr>
                <w:sz w:val="20"/>
                <w:szCs w:val="20"/>
                <w:color w:val="auto"/>
              </w:rPr>
            </w:pPr>
            <w:r>
              <w:rPr>
                <w:rFonts w:ascii="Arial" w:cs="Arial" w:eastAsia="Arial" w:hAnsi="Arial"/>
                <w:sz w:val="15"/>
                <w:szCs w:val="15"/>
                <w:b w:val="1"/>
                <w:bCs w:val="1"/>
                <w:color w:val="auto"/>
              </w:rPr>
              <w:t xml:space="preserve">Received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Net Amount</w:t>
            </w:r>
          </w:p>
        </w:tc>
      </w:tr>
      <w:tr>
        <w:trPr>
          <w:trHeight w:val="210"/>
        </w:trPr>
        <w:tc>
          <w:tcPr>
            <w:tcW w:w="2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2700" w:type="dxa"/>
            <w:vAlign w:val="bottom"/>
          </w:tcPr>
          <w:p>
            <w:pPr>
              <w:ind w:left="260"/>
              <w:spacing w:after="0"/>
              <w:rPr>
                <w:sz w:val="20"/>
                <w:szCs w:val="20"/>
                <w:color w:val="auto"/>
              </w:rPr>
            </w:pPr>
            <w:r>
              <w:rPr>
                <w:rFonts w:ascii="Arial" w:cs="Arial" w:eastAsia="Arial" w:hAnsi="Arial"/>
                <w:sz w:val="16"/>
                <w:szCs w:val="16"/>
                <w:color w:val="auto"/>
              </w:rPr>
              <w:t>Institutional Counterparties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11,627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11,627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7,071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4,556</w:t>
            </w:r>
          </w:p>
        </w:tc>
      </w:tr>
      <w:tr>
        <w:trPr>
          <w:trHeight w:val="21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Repurchase Agreements:</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2700" w:type="dxa"/>
            <w:vAlign w:val="bottom"/>
          </w:tcPr>
          <w:p>
            <w:pPr>
              <w:ind w:left="260"/>
              <w:spacing w:after="0"/>
              <w:rPr>
                <w:sz w:val="20"/>
                <w:szCs w:val="20"/>
                <w:color w:val="auto"/>
              </w:rPr>
            </w:pPr>
            <w:r>
              <w:rPr>
                <w:rFonts w:ascii="Arial" w:cs="Arial" w:eastAsia="Arial" w:hAnsi="Arial"/>
                <w:sz w:val="16"/>
                <w:szCs w:val="16"/>
                <w:color w:val="auto"/>
              </w:rPr>
              <w:t>Private Institutions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6"/>
        </w:trPr>
        <w:tc>
          <w:tcPr>
            <w:tcW w:w="2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Government Entities</w:t>
            </w:r>
          </w:p>
        </w:tc>
        <w:tc>
          <w:tcPr>
            <w:tcW w:w="3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9"/>
        </w:trPr>
        <w:tc>
          <w:tcPr>
            <w:tcW w:w="27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600,490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600,490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600,490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2"/>
        </w:trPr>
        <w:tc>
          <w:tcPr>
            <w:tcW w:w="2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3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2700" w:type="dxa"/>
            <w:vAlign w:val="bottom"/>
          </w:tcPr>
          <w:p>
            <w:pPr>
              <w:ind w:left="260"/>
              <w:spacing w:after="0"/>
              <w:rPr>
                <w:sz w:val="20"/>
                <w:szCs w:val="20"/>
                <w:color w:val="auto"/>
              </w:rPr>
            </w:pPr>
            <w:r>
              <w:rPr>
                <w:rFonts w:ascii="Arial" w:cs="Arial" w:eastAsia="Arial" w:hAnsi="Arial"/>
                <w:sz w:val="16"/>
                <w:szCs w:val="16"/>
                <w:color w:val="auto"/>
              </w:rPr>
              <w:t>Institutional Counterparties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2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2700" w:type="dxa"/>
            <w:vAlign w:val="bottom"/>
          </w:tcPr>
          <w:p>
            <w:pPr>
              <w:ind w:left="260"/>
              <w:spacing w:after="0"/>
              <w:rPr>
                <w:sz w:val="20"/>
                <w:szCs w:val="20"/>
                <w:color w:val="auto"/>
              </w:rPr>
            </w:pPr>
            <w:r>
              <w:rPr>
                <w:rFonts w:ascii="Arial" w:cs="Arial" w:eastAsia="Arial" w:hAnsi="Arial"/>
                <w:sz w:val="16"/>
                <w:szCs w:val="16"/>
                <w:color w:val="auto"/>
              </w:rPr>
              <w:t>Interest Rate Swap Agreements: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Institutional Counterparties</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17,202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7,911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9,286</w:t>
            </w: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Repurchase Agreements: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Private Institutions</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3"/>
        </w:trPr>
        <w:tc>
          <w:tcPr>
            <w:tcW w:w="27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Government Entities</w:t>
            </w:r>
          </w:p>
        </w:tc>
        <w:tc>
          <w:tcPr>
            <w:tcW w:w="3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10"/>
        </w:trPr>
        <w:tc>
          <w:tcPr>
            <w:tcW w:w="27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600,590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600,590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600,590</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
        </w:trPr>
        <w:tc>
          <w:tcPr>
            <w:tcW w:w="2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49" w:lineRule="exact"/>
        <w:rPr>
          <w:sz w:val="20"/>
          <w:szCs w:val="20"/>
          <w:color w:val="auto"/>
        </w:rPr>
      </w:pPr>
    </w:p>
    <w:p>
      <w:pPr>
        <w:ind w:left="180" w:right="200" w:hanging="172"/>
        <w:spacing w:after="0" w:line="264" w:lineRule="auto"/>
        <w:tabs>
          <w:tab w:leader="none" w:pos="180" w:val="left"/>
        </w:tabs>
        <w:numPr>
          <w:ilvl w:val="0"/>
          <w:numId w:val="20"/>
        </w:numPr>
        <w:rPr>
          <w:rFonts w:ascii="Arial" w:cs="Arial" w:eastAsia="Arial" w:hAnsi="Arial"/>
          <w:sz w:val="11"/>
          <w:szCs w:val="11"/>
          <w:color w:val="auto"/>
        </w:rPr>
      </w:pPr>
      <w:r>
        <w:rPr>
          <w:rFonts w:ascii="Arial" w:cs="Arial" w:eastAsia="Arial" w:hAnsi="Arial"/>
          <w:sz w:val="13"/>
          <w:szCs w:val="13"/>
          <w:color w:val="auto"/>
        </w:rPr>
        <w:t>The application of collateral cannot reduce the net amount below zero. Therefore, excess collateral is not reflected in this table. For repurchase agreements with private institutions, the fair value of investment securities pledged was $631.1 million and $635.2 million as of March 31, 2021, and December 31, 2020, respectively. For repurchase agreements with government entities, the fair value of investment securities pledged was $2.2 million and $2.5 million as of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other comprehensive income (loss) for the three months ended March 31, 2021, and March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(dollars in thousands)</w:t>
            </w:r>
          </w:p>
        </w:tc>
        <w:tc>
          <w:tcPr>
            <w:tcW w:w="1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Before Tax</w:t>
            </w: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Tax Effect</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Net of Tax</w:t>
            </w:r>
          </w:p>
        </w:tc>
      </w:tr>
      <w:tr>
        <w:trPr>
          <w:trHeight w:val="169"/>
        </w:trPr>
        <w:tc>
          <w:tcPr>
            <w:tcW w:w="56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Three Months Ended March 31, 2021</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75"/>
        </w:trPr>
        <w:tc>
          <w:tcPr>
            <w:tcW w:w="5660" w:type="dxa"/>
            <w:vAlign w:val="bottom"/>
          </w:tcPr>
          <w:p>
            <w:pPr>
              <w:spacing w:after="0"/>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56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Unrealized Gains (Losses) Arising During the Period</w:t>
            </w:r>
          </w:p>
        </w:tc>
        <w:tc>
          <w:tcPr>
            <w:tcW w:w="1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(68,225)</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(18,082)</w:t>
            </w:r>
          </w:p>
        </w:tc>
        <w:tc>
          <w:tcPr>
            <w:tcW w:w="4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(50,143)</w:t>
            </w:r>
          </w:p>
        </w:tc>
      </w:tr>
      <w:tr>
        <w:trPr>
          <w:trHeight w:val="162"/>
        </w:trPr>
        <w:tc>
          <w:tcPr>
            <w:tcW w:w="5660" w:type="dxa"/>
            <w:vAlign w:val="bottom"/>
          </w:tcPr>
          <w:p>
            <w:pPr>
              <w:ind w:left="260"/>
              <w:spacing w:after="0" w:line="162" w:lineRule="exact"/>
              <w:rPr>
                <w:sz w:val="20"/>
                <w:szCs w:val="20"/>
                <w:color w:val="auto"/>
              </w:rPr>
            </w:pPr>
            <w:r>
              <w:rPr>
                <w:rFonts w:ascii="Arial" w:cs="Arial" w:eastAsia="Arial" w:hAnsi="Arial"/>
                <w:sz w:val="15"/>
                <w:szCs w:val="15"/>
                <w:color w:val="auto"/>
              </w:rPr>
              <w:t>Amounts Reclassified from Accumulated Other Comprehensive Income</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5660" w:type="dxa"/>
            <w:vAlign w:val="bottom"/>
          </w:tcPr>
          <w:p>
            <w:pPr>
              <w:ind w:left="360"/>
              <w:spacing w:after="0"/>
              <w:rPr>
                <w:sz w:val="20"/>
                <w:szCs w:val="20"/>
                <w:color w:val="auto"/>
              </w:rPr>
            </w:pPr>
            <w:r>
              <w:rPr>
                <w:rFonts w:ascii="Arial" w:cs="Arial" w:eastAsia="Arial" w:hAnsi="Arial"/>
                <w:sz w:val="15"/>
                <w:szCs w:val="15"/>
                <w:color w:val="auto"/>
              </w:rPr>
              <w:t>(Loss) that (Increase) Decrease Net Income:</w:t>
            </w: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62"/>
        </w:trPr>
        <w:tc>
          <w:tcPr>
            <w:tcW w:w="5660" w:type="dxa"/>
            <w:vAlign w:val="bottom"/>
            <w:shd w:val="clear" w:color="auto" w:fill="CFF0FC"/>
          </w:tcPr>
          <w:p>
            <w:pPr>
              <w:ind w:left="500"/>
              <w:spacing w:after="0" w:line="162" w:lineRule="exact"/>
              <w:rPr>
                <w:sz w:val="20"/>
                <w:szCs w:val="20"/>
                <w:color w:val="auto"/>
              </w:rPr>
            </w:pPr>
            <w:r>
              <w:rPr>
                <w:rFonts w:ascii="Arial" w:cs="Arial" w:eastAsia="Arial" w:hAnsi="Arial"/>
                <w:sz w:val="15"/>
                <w:szCs w:val="15"/>
                <w:color w:val="auto"/>
              </w:rPr>
              <w:t>Amortization of Unrealized Holding (Gains) Losses on Held-to-</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75"/>
        </w:trPr>
        <w:tc>
          <w:tcPr>
            <w:tcW w:w="566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5"/>
                <w:szCs w:val="15"/>
                <w:color w:val="auto"/>
              </w:rPr>
              <w:t xml:space="preserve">Maturity Securities </w:t>
            </w:r>
            <w:r>
              <w:rPr>
                <w:rFonts w:ascii="Arial" w:cs="Arial" w:eastAsia="Arial" w:hAnsi="Arial"/>
                <w:sz w:val="13"/>
                <w:szCs w:val="13"/>
                <w:color w:val="auto"/>
              </w:rPr>
              <w:t>1</w:t>
            </w:r>
          </w:p>
        </w:tc>
        <w:tc>
          <w:tcPr>
            <w:tcW w:w="1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125</w:t>
            </w: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32</w:t>
            </w:r>
          </w:p>
        </w:tc>
        <w:tc>
          <w:tcPr>
            <w:tcW w:w="4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93</w:t>
            </w:r>
          </w:p>
        </w:tc>
      </w:tr>
      <w:tr>
        <w:trPr>
          <w:trHeight w:val="169"/>
        </w:trPr>
        <w:tc>
          <w:tcPr>
            <w:tcW w:w="5660" w:type="dxa"/>
            <w:vAlign w:val="bottom"/>
          </w:tcPr>
          <w:p>
            <w:pPr>
              <w:ind w:left="500"/>
              <w:spacing w:after="0" w:line="169" w:lineRule="exact"/>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tcPr>
          <w:p>
            <w:pPr>
              <w:spacing w:after="0"/>
              <w:rPr>
                <w:sz w:val="14"/>
                <w:szCs w:val="14"/>
                <w:color w:val="auto"/>
              </w:rPr>
            </w:pPr>
          </w:p>
        </w:tc>
        <w:tc>
          <w:tcPr>
            <w:tcW w:w="1120" w:type="dxa"/>
            <w:vAlign w:val="bottom"/>
          </w:tcPr>
          <w:p>
            <w:pPr>
              <w:jc w:val="right"/>
              <w:ind w:right="24"/>
              <w:spacing w:after="0" w:line="169" w:lineRule="exact"/>
              <w:rPr>
                <w:sz w:val="20"/>
                <w:szCs w:val="20"/>
                <w:color w:val="auto"/>
              </w:rPr>
            </w:pPr>
            <w:r>
              <w:rPr>
                <w:rFonts w:ascii="Arial" w:cs="Arial" w:eastAsia="Arial" w:hAnsi="Arial"/>
                <w:sz w:val="15"/>
                <w:szCs w:val="15"/>
                <w:color w:val="auto"/>
              </w:rPr>
              <w:t>(68,100)</w:t>
            </w:r>
          </w:p>
        </w:tc>
        <w:tc>
          <w:tcPr>
            <w:tcW w:w="460" w:type="dxa"/>
            <w:vAlign w:val="bottom"/>
          </w:tcPr>
          <w:p>
            <w:pPr>
              <w:spacing w:after="0"/>
              <w:rPr>
                <w:sz w:val="14"/>
                <w:szCs w:val="14"/>
                <w:color w:val="auto"/>
              </w:rPr>
            </w:pPr>
          </w:p>
        </w:tc>
        <w:tc>
          <w:tcPr>
            <w:tcW w:w="1120" w:type="dxa"/>
            <w:vAlign w:val="bottom"/>
          </w:tcPr>
          <w:p>
            <w:pPr>
              <w:jc w:val="right"/>
              <w:ind w:right="24"/>
              <w:spacing w:after="0" w:line="169" w:lineRule="exact"/>
              <w:rPr>
                <w:sz w:val="20"/>
                <w:szCs w:val="20"/>
                <w:color w:val="auto"/>
              </w:rPr>
            </w:pPr>
            <w:r>
              <w:rPr>
                <w:rFonts w:ascii="Arial" w:cs="Arial" w:eastAsia="Arial" w:hAnsi="Arial"/>
                <w:sz w:val="15"/>
                <w:szCs w:val="15"/>
                <w:color w:val="auto"/>
              </w:rPr>
              <w:t>(18,050)</w:t>
            </w:r>
          </w:p>
        </w:tc>
        <w:tc>
          <w:tcPr>
            <w:tcW w:w="46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(50,050)</w:t>
            </w:r>
          </w:p>
        </w:tc>
      </w:tr>
      <w:tr>
        <w:trPr>
          <w:trHeight w:val="176"/>
        </w:trPr>
        <w:tc>
          <w:tcPr>
            <w:tcW w:w="5660" w:type="dxa"/>
            <w:vAlign w:val="bottom"/>
            <w:shd w:val="clear" w:color="auto" w:fill="CFF0FC"/>
          </w:tcPr>
          <w:p>
            <w:pPr>
              <w:spacing w:after="0"/>
              <w:rPr>
                <w:sz w:val="20"/>
                <w:szCs w:val="20"/>
                <w:color w:val="auto"/>
              </w:rPr>
            </w:pPr>
            <w:r>
              <w:rPr>
                <w:rFonts w:ascii="Arial" w:cs="Arial" w:eastAsia="Arial" w:hAnsi="Arial"/>
                <w:sz w:val="15"/>
                <w:szCs w:val="15"/>
                <w:color w:val="auto"/>
              </w:rPr>
              <w:t>Defined Benefit Plans:</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76"/>
        </w:trPr>
        <w:tc>
          <w:tcPr>
            <w:tcW w:w="5660" w:type="dxa"/>
            <w:vAlign w:val="bottom"/>
          </w:tcPr>
          <w:p>
            <w:pPr>
              <w:ind w:left="260"/>
              <w:spacing w:after="0"/>
              <w:rPr>
                <w:sz w:val="20"/>
                <w:szCs w:val="20"/>
                <w:color w:val="auto"/>
              </w:rPr>
            </w:pPr>
            <w:r>
              <w:rPr>
                <w:rFonts w:ascii="Arial" w:cs="Arial" w:eastAsia="Arial" w:hAnsi="Arial"/>
                <w:sz w:val="15"/>
                <w:szCs w:val="15"/>
                <w:color w:val="auto"/>
              </w:rPr>
              <w:t>Amortization of Net Actuarial Losses (Gains)</w:t>
            </w:r>
          </w:p>
        </w:tc>
        <w:tc>
          <w:tcPr>
            <w:tcW w:w="1340" w:type="dxa"/>
            <w:vAlign w:val="bottom"/>
          </w:tcPr>
          <w:p>
            <w:pPr>
              <w:spacing w:after="0"/>
              <w:rPr>
                <w:sz w:val="15"/>
                <w:szCs w:val="15"/>
                <w:color w:val="auto"/>
              </w:rPr>
            </w:pP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662</w:t>
            </w:r>
          </w:p>
        </w:tc>
        <w:tc>
          <w:tcPr>
            <w:tcW w:w="460" w:type="dxa"/>
            <w:vAlign w:val="bottom"/>
          </w:tcPr>
          <w:p>
            <w:pPr>
              <w:spacing w:after="0"/>
              <w:rPr>
                <w:sz w:val="15"/>
                <w:szCs w:val="15"/>
                <w:color w:val="auto"/>
              </w:rPr>
            </w:pP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177</w:t>
            </w:r>
          </w:p>
        </w:tc>
        <w:tc>
          <w:tcPr>
            <w:tcW w:w="46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485</w:t>
            </w:r>
          </w:p>
        </w:tc>
      </w:tr>
      <w:tr>
        <w:trPr>
          <w:trHeight w:val="175"/>
        </w:trPr>
        <w:tc>
          <w:tcPr>
            <w:tcW w:w="56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5"/>
                <w:szCs w:val="15"/>
                <w:color w:val="auto"/>
              </w:rPr>
              <w:t>Amortization of Prior Service Credit</w:t>
            </w:r>
          </w:p>
        </w:tc>
        <w:tc>
          <w:tcPr>
            <w:tcW w:w="1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(61)</w:t>
            </w: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(17)</w:t>
            </w:r>
          </w:p>
        </w:tc>
        <w:tc>
          <w:tcPr>
            <w:tcW w:w="4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w:t>
            </w:r>
          </w:p>
        </w:tc>
      </w:tr>
      <w:tr>
        <w:trPr>
          <w:trHeight w:val="169"/>
        </w:trPr>
        <w:tc>
          <w:tcPr>
            <w:tcW w:w="5660" w:type="dxa"/>
            <w:vAlign w:val="bottom"/>
            <w:tcBorders>
              <w:bottom w:val="single" w:sz="8" w:color="auto"/>
            </w:tcBorders>
          </w:tcPr>
          <w:p>
            <w:pPr>
              <w:ind w:left="500"/>
              <w:spacing w:after="0" w:line="169" w:lineRule="exact"/>
              <w:rPr>
                <w:sz w:val="20"/>
                <w:szCs w:val="20"/>
                <w:color w:val="auto"/>
              </w:rPr>
            </w:pPr>
            <w:r>
              <w:rPr>
                <w:rFonts w:ascii="Arial" w:cs="Arial" w:eastAsia="Arial" w:hAnsi="Arial"/>
                <w:sz w:val="15"/>
                <w:szCs w:val="15"/>
                <w:color w:val="auto"/>
              </w:rPr>
              <w:t>Defined Benefit Plans, Net</w:t>
            </w:r>
          </w:p>
        </w:tc>
        <w:tc>
          <w:tcPr>
            <w:tcW w:w="1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601</w:t>
            </w: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160</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441</w:t>
            </w:r>
          </w:p>
        </w:tc>
      </w:tr>
      <w:tr>
        <w:trPr>
          <w:trHeight w:val="169"/>
        </w:trPr>
        <w:tc>
          <w:tcPr>
            <w:tcW w:w="56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Other Comprehensive Income (Loss)</w:t>
            </w:r>
          </w:p>
        </w:tc>
        <w:tc>
          <w:tcPr>
            <w:tcW w:w="1340" w:type="dxa"/>
            <w:vAlign w:val="bottom"/>
            <w:tcBorders>
              <w:bottom w:val="single" w:sz="8" w:color="auto"/>
            </w:tcBorders>
            <w:shd w:val="clear" w:color="auto" w:fill="CFF0FC"/>
          </w:tcPr>
          <w:p>
            <w:pPr>
              <w:jc w:val="right"/>
              <w:ind w:right="18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(67,499)</w:t>
            </w:r>
          </w:p>
        </w:tc>
        <w:tc>
          <w:tcPr>
            <w:tcW w:w="4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rPr>
              <w:t>(17,890)</w:t>
            </w:r>
          </w:p>
        </w:tc>
        <w:tc>
          <w:tcPr>
            <w:tcW w:w="4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(49,609)</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32"/>
        </w:trPr>
        <w:tc>
          <w:tcPr>
            <w:tcW w:w="5660" w:type="dxa"/>
            <w:vAlign w:val="bottom"/>
          </w:tcPr>
          <w:p>
            <w:pPr>
              <w:spacing w:after="0"/>
              <w:rPr>
                <w:sz w:val="20"/>
                <w:szCs w:val="20"/>
                <w:color w:val="auto"/>
              </w:rPr>
            </w:pPr>
            <w:r>
              <w:rPr>
                <w:rFonts w:ascii="Arial" w:cs="Arial" w:eastAsia="Arial" w:hAnsi="Arial"/>
                <w:sz w:val="15"/>
                <w:szCs w:val="15"/>
                <w:b w:val="1"/>
                <w:bCs w:val="1"/>
                <w:color w:val="auto"/>
              </w:rPr>
              <w:t>Three Months Ended March 31, 2020</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5660" w:type="dxa"/>
            <w:vAlign w:val="bottom"/>
            <w:shd w:val="clear" w:color="auto" w:fill="CFF0FC"/>
          </w:tcPr>
          <w:p>
            <w:pPr>
              <w:spacing w:after="0"/>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76"/>
        </w:trPr>
        <w:tc>
          <w:tcPr>
            <w:tcW w:w="5660" w:type="dxa"/>
            <w:vAlign w:val="bottom"/>
          </w:tcPr>
          <w:p>
            <w:pPr>
              <w:ind w:left="260"/>
              <w:spacing w:after="0"/>
              <w:rPr>
                <w:sz w:val="20"/>
                <w:szCs w:val="20"/>
                <w:color w:val="auto"/>
              </w:rPr>
            </w:pPr>
            <w:r>
              <w:rPr>
                <w:rFonts w:ascii="Arial" w:cs="Arial" w:eastAsia="Arial" w:hAnsi="Arial"/>
                <w:sz w:val="15"/>
                <w:szCs w:val="15"/>
                <w:color w:val="auto"/>
              </w:rPr>
              <w:t>Net Unrealized Gains (Losses) Arising During the Period</w:t>
            </w:r>
          </w:p>
        </w:tc>
        <w:tc>
          <w:tcPr>
            <w:tcW w:w="134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56,556</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14,989</w:t>
            </w:r>
          </w:p>
        </w:tc>
        <w:tc>
          <w:tcPr>
            <w:tcW w:w="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41,567</w:t>
            </w:r>
          </w:p>
        </w:tc>
      </w:tr>
      <w:tr>
        <w:trPr>
          <w:trHeight w:val="162"/>
        </w:trPr>
        <w:tc>
          <w:tcPr>
            <w:tcW w:w="56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Amounts Reclassified from Accumulated Other Comprehensive Income</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75"/>
        </w:trPr>
        <w:tc>
          <w:tcPr>
            <w:tcW w:w="56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(Loss) that (Increase) Decrease Net Income:</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75"/>
        </w:trPr>
        <w:tc>
          <w:tcPr>
            <w:tcW w:w="5660" w:type="dxa"/>
            <w:vAlign w:val="bottom"/>
          </w:tcPr>
          <w:p>
            <w:pPr>
              <w:ind w:left="500"/>
              <w:spacing w:after="0"/>
              <w:rPr>
                <w:sz w:val="20"/>
                <w:szCs w:val="20"/>
                <w:color w:val="auto"/>
              </w:rPr>
            </w:pPr>
            <w:r>
              <w:rPr>
                <w:rFonts w:ascii="Arial" w:cs="Arial" w:eastAsia="Arial" w:hAnsi="Arial"/>
                <w:sz w:val="15"/>
                <w:szCs w:val="15"/>
                <w:color w:val="auto"/>
              </w:rPr>
              <w:t>(Gain) Loss on Sale</w:t>
            </w:r>
          </w:p>
        </w:tc>
        <w:tc>
          <w:tcPr>
            <w:tcW w:w="1340" w:type="dxa"/>
            <w:vAlign w:val="bottom"/>
          </w:tcPr>
          <w:p>
            <w:pPr>
              <w:spacing w:after="0"/>
              <w:rPr>
                <w:sz w:val="15"/>
                <w:szCs w:val="15"/>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(77)</w:t>
            </w:r>
          </w:p>
        </w:tc>
        <w:tc>
          <w:tcPr>
            <w:tcW w:w="460" w:type="dxa"/>
            <w:vAlign w:val="bottom"/>
          </w:tcPr>
          <w:p>
            <w:pPr>
              <w:spacing w:after="0"/>
              <w:rPr>
                <w:sz w:val="15"/>
                <w:szCs w:val="15"/>
                <w:color w:val="auto"/>
              </w:rPr>
            </w:pPr>
          </w:p>
        </w:tc>
        <w:tc>
          <w:tcPr>
            <w:tcW w:w="1120" w:type="dxa"/>
            <w:vAlign w:val="bottom"/>
          </w:tcPr>
          <w:p>
            <w:pPr>
              <w:jc w:val="right"/>
              <w:ind w:right="24"/>
              <w:spacing w:after="0"/>
              <w:rPr>
                <w:sz w:val="20"/>
                <w:szCs w:val="20"/>
                <w:color w:val="auto"/>
              </w:rPr>
            </w:pPr>
            <w:r>
              <w:rPr>
                <w:rFonts w:ascii="Arial" w:cs="Arial" w:eastAsia="Arial" w:hAnsi="Arial"/>
                <w:sz w:val="15"/>
                <w:szCs w:val="15"/>
                <w:color w:val="auto"/>
              </w:rPr>
              <w:t>(21)</w:t>
            </w: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62"/>
        </w:trPr>
        <w:tc>
          <w:tcPr>
            <w:tcW w:w="5660" w:type="dxa"/>
            <w:vAlign w:val="bottom"/>
            <w:shd w:val="clear" w:color="auto" w:fill="CFF0FC"/>
          </w:tcPr>
          <w:p>
            <w:pPr>
              <w:ind w:left="500"/>
              <w:spacing w:after="0" w:line="162" w:lineRule="exact"/>
              <w:rPr>
                <w:sz w:val="20"/>
                <w:szCs w:val="20"/>
                <w:color w:val="auto"/>
              </w:rPr>
            </w:pPr>
            <w:r>
              <w:rPr>
                <w:rFonts w:ascii="Arial" w:cs="Arial" w:eastAsia="Arial" w:hAnsi="Arial"/>
                <w:sz w:val="15"/>
                <w:szCs w:val="15"/>
                <w:color w:val="auto"/>
              </w:rPr>
              <w:t>Amortization of Unrealized Holding (Gains) Losses on Held-to-</w:t>
            </w:r>
          </w:p>
        </w:tc>
        <w:tc>
          <w:tcPr>
            <w:tcW w:w="1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75"/>
        </w:trPr>
        <w:tc>
          <w:tcPr>
            <w:tcW w:w="566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5"/>
                <w:szCs w:val="15"/>
                <w:color w:val="auto"/>
              </w:rPr>
              <w:t xml:space="preserve">Maturity Securities </w:t>
            </w:r>
            <w:r>
              <w:rPr>
                <w:rFonts w:ascii="Arial" w:cs="Arial" w:eastAsia="Arial" w:hAnsi="Arial"/>
                <w:sz w:val="13"/>
                <w:szCs w:val="13"/>
                <w:color w:val="auto"/>
              </w:rPr>
              <w:t>1</w:t>
            </w:r>
          </w:p>
        </w:tc>
        <w:tc>
          <w:tcPr>
            <w:tcW w:w="1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65</w:t>
            </w: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rPr>
              <w:t>17</w:t>
            </w:r>
          </w:p>
        </w:tc>
        <w:tc>
          <w:tcPr>
            <w:tcW w:w="4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rPr>
              <w:t>48</w:t>
            </w:r>
          </w:p>
        </w:tc>
      </w:tr>
      <w:tr>
        <w:trPr>
          <w:trHeight w:val="169"/>
        </w:trPr>
        <w:tc>
          <w:tcPr>
            <w:tcW w:w="5660" w:type="dxa"/>
            <w:vAlign w:val="bottom"/>
          </w:tcPr>
          <w:p>
            <w:pPr>
              <w:ind w:left="500"/>
              <w:spacing w:after="0" w:line="169" w:lineRule="exact"/>
              <w:rPr>
                <w:sz w:val="20"/>
                <w:szCs w:val="20"/>
                <w:color w:val="auto"/>
              </w:rPr>
            </w:pPr>
            <w:r>
              <w:rPr>
                <w:rFonts w:ascii="Arial" w:cs="Arial" w:eastAsia="Arial" w:hAnsi="Arial"/>
                <w:sz w:val="15"/>
                <w:szCs w:val="15"/>
                <w:color w:val="auto"/>
              </w:rPr>
              <w:t>Net Unrealized Gains (Losses) on Investment Securities</w:t>
            </w:r>
          </w:p>
        </w:tc>
        <w:tc>
          <w:tcPr>
            <w:tcW w:w="1340" w:type="dxa"/>
            <w:vAlign w:val="bottom"/>
          </w:tcPr>
          <w:p>
            <w:pPr>
              <w:spacing w:after="0"/>
              <w:rPr>
                <w:sz w:val="14"/>
                <w:szCs w:val="14"/>
                <w:color w:val="auto"/>
              </w:rPr>
            </w:pPr>
          </w:p>
        </w:tc>
        <w:tc>
          <w:tcPr>
            <w:tcW w:w="1120" w:type="dxa"/>
            <w:vAlign w:val="bottom"/>
          </w:tcPr>
          <w:p>
            <w:pPr>
              <w:jc w:val="right"/>
              <w:ind w:right="84"/>
              <w:spacing w:after="0" w:line="169" w:lineRule="exact"/>
              <w:rPr>
                <w:sz w:val="20"/>
                <w:szCs w:val="20"/>
                <w:color w:val="auto"/>
              </w:rPr>
            </w:pPr>
            <w:r>
              <w:rPr>
                <w:rFonts w:ascii="Arial" w:cs="Arial" w:eastAsia="Arial" w:hAnsi="Arial"/>
                <w:sz w:val="15"/>
                <w:szCs w:val="15"/>
                <w:color w:val="auto"/>
              </w:rPr>
              <w:t>56,544</w:t>
            </w:r>
          </w:p>
        </w:tc>
        <w:tc>
          <w:tcPr>
            <w:tcW w:w="460" w:type="dxa"/>
            <w:vAlign w:val="bottom"/>
          </w:tcPr>
          <w:p>
            <w:pPr>
              <w:spacing w:after="0"/>
              <w:rPr>
                <w:sz w:val="14"/>
                <w:szCs w:val="14"/>
                <w:color w:val="auto"/>
              </w:rPr>
            </w:pPr>
          </w:p>
        </w:tc>
        <w:tc>
          <w:tcPr>
            <w:tcW w:w="1120" w:type="dxa"/>
            <w:vAlign w:val="bottom"/>
          </w:tcPr>
          <w:p>
            <w:pPr>
              <w:jc w:val="right"/>
              <w:ind w:right="84"/>
              <w:spacing w:after="0" w:line="169" w:lineRule="exact"/>
              <w:rPr>
                <w:sz w:val="20"/>
                <w:szCs w:val="20"/>
                <w:color w:val="auto"/>
              </w:rPr>
            </w:pPr>
            <w:r>
              <w:rPr>
                <w:rFonts w:ascii="Arial" w:cs="Arial" w:eastAsia="Arial" w:hAnsi="Arial"/>
                <w:sz w:val="15"/>
                <w:szCs w:val="15"/>
                <w:color w:val="auto"/>
              </w:rPr>
              <w:t>14,985</w:t>
            </w:r>
          </w:p>
        </w:tc>
        <w:tc>
          <w:tcPr>
            <w:tcW w:w="460" w:type="dxa"/>
            <w:vAlign w:val="bottom"/>
          </w:tcPr>
          <w:p>
            <w:pPr>
              <w:spacing w:after="0"/>
              <w:rPr>
                <w:sz w:val="14"/>
                <w:szCs w:val="14"/>
                <w:color w:val="auto"/>
              </w:rPr>
            </w:pPr>
          </w:p>
        </w:tc>
        <w:tc>
          <w:tcPr>
            <w:tcW w:w="10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41,559</w:t>
            </w:r>
          </w:p>
        </w:tc>
      </w:tr>
      <w:tr>
        <w:trPr>
          <w:trHeight w:val="176"/>
        </w:trPr>
        <w:tc>
          <w:tcPr>
            <w:tcW w:w="5660" w:type="dxa"/>
            <w:vAlign w:val="bottom"/>
            <w:shd w:val="clear" w:color="auto" w:fill="CFF0FC"/>
          </w:tcPr>
          <w:p>
            <w:pPr>
              <w:spacing w:after="0"/>
              <w:rPr>
                <w:sz w:val="20"/>
                <w:szCs w:val="20"/>
                <w:color w:val="auto"/>
              </w:rPr>
            </w:pPr>
            <w:r>
              <w:rPr>
                <w:rFonts w:ascii="Arial" w:cs="Arial" w:eastAsia="Arial" w:hAnsi="Arial"/>
                <w:sz w:val="15"/>
                <w:szCs w:val="15"/>
                <w:color w:val="auto"/>
              </w:rPr>
              <w:t>Defined Benefit Plans:</w:t>
            </w: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75"/>
        </w:trPr>
        <w:tc>
          <w:tcPr>
            <w:tcW w:w="5660" w:type="dxa"/>
            <w:vAlign w:val="bottom"/>
          </w:tcPr>
          <w:p>
            <w:pPr>
              <w:ind w:left="260"/>
              <w:spacing w:after="0"/>
              <w:rPr>
                <w:sz w:val="20"/>
                <w:szCs w:val="20"/>
                <w:color w:val="auto"/>
              </w:rPr>
            </w:pPr>
            <w:r>
              <w:rPr>
                <w:rFonts w:ascii="Arial" w:cs="Arial" w:eastAsia="Arial" w:hAnsi="Arial"/>
                <w:sz w:val="15"/>
                <w:szCs w:val="15"/>
                <w:color w:val="auto"/>
              </w:rPr>
              <w:t>Amortization of Net Actuarial Losses (Gains)</w:t>
            </w:r>
          </w:p>
        </w:tc>
        <w:tc>
          <w:tcPr>
            <w:tcW w:w="1340" w:type="dxa"/>
            <w:vAlign w:val="bottom"/>
          </w:tcPr>
          <w:p>
            <w:pPr>
              <w:spacing w:after="0"/>
              <w:rPr>
                <w:sz w:val="15"/>
                <w:szCs w:val="15"/>
                <w:color w:val="auto"/>
              </w:rPr>
            </w:pP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570</w:t>
            </w:r>
          </w:p>
        </w:tc>
        <w:tc>
          <w:tcPr>
            <w:tcW w:w="460" w:type="dxa"/>
            <w:vAlign w:val="bottom"/>
          </w:tcPr>
          <w:p>
            <w:pPr>
              <w:spacing w:after="0"/>
              <w:rPr>
                <w:sz w:val="15"/>
                <w:szCs w:val="15"/>
                <w:color w:val="auto"/>
              </w:rPr>
            </w:pPr>
          </w:p>
        </w:tc>
        <w:tc>
          <w:tcPr>
            <w:tcW w:w="1120" w:type="dxa"/>
            <w:vAlign w:val="bottom"/>
          </w:tcPr>
          <w:p>
            <w:pPr>
              <w:jc w:val="right"/>
              <w:ind w:right="84"/>
              <w:spacing w:after="0"/>
              <w:rPr>
                <w:sz w:val="20"/>
                <w:szCs w:val="20"/>
                <w:color w:val="auto"/>
              </w:rPr>
            </w:pPr>
            <w:r>
              <w:rPr>
                <w:rFonts w:ascii="Arial" w:cs="Arial" w:eastAsia="Arial" w:hAnsi="Arial"/>
                <w:sz w:val="15"/>
                <w:szCs w:val="15"/>
                <w:color w:val="auto"/>
              </w:rPr>
              <w:t>152</w:t>
            </w:r>
          </w:p>
        </w:tc>
        <w:tc>
          <w:tcPr>
            <w:tcW w:w="46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Arial" w:cs="Arial" w:eastAsia="Arial" w:hAnsi="Arial"/>
                <w:sz w:val="15"/>
                <w:szCs w:val="15"/>
                <w:color w:val="auto"/>
              </w:rPr>
              <w:t>418</w:t>
            </w:r>
          </w:p>
        </w:tc>
      </w:tr>
      <w:tr>
        <w:trPr>
          <w:trHeight w:val="176"/>
        </w:trPr>
        <w:tc>
          <w:tcPr>
            <w:tcW w:w="56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5"/>
                <w:szCs w:val="15"/>
                <w:color w:val="auto"/>
              </w:rPr>
              <w:t>Amortization of Prior Service Credit</w:t>
            </w:r>
          </w:p>
        </w:tc>
        <w:tc>
          <w:tcPr>
            <w:tcW w:w="1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(61)</w:t>
            </w: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(17)</w:t>
            </w:r>
          </w:p>
        </w:tc>
        <w:tc>
          <w:tcPr>
            <w:tcW w:w="4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w:t>
            </w:r>
          </w:p>
        </w:tc>
      </w:tr>
      <w:tr>
        <w:trPr>
          <w:trHeight w:val="169"/>
        </w:trPr>
        <w:tc>
          <w:tcPr>
            <w:tcW w:w="5660" w:type="dxa"/>
            <w:vAlign w:val="bottom"/>
            <w:tcBorders>
              <w:bottom w:val="single" w:sz="8" w:color="auto"/>
            </w:tcBorders>
          </w:tcPr>
          <w:p>
            <w:pPr>
              <w:ind w:left="500"/>
              <w:spacing w:after="0" w:line="169" w:lineRule="exact"/>
              <w:rPr>
                <w:sz w:val="20"/>
                <w:szCs w:val="20"/>
                <w:color w:val="auto"/>
              </w:rPr>
            </w:pPr>
            <w:r>
              <w:rPr>
                <w:rFonts w:ascii="Arial" w:cs="Arial" w:eastAsia="Arial" w:hAnsi="Arial"/>
                <w:sz w:val="15"/>
                <w:szCs w:val="15"/>
                <w:color w:val="auto"/>
              </w:rPr>
              <w:t>Defined Benefit Plans, Net</w:t>
            </w:r>
          </w:p>
        </w:tc>
        <w:tc>
          <w:tcPr>
            <w:tcW w:w="1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509</w:t>
            </w: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135</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374</w:t>
            </w:r>
          </w:p>
        </w:tc>
      </w:tr>
      <w:tr>
        <w:trPr>
          <w:trHeight w:val="169"/>
        </w:trPr>
        <w:tc>
          <w:tcPr>
            <w:tcW w:w="56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Other Comprehensive Income (Loss)</w:t>
            </w:r>
          </w:p>
        </w:tc>
        <w:tc>
          <w:tcPr>
            <w:tcW w:w="1340" w:type="dxa"/>
            <w:vAlign w:val="bottom"/>
            <w:tcBorders>
              <w:bottom w:val="single" w:sz="8" w:color="auto"/>
            </w:tcBorders>
            <w:shd w:val="clear" w:color="auto" w:fill="CFF0FC"/>
          </w:tcPr>
          <w:p>
            <w:pPr>
              <w:jc w:val="right"/>
              <w:ind w:right="18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57,053</w:t>
            </w:r>
          </w:p>
        </w:tc>
        <w:tc>
          <w:tcPr>
            <w:tcW w:w="4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FF0FC"/>
          </w:tcPr>
          <w:p>
            <w:pPr>
              <w:jc w:val="right"/>
              <w:ind w:right="84"/>
              <w:spacing w:after="0" w:line="169" w:lineRule="exact"/>
              <w:rPr>
                <w:sz w:val="20"/>
                <w:szCs w:val="20"/>
                <w:color w:val="auto"/>
              </w:rPr>
            </w:pPr>
            <w:r>
              <w:rPr>
                <w:rFonts w:ascii="Arial" w:cs="Arial" w:eastAsia="Arial" w:hAnsi="Arial"/>
                <w:sz w:val="15"/>
                <w:szCs w:val="15"/>
                <w:color w:val="auto"/>
              </w:rPr>
              <w:t>15,120</w:t>
            </w:r>
          </w:p>
        </w:tc>
        <w:tc>
          <w:tcPr>
            <w:tcW w:w="4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rPr>
              <w:t>41,933</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right="140" w:hanging="172"/>
        <w:spacing w:after="0" w:line="253" w:lineRule="auto"/>
        <w:tabs>
          <w:tab w:leader="none" w:pos="1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each component of accumulated other comprehensive income (loss), net of tax,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March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Accumulated</w:t>
            </w:r>
          </w:p>
        </w:tc>
      </w:tr>
      <w:tr>
        <w:trPr>
          <w:trHeight w:val="203"/>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r>
      <w:tr>
        <w:trPr>
          <w:trHeight w:val="203"/>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Held-to-</w:t>
            </w:r>
          </w:p>
        </w:tc>
        <w:tc>
          <w:tcPr>
            <w:tcW w:w="13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Defined Benefit</w:t>
            </w:r>
          </w:p>
        </w:tc>
        <w:tc>
          <w:tcPr>
            <w:tcW w:w="13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Comprehensive</w:t>
            </w:r>
          </w:p>
        </w:tc>
      </w:tr>
      <w:tr>
        <w:trPr>
          <w:trHeight w:val="21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for-Sale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Maturity</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Income (Loss)</w:t>
            </w:r>
          </w:p>
        </w:tc>
      </w:tr>
      <w:tr>
        <w:trPr>
          <w:trHeight w:val="213"/>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March 31, 2021</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51,495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(43,250)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7,822</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(50,143)</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(50,143)</w:t>
            </w:r>
          </w:p>
        </w:tc>
      </w:tr>
      <w:tr>
        <w:trPr>
          <w:trHeight w:val="206"/>
        </w:trPr>
        <w:tc>
          <w:tcPr>
            <w:tcW w:w="506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534</w:t>
            </w:r>
          </w:p>
        </w:tc>
      </w:tr>
      <w:tr>
        <w:trPr>
          <w:trHeight w:val="209"/>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(50,143)</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93</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441</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(49,609)</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1,352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(41,787)</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9"/>
        </w:trPr>
        <w:tc>
          <w:tcPr>
            <w:tcW w:w="5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1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b w:val="1"/>
                <w:bCs w:val="1"/>
                <w:color w:val="auto"/>
              </w:rPr>
              <w:t>Balance at Beginning of Period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8,359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(38,756)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(31,112)</w:t>
            </w:r>
          </w:p>
        </w:tc>
      </w:tr>
      <w:tr>
        <w:trPr>
          <w:trHeight w:val="219"/>
        </w:trPr>
        <w:tc>
          <w:tcPr>
            <w:tcW w:w="5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41,567</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41,567</w:t>
            </w:r>
          </w:p>
        </w:tc>
      </w:tr>
      <w:tr>
        <w:trPr>
          <w:trHeight w:val="206"/>
        </w:trPr>
        <w:tc>
          <w:tcPr>
            <w:tcW w:w="5060" w:type="dxa"/>
            <w:vAlign w:val="bottom"/>
          </w:tcPr>
          <w:p>
            <w:pPr>
              <w:ind w:left="260"/>
              <w:spacing w:after="0"/>
              <w:rPr>
                <w:sz w:val="20"/>
                <w:szCs w:val="20"/>
                <w:color w:val="auto"/>
              </w:rPr>
            </w:pPr>
            <w:r>
              <w:rPr>
                <w:rFonts w:ascii="Arial" w:cs="Arial" w:eastAsia="Arial" w:hAnsi="Arial"/>
                <w:sz w:val="16"/>
                <w:szCs w:val="16"/>
                <w:color w:val="auto"/>
              </w:rPr>
              <w:t>Amounts Reclassified from Accumulated Other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5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Comprehensive Income (Loss)</w:t>
            </w: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366</w:t>
            </w:r>
          </w:p>
        </w:tc>
      </w:tr>
      <w:tr>
        <w:trPr>
          <w:trHeight w:val="210"/>
        </w:trPr>
        <w:tc>
          <w:tcPr>
            <w:tcW w:w="5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w:t>
            </w:r>
          </w:p>
        </w:tc>
        <w:tc>
          <w:tcPr>
            <w:tcW w:w="10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41,511</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48</w:t>
            </w: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374</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41,933</w:t>
            </w:r>
          </w:p>
        </w:tc>
      </w:tr>
      <w:tr>
        <w:trPr>
          <w:trHeight w:val="210"/>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49,870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10,821</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amounts reclassified out of each component of accumulated other comprehensive income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March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00" w:type="dxa"/>
            <w:vAlign w:val="bottom"/>
          </w:tcPr>
          <w:p>
            <w:pPr>
              <w:spacing w:after="0"/>
              <w:rPr>
                <w:sz w:val="20"/>
                <w:szCs w:val="20"/>
                <w:color w:val="auto"/>
              </w:rPr>
            </w:pPr>
            <w:r>
              <w:rPr>
                <w:rFonts w:ascii="Arial" w:cs="Arial" w:eastAsia="Arial" w:hAnsi="Arial"/>
                <w:sz w:val="16"/>
                <w:szCs w:val="16"/>
                <w:b w:val="1"/>
                <w:bCs w:val="1"/>
                <w:color w:val="auto"/>
              </w:rPr>
              <w:t>Details about Accumulated Other</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1"/>
              </w:rPr>
              <w:t>Amount Reclassified from Accumulated</w:t>
            </w:r>
          </w:p>
        </w:tc>
        <w:tc>
          <w:tcPr>
            <w:tcW w:w="340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 Statement</w:t>
            </w:r>
          </w:p>
        </w:tc>
      </w:tr>
      <w:tr>
        <w:trPr>
          <w:trHeight w:val="220"/>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Comprehensive Income (Loss) Components</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2"/>
          </w:tcPr>
          <w:p>
            <w:pPr>
              <w:jc w:val="center"/>
              <w:ind w:left="79"/>
              <w:spacing w:after="0" w:line="220" w:lineRule="exact"/>
              <w:rPr>
                <w:sz w:val="20"/>
                <w:szCs w:val="20"/>
                <w:color w:val="auto"/>
              </w:rPr>
            </w:pPr>
            <w:r>
              <w:rPr>
                <w:rFonts w:ascii="Arial" w:cs="Arial" w:eastAsia="Arial" w:hAnsi="Arial"/>
                <w:sz w:val="15"/>
                <w:szCs w:val="15"/>
                <w:b w:val="1"/>
                <w:bCs w:val="1"/>
                <w:color w:val="auto"/>
                <w:w w:val="96"/>
              </w:rPr>
              <w:t>Other Comprehensive Income (Loss)</w:t>
            </w:r>
            <w:r>
              <w:rPr>
                <w:rFonts w:ascii="Arial" w:cs="Arial" w:eastAsia="Arial" w:hAnsi="Arial"/>
                <w:sz w:val="25"/>
                <w:szCs w:val="25"/>
                <w:b w:val="1"/>
                <w:bCs w:val="1"/>
                <w:color w:val="auto"/>
                <w:w w:val="96"/>
                <w:vertAlign w:val="superscript"/>
              </w:rPr>
              <w:t>1</w:t>
            </w:r>
          </w:p>
        </w:tc>
        <w:tc>
          <w:tcPr>
            <w:tcW w:w="4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Where Net Income Is Presented</w:t>
            </w:r>
          </w:p>
        </w:tc>
      </w:tr>
      <w:tr>
        <w:trPr>
          <w:trHeight w:val="204"/>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6"/>
                <w:szCs w:val="16"/>
                <w:b w:val="1"/>
                <w:bCs w:val="1"/>
                <w:color w:val="auto"/>
                <w:w w:val="93"/>
              </w:rPr>
              <w:t>Three Months Ended March 31,</w:t>
            </w:r>
          </w:p>
        </w:tc>
        <w:tc>
          <w:tcPr>
            <w:tcW w:w="460" w:type="dxa"/>
            <w:vAlign w:val="bottom"/>
            <w:tcBorders>
              <w:bottom w:val="single" w:sz="8" w:color="auto"/>
            </w:tcBorders>
          </w:tcPr>
          <w:p>
            <w:pPr>
              <w:spacing w:after="0"/>
              <w:rPr>
                <w:sz w:val="17"/>
                <w:szCs w:val="17"/>
                <w:color w:val="auto"/>
              </w:rPr>
            </w:pPr>
          </w:p>
        </w:tc>
        <w:tc>
          <w:tcPr>
            <w:tcW w:w="3400" w:type="dxa"/>
            <w:vAlign w:val="bottom"/>
          </w:tcPr>
          <w:p>
            <w:pPr>
              <w:spacing w:after="0"/>
              <w:rPr>
                <w:sz w:val="17"/>
                <w:szCs w:val="17"/>
                <w:color w:val="auto"/>
              </w:rPr>
            </w:pPr>
          </w:p>
        </w:tc>
      </w:tr>
      <w:tr>
        <w:trPr>
          <w:trHeight w:val="212"/>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2020</w:t>
            </w:r>
          </w:p>
        </w:tc>
        <w:tc>
          <w:tcPr>
            <w:tcW w:w="3400" w:type="dxa"/>
            <w:vAlign w:val="bottom"/>
            <w:tcBorders>
              <w:bottom w:val="single" w:sz="8" w:color="CFF0FC"/>
            </w:tcBorders>
          </w:tcPr>
          <w:p>
            <w:pPr>
              <w:spacing w:after="0"/>
              <w:rPr>
                <w:sz w:val="18"/>
                <w:szCs w:val="18"/>
                <w:color w:val="auto"/>
              </w:rPr>
            </w:pPr>
          </w:p>
        </w:tc>
      </w:tr>
      <w:tr>
        <w:trPr>
          <w:trHeight w:val="202"/>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Unrealized Holding Gains (Losses) on</w:t>
            </w: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400" w:type="dxa"/>
            <w:vAlign w:val="bottom"/>
            <w:shd w:val="clear" w:color="auto" w:fill="CFF0FC"/>
          </w:tcPr>
          <w:p>
            <w:pPr>
              <w:spacing w:after="0"/>
              <w:rPr>
                <w:sz w:val="17"/>
                <w:szCs w:val="17"/>
                <w:color w:val="auto"/>
              </w:rPr>
            </w:pPr>
          </w:p>
        </w:tc>
      </w:tr>
      <w:tr>
        <w:trPr>
          <w:trHeight w:val="212"/>
        </w:trPr>
        <w:tc>
          <w:tcPr>
            <w:tcW w:w="4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Investment Securities Held-to-Maturity</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w:t>
            </w:r>
          </w:p>
        </w:tc>
        <w:tc>
          <w:tcPr>
            <w:tcW w:w="1280" w:type="dxa"/>
            <w:vAlign w:val="bottom"/>
            <w:shd w:val="clear" w:color="auto" w:fill="CFF0FC"/>
          </w:tcPr>
          <w:p>
            <w:pPr>
              <w:jc w:val="right"/>
              <w:ind w:right="9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Income</w:t>
            </w:r>
          </w:p>
        </w:tc>
      </w:tr>
      <w:tr>
        <w:trPr>
          <w:trHeight w:val="213"/>
        </w:trPr>
        <w:tc>
          <w:tcPr>
            <w:tcW w:w="40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for Income Tax</w:t>
            </w:r>
          </w:p>
        </w:tc>
      </w:tr>
      <w:tr>
        <w:trPr>
          <w:trHeight w:val="213"/>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w:t>
            </w:r>
          </w:p>
        </w:tc>
        <w:tc>
          <w:tcPr>
            <w:tcW w:w="12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Sale of Investment Securities Available-for-Sale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3400" w:type="dxa"/>
            <w:vAlign w:val="bottom"/>
          </w:tcPr>
          <w:p>
            <w:pPr>
              <w:ind w:left="180"/>
              <w:spacing w:after="0"/>
              <w:rPr>
                <w:sz w:val="20"/>
                <w:szCs w:val="20"/>
                <w:color w:val="auto"/>
              </w:rPr>
            </w:pPr>
            <w:r>
              <w:rPr>
                <w:rFonts w:ascii="Arial" w:cs="Arial" w:eastAsia="Arial" w:hAnsi="Arial"/>
                <w:sz w:val="16"/>
                <w:szCs w:val="16"/>
                <w:color w:val="auto"/>
              </w:rPr>
              <w:t>Investment Securities Gains (Losses), Net</w:t>
            </w:r>
          </w:p>
        </w:tc>
      </w:tr>
      <w:tr>
        <w:trPr>
          <w:trHeight w:val="219"/>
        </w:trPr>
        <w:tc>
          <w:tcPr>
            <w:tcW w:w="4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Provision for Income Tax</w:t>
            </w:r>
          </w:p>
        </w:tc>
      </w:tr>
      <w:tr>
        <w:trPr>
          <w:trHeight w:val="207"/>
        </w:trPr>
        <w:tc>
          <w:tcPr>
            <w:tcW w:w="4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3400" w:type="dxa"/>
            <w:vAlign w:val="bottom"/>
          </w:tcPr>
          <w:p>
            <w:pPr>
              <w:ind w:left="180"/>
              <w:spacing w:after="0"/>
              <w:rPr>
                <w:sz w:val="20"/>
                <w:szCs w:val="20"/>
                <w:color w:val="auto"/>
              </w:rPr>
            </w:pPr>
            <w:r>
              <w:rPr>
                <w:rFonts w:ascii="Arial" w:cs="Arial" w:eastAsia="Arial" w:hAnsi="Arial"/>
                <w:sz w:val="16"/>
                <w:szCs w:val="16"/>
                <w:color w:val="auto"/>
              </w:rPr>
              <w:t>Net of tax</w:t>
            </w:r>
          </w:p>
        </w:tc>
      </w:tr>
      <w:tr>
        <w:trPr>
          <w:trHeight w:val="219"/>
        </w:trPr>
        <w:tc>
          <w:tcPr>
            <w:tcW w:w="4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r>
      <w:tr>
        <w:trPr>
          <w:trHeight w:val="213"/>
        </w:trPr>
        <w:tc>
          <w:tcPr>
            <w:tcW w:w="4000" w:type="dxa"/>
            <w:vAlign w:val="bottom"/>
          </w:tcPr>
          <w:p>
            <w:pPr>
              <w:spacing w:after="0"/>
              <w:rPr>
                <w:sz w:val="20"/>
                <w:szCs w:val="20"/>
                <w:color w:val="auto"/>
              </w:rPr>
            </w:pPr>
            <w:r>
              <w:rPr>
                <w:rFonts w:ascii="Arial" w:cs="Arial" w:eastAsia="Arial" w:hAnsi="Arial"/>
                <w:sz w:val="16"/>
                <w:szCs w:val="16"/>
                <w:color w:val="auto"/>
              </w:rPr>
              <w:t>Amortization of Defined Benefit Plan Items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9"/>
        </w:trPr>
        <w:tc>
          <w:tcPr>
            <w:tcW w:w="400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Prior Service Credit </w:t>
            </w:r>
            <w:r>
              <w:rPr>
                <w:rFonts w:ascii="Arial" w:cs="Arial" w:eastAsia="Arial" w:hAnsi="Arial"/>
                <w:sz w:val="25"/>
                <w:szCs w:val="25"/>
                <w:color w:val="auto"/>
                <w:vertAlign w:val="superscript"/>
              </w:rPr>
              <w:t>2</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61</w:t>
            </w:r>
          </w:p>
        </w:tc>
        <w:tc>
          <w:tcPr>
            <w:tcW w:w="1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w:t>
            </w:r>
          </w:p>
        </w:tc>
        <w:tc>
          <w:tcPr>
            <w:tcW w:w="3400" w:type="dxa"/>
            <w:vAlign w:val="bottom"/>
            <w:shd w:val="clear" w:color="auto" w:fill="CFF0FC"/>
          </w:tcPr>
          <w:p>
            <w:pPr>
              <w:spacing w:after="0"/>
              <w:rPr>
                <w:sz w:val="19"/>
                <w:szCs w:val="19"/>
                <w:color w:val="auto"/>
              </w:rPr>
            </w:pPr>
          </w:p>
        </w:tc>
      </w:tr>
      <w:tr>
        <w:trPr>
          <w:trHeight w:val="216"/>
        </w:trPr>
        <w:tc>
          <w:tcPr>
            <w:tcW w:w="4000" w:type="dxa"/>
            <w:vAlign w:val="bottom"/>
            <w:tcBorders>
              <w:bottom w:val="single" w:sz="8" w:color="CFF0FC"/>
            </w:tcBorders>
          </w:tcPr>
          <w:p>
            <w:pPr>
              <w:ind w:left="260"/>
              <w:spacing w:after="0" w:line="216" w:lineRule="exact"/>
              <w:rPr>
                <w:sz w:val="20"/>
                <w:szCs w:val="20"/>
                <w:color w:val="auto"/>
              </w:rPr>
            </w:pPr>
            <w:r>
              <w:rPr>
                <w:rFonts w:ascii="Arial" w:cs="Arial" w:eastAsia="Arial" w:hAnsi="Arial"/>
                <w:sz w:val="15"/>
                <w:szCs w:val="15"/>
                <w:color w:val="auto"/>
              </w:rPr>
              <w:t xml:space="preserve">Net Actuarial Losses </w:t>
            </w:r>
            <w:r>
              <w:rPr>
                <w:rFonts w:ascii="Arial" w:cs="Arial" w:eastAsia="Arial" w:hAnsi="Arial"/>
                <w:sz w:val="25"/>
                <w:szCs w:val="25"/>
                <w:color w:val="auto"/>
                <w:vertAlign w:val="superscript"/>
              </w:rPr>
              <w:t>2</w:t>
            </w: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3400" w:type="dxa"/>
            <w:vAlign w:val="bottom"/>
            <w:tcBorders>
              <w:bottom w:val="single" w:sz="8" w:color="CFF0FC"/>
            </w:tcBorders>
          </w:tcPr>
          <w:p>
            <w:pPr>
              <w:spacing w:after="0"/>
              <w:rPr>
                <w:sz w:val="18"/>
                <w:szCs w:val="18"/>
                <w:color w:val="auto"/>
              </w:rPr>
            </w:pPr>
          </w:p>
        </w:tc>
      </w:tr>
      <w:tr>
        <w:trPr>
          <w:trHeight w:val="210"/>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(601)</w:t>
            </w:r>
          </w:p>
        </w:tc>
        <w:tc>
          <w:tcPr>
            <w:tcW w:w="12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Before Tax</w:t>
            </w:r>
          </w:p>
        </w:tc>
      </w:tr>
      <w:tr>
        <w:trPr>
          <w:trHeight w:val="213"/>
        </w:trPr>
        <w:tc>
          <w:tcPr>
            <w:tcW w:w="40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160</w:t>
            </w: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340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for Income Tax</w:t>
            </w:r>
          </w:p>
        </w:tc>
      </w:tr>
      <w:tr>
        <w:trPr>
          <w:trHeight w:val="209"/>
        </w:trPr>
        <w:tc>
          <w:tcPr>
            <w:tcW w:w="4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(441)</w:t>
            </w:r>
          </w:p>
        </w:tc>
        <w:tc>
          <w:tcPr>
            <w:tcW w:w="12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12"/>
        </w:trPr>
        <w:tc>
          <w:tcPr>
            <w:tcW w:w="4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3"/>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Total Reclassifications for the Period</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(534)</w:t>
            </w:r>
          </w:p>
        </w:tc>
        <w:tc>
          <w:tcPr>
            <w:tcW w:w="1280" w:type="dxa"/>
            <w:vAlign w:val="bottom"/>
            <w:shd w:val="clear" w:color="auto" w:fill="CFF0FC"/>
          </w:tcPr>
          <w:p>
            <w:pPr>
              <w:jc w:val="right"/>
              <w:ind w:right="9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of Tax</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Amounts in parentheses indicate reductions to net income.</w:t>
      </w:r>
    </w:p>
    <w:p>
      <w:pPr>
        <w:ind w:left="180" w:right="620" w:hanging="172"/>
        <w:spacing w:after="0" w:line="237" w:lineRule="auto"/>
        <w:tabs>
          <w:tab w:leader="none" w:pos="1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0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months ended March 31, 2021, and March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2540" w:type="dxa"/>
            <w:vAlign w:val="bottom"/>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7"/>
                <w:szCs w:val="17"/>
                <w:color w:val="auto"/>
              </w:rPr>
            </w:pPr>
          </w:p>
        </w:tc>
      </w:tr>
      <w:tr>
        <w:trPr>
          <w:trHeight w:val="213"/>
        </w:trPr>
        <w:tc>
          <w:tcPr>
            <w:tcW w:w="7720" w:type="dxa"/>
            <w:vAlign w:val="bottom"/>
          </w:tcPr>
          <w:p>
            <w:pPr>
              <w:spacing w:after="0"/>
              <w:rPr>
                <w:sz w:val="18"/>
                <w:szCs w:val="18"/>
                <w:color w:val="auto"/>
              </w:rPr>
            </w:pPr>
          </w:p>
        </w:tc>
        <w:tc>
          <w:tcPr>
            <w:tcW w:w="25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10"/>
        </w:trPr>
        <w:tc>
          <w:tcPr>
            <w:tcW w:w="77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Denominator for Basic Earnings Per Share</w:t>
            </w:r>
          </w:p>
        </w:tc>
        <w:tc>
          <w:tcPr>
            <w:tcW w:w="254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39,827,590</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39,681,611</w:t>
            </w: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Dilutive Effect of Equity Based Awards</w:t>
            </w:r>
          </w:p>
        </w:tc>
        <w:tc>
          <w:tcPr>
            <w:tcW w:w="25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243,887</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235,375</w:t>
            </w:r>
          </w:p>
        </w:tc>
      </w:tr>
      <w:tr>
        <w:trPr>
          <w:trHeight w:val="210"/>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Denominator for Diluted Earnings Per Share</w:t>
            </w:r>
          </w:p>
        </w:tc>
        <w:tc>
          <w:tcPr>
            <w:tcW w:w="254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6"/>
                <w:szCs w:val="16"/>
                <w:color w:val="auto"/>
              </w:rPr>
              <w:t>40,071,477</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39,916,986</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25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267,741</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106,602</w:t>
            </w: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business segments are defined as Consumer Banking, Commercial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3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provision for credit losses for the Consumer Banking and Commercial Banking business segments reflects the actual net charge-offs of those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3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our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198"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Consumer Banking offers a broad range of financial products and services, including loan, deposit and insurance products; private banking and international client banking services; trust services; investment management; and institutional investment advisory services. Consumer Banking also provides a full service brokerage offering equities, mutual funds, life insurance, and annuity products. Loan and lease products include residential mortgage loans, home equity lines of credit, automobile loans and leases, personal lines of credit, installment loans, small business loans and leases, and credit cards. Deposit products include checking, savings, and time deposit accounts.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Also within Consumer Banking, institutional client services offer investment advice to corporations, government entities, and foundations. Products and services from Consumer Banking are delivered to customers through 63 branch locations and 361 ATMs throughout Hawaii and the Pacific Islands, e-Bankoh (on-line banking service), a 24-hour customer service center, and a mobile banking service.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three months ended March 31, 2021, and March 31, 2020,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Consumer</w:t>
            </w:r>
          </w:p>
        </w:tc>
        <w:tc>
          <w:tcPr>
            <w:tcW w:w="28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34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Treasury</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w w:val="94"/>
              </w:rPr>
              <w:t>Consolidated</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Banking</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March 31, 2021</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Net Interest Income</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69,762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47,143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3,664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120,569</w:t>
            </w:r>
          </w:p>
        </w:tc>
      </w:tr>
      <w:tr>
        <w:trPr>
          <w:trHeight w:val="216"/>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2,866</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50</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(17,216)</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(14,300)</w:t>
            </w:r>
          </w:p>
        </w:tc>
      </w:tr>
      <w:tr>
        <w:trPr>
          <w:trHeight w:val="209"/>
        </w:trPr>
        <w:tc>
          <w:tcPr>
            <w:tcW w:w="4660" w:type="dxa"/>
            <w:vAlign w:val="bottom"/>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14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66,896</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47,093</w:t>
            </w:r>
          </w:p>
        </w:tc>
        <w:tc>
          <w:tcPr>
            <w:tcW w:w="34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20,880</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134,869</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33,698</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7,858</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1,414</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42,970</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(78,181)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(15,677)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(98,865)</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22,413</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39,274</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17,287</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78,974</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(5,474)</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(9,558)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(3,993)</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(19,025)</w:t>
            </w:r>
          </w:p>
        </w:tc>
      </w:tr>
      <w:tr>
        <w:trPr>
          <w:trHeight w:val="210"/>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16,939</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29,716</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13,294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59,949</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Assets as of March 31, 2021</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7,556,756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5,224,386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9,166,129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21,947,271</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4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Arial" w:cs="Arial" w:eastAsia="Arial" w:hAnsi="Arial"/>
                <w:sz w:val="15"/>
                <w:szCs w:val="15"/>
                <w:b w:val="1"/>
                <w:bCs w:val="1"/>
                <w:color w:val="auto"/>
              </w:rPr>
              <w:t>Three Months Ended March 31, 2020</w:t>
            </w:r>
            <w:r>
              <w:rPr>
                <w:rFonts w:ascii="Arial" w:cs="Arial" w:eastAsia="Arial" w:hAnsi="Arial"/>
                <w:sz w:val="25"/>
                <w:szCs w:val="25"/>
                <w:b w:val="1"/>
                <w:bCs w:val="1"/>
                <w:color w:val="auto"/>
                <w:vertAlign w:val="superscript"/>
              </w:rPr>
              <w:t>1</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Net Interest Income</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73,914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45,237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6,815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125,966</w:t>
            </w:r>
          </w:p>
        </w:tc>
      </w:tr>
      <w:tr>
        <w:trPr>
          <w:trHeight w:val="216"/>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14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3,451</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290</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29,859</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33,600</w:t>
            </w:r>
          </w:p>
        </w:tc>
      </w:tr>
      <w:tr>
        <w:trPr>
          <w:trHeight w:val="209"/>
        </w:trPr>
        <w:tc>
          <w:tcPr>
            <w:tcW w:w="4660" w:type="dxa"/>
            <w:vAlign w:val="bottom"/>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14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70,463</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44,947</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(23,044)</w:t>
            </w:r>
          </w:p>
        </w:tc>
        <w:tc>
          <w:tcPr>
            <w:tcW w:w="2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92,366</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Noninterest Income</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32,590</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11,735</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1,824</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46,149</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Noninterest Expense</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(70,746)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(17,346)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(96,312)</w:t>
            </w:r>
          </w:p>
        </w:tc>
      </w:tr>
      <w:tr>
        <w:trPr>
          <w:trHeight w:val="213"/>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Income Before Provision for Income Taxes</w:t>
            </w:r>
          </w:p>
        </w:tc>
        <w:tc>
          <w:tcPr>
            <w:tcW w:w="1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32,307</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39,336</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(29,440)</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42,203</w:t>
            </w:r>
          </w:p>
        </w:tc>
      </w:tr>
      <w:tr>
        <w:trPr>
          <w:trHeight w:val="213"/>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(9,555)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10,210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w:t>
            </w:r>
          </w:p>
        </w:tc>
      </w:tr>
      <w:tr>
        <w:trPr>
          <w:trHeight w:val="210"/>
        </w:trPr>
        <w:tc>
          <w:tcPr>
            <w:tcW w:w="4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14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24,191</w:t>
            </w:r>
          </w:p>
        </w:tc>
        <w:tc>
          <w:tcPr>
            <w:tcW w:w="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29,781</w:t>
            </w:r>
          </w:p>
        </w:tc>
        <w:tc>
          <w:tcPr>
            <w:tcW w:w="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(19,230)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34,742</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9"/>
        </w:trPr>
        <w:tc>
          <w:tcPr>
            <w:tcW w:w="4660" w:type="dxa"/>
            <w:vAlign w:val="bottom"/>
            <w:tcBorders>
              <w:bottom w:val="single" w:sz="8" w:color="auto"/>
            </w:tcBorders>
          </w:tcPr>
          <w:p>
            <w:pPr>
              <w:spacing w:after="0" w:line="199" w:lineRule="exact"/>
              <w:rPr>
                <w:sz w:val="20"/>
                <w:szCs w:val="20"/>
                <w:color w:val="auto"/>
              </w:rPr>
            </w:pPr>
            <w:r>
              <w:rPr>
                <w:rFonts w:ascii="Arial" w:cs="Arial" w:eastAsia="Arial" w:hAnsi="Arial"/>
                <w:sz w:val="14"/>
                <w:szCs w:val="14"/>
                <w:b w:val="1"/>
                <w:bCs w:val="1"/>
                <w:color w:val="auto"/>
              </w:rPr>
              <w:t>Total Assets as of March 31, 2020</w:t>
            </w:r>
            <w:r>
              <w:rPr>
                <w:rFonts w:ascii="Arial" w:cs="Arial" w:eastAsia="Arial" w:hAnsi="Arial"/>
                <w:sz w:val="23"/>
                <w:szCs w:val="23"/>
                <w:b w:val="1"/>
                <w:bCs w:val="1"/>
                <w:color w:val="auto"/>
                <w:vertAlign w:val="superscript"/>
              </w:rPr>
              <w:t>1</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7,388,217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4,728,651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6,425,365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18,542,233</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00" w:hanging="92"/>
        <w:spacing w:after="0"/>
        <w:tabs>
          <w:tab w:leader="none" w:pos="100" w:val="left"/>
        </w:tabs>
        <w:numPr>
          <w:ilvl w:val="0"/>
          <w:numId w:val="24"/>
        </w:numPr>
        <w:rPr>
          <w:rFonts w:ascii="Arial" w:cs="Arial" w:eastAsia="Arial" w:hAnsi="Arial"/>
          <w:sz w:val="12"/>
          <w:szCs w:val="12"/>
          <w:color w:val="auto"/>
        </w:rPr>
      </w:pPr>
      <w:r>
        <w:rPr>
          <w:rFonts w:ascii="Arial" w:cs="Arial" w:eastAsia="Arial" w:hAnsi="Arial"/>
          <w:sz w:val="14"/>
          <w:szCs w:val="14"/>
          <w:color w:val="auto"/>
        </w:rPr>
        <w:t>Certain prior period information has been reclassified to conform to current presentation.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months ended March 31, 2021, and March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Pension Benefits</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Postretirement Benefits</w:t>
            </w:r>
          </w:p>
        </w:tc>
        <w:tc>
          <w:tcPr>
            <w:tcW w:w="620" w:type="dxa"/>
            <w:vAlign w:val="bottom"/>
            <w:tcBorders>
              <w:bottom w:val="single" w:sz="8" w:color="auto"/>
            </w:tcBorders>
          </w:tcPr>
          <w:p>
            <w:pPr>
              <w:spacing w:after="0"/>
              <w:rPr>
                <w:sz w:val="18"/>
                <w:szCs w:val="18"/>
                <w:color w:val="auto"/>
              </w:rPr>
            </w:pP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5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176</w:t>
            </w:r>
          </w:p>
        </w:tc>
        <w:tc>
          <w:tcPr>
            <w:tcW w:w="92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151</w:t>
            </w:r>
          </w:p>
        </w:tc>
      </w:tr>
      <w:tr>
        <w:trPr>
          <w:trHeight w:val="219"/>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727</w:t>
            </w: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206</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231</w:t>
            </w: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(1,148)</w:t>
            </w: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19"/>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w:t>
            </w: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r>
      <w:tr>
        <w:trPr>
          <w:trHeight w:val="213"/>
        </w:trPr>
        <w:tc>
          <w:tcPr>
            <w:tcW w:w="5080" w:type="dxa"/>
            <w:vAlign w:val="bottom"/>
          </w:tcPr>
          <w:p>
            <w:pPr>
              <w:ind w:left="26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6"/>
        </w:trPr>
        <w:tc>
          <w:tcPr>
            <w:tcW w:w="50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Net Actuarial Losses</w:t>
            </w: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662</w:t>
            </w:r>
          </w:p>
        </w:tc>
        <w:tc>
          <w:tcPr>
            <w:tcW w:w="7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570</w:t>
            </w:r>
          </w:p>
        </w:tc>
        <w:tc>
          <w:tcPr>
            <w:tcW w:w="1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0"/>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241</w:t>
            </w:r>
          </w:p>
        </w:tc>
        <w:tc>
          <w:tcPr>
            <w:tcW w:w="7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321</w:t>
            </w:r>
          </w:p>
        </w:tc>
        <w:tc>
          <w:tcPr>
            <w:tcW w:w="9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321</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service cost component of net periodic benefit cost is included in salaries and benefits and all other components of net periodic benefit cost are included in other noninterest expense in the consolidated statements of income for the Company’s pension plans and postretirement benefit plan. For the three months ended March 31, 2021, the Company contributed $0.1 million to the pension plans and $0.3 million to the postretirement benefit plan. The Company expects to contribute a total of $0.4 million to the pension plans and $1.2 million to the postretirement benefit plan for the year ending December 31,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notional amount and fair value of the Company’s derivative financial instruments as of March 31, 2021, and December 31, 2020,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ind w:left="440"/>
              <w:spacing w:after="0"/>
              <w:rPr>
                <w:sz w:val="20"/>
                <w:szCs w:val="20"/>
                <w:color w:val="auto"/>
              </w:rPr>
            </w:pPr>
            <w:r>
              <w:rPr>
                <w:rFonts w:ascii="Arial" w:cs="Arial" w:eastAsia="Arial" w:hAnsi="Arial"/>
                <w:sz w:val="16"/>
                <w:szCs w:val="16"/>
                <w:b w:val="1"/>
                <w:bCs w:val="1"/>
                <w:color w:val="auto"/>
              </w:rPr>
              <w:t>March 31, 2021</w:t>
            </w:r>
          </w:p>
        </w:tc>
        <w:tc>
          <w:tcPr>
            <w:tcW w:w="280" w:type="dxa"/>
            <w:vAlign w:val="bottom"/>
          </w:tcPr>
          <w:p>
            <w:pPr>
              <w:spacing w:after="0"/>
              <w:rPr>
                <w:sz w:val="18"/>
                <w:szCs w:val="18"/>
                <w:color w:val="auto"/>
              </w:rPr>
            </w:pPr>
          </w:p>
        </w:tc>
        <w:tc>
          <w:tcPr>
            <w:tcW w:w="236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December 31, 2020</w:t>
            </w:r>
          </w:p>
        </w:tc>
      </w:tr>
      <w:tr>
        <w:trPr>
          <w:trHeight w:val="199"/>
        </w:trPr>
        <w:tc>
          <w:tcPr>
            <w:tcW w:w="58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Notional</w:t>
            </w: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Notional</w:t>
            </w: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100,322</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102,881</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4,947</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Forward Commitments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102,778</w:t>
            </w: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158,759</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Receive Fixed/Pay Variable Swaps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1,370,386</w:t>
            </w: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24,416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1,362,778</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90,130</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 Fixed/Receive Variable Swaps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1,370,386</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(11,627)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1,362,778</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(17,197)</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88,919</w:t>
            </w:r>
          </w:p>
        </w:tc>
        <w:tc>
          <w:tcPr>
            <w:tcW w:w="3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2,345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90,587</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866</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Conversion Rate Swap Agreement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129,020</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133,286</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March 31, 2021, and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20"/>
                <w:szCs w:val="20"/>
                <w:color w:val="auto"/>
              </w:rPr>
            </w:pPr>
            <w:r>
              <w:rPr>
                <w:rFonts w:ascii="Arial" w:cs="Arial" w:eastAsia="Arial" w:hAnsi="Arial"/>
                <w:sz w:val="16"/>
                <w:szCs w:val="16"/>
                <w:b w:val="1"/>
                <w:bCs w:val="1"/>
                <w:color w:val="auto"/>
              </w:rPr>
              <w:t>Derivative Financial Instruments</w:t>
            </w:r>
          </w:p>
        </w:tc>
        <w:tc>
          <w:tcPr>
            <w:tcW w:w="200" w:type="dxa"/>
            <w:vAlign w:val="bottom"/>
          </w:tcPr>
          <w:p>
            <w:pPr>
              <w:spacing w:after="0"/>
              <w:rPr>
                <w:sz w:val="18"/>
                <w:szCs w:val="18"/>
                <w:color w:val="auto"/>
              </w:rPr>
            </w:pPr>
          </w:p>
        </w:tc>
        <w:tc>
          <w:tcPr>
            <w:tcW w:w="2560" w:type="dxa"/>
            <w:vAlign w:val="bottom"/>
            <w:gridSpan w:val="4"/>
          </w:tcPr>
          <w:p>
            <w:pPr>
              <w:ind w:left="52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c>
          <w:tcPr>
            <w:tcW w:w="242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December 31, 2020</w:t>
            </w:r>
          </w:p>
        </w:tc>
      </w:tr>
      <w:tr>
        <w:trPr>
          <w:trHeight w:val="215"/>
        </w:trPr>
        <w:tc>
          <w:tcPr>
            <w:tcW w:w="5840" w:type="dxa"/>
            <w:vAlign w:val="bottom"/>
          </w:tcPr>
          <w:p>
            <w:pPr>
              <w:ind w:left="260"/>
              <w:spacing w:after="0" w:line="216" w:lineRule="exact"/>
              <w:rPr>
                <w:sz w:val="20"/>
                <w:szCs w:val="20"/>
                <w:color w:val="auto"/>
              </w:rPr>
            </w:pPr>
            <w:r>
              <w:rPr>
                <w:rFonts w:ascii="Arial" w:cs="Arial" w:eastAsia="Arial" w:hAnsi="Arial"/>
                <w:sz w:val="15"/>
                <w:szCs w:val="15"/>
                <w:b w:val="1"/>
                <w:bCs w:val="1"/>
                <w:color w:val="auto"/>
              </w:rPr>
              <w:t xml:space="preserve">Not Designated as Hedging Instruments </w:t>
            </w:r>
            <w:r>
              <w:rPr>
                <w:rFonts w:ascii="Arial" w:cs="Arial" w:eastAsia="Arial" w:hAnsi="Arial"/>
                <w:sz w:val="24"/>
                <w:szCs w:val="24"/>
                <w:b w:val="1"/>
                <w:bCs w:val="1"/>
                <w:color w:val="auto"/>
                <w:vertAlign w:val="superscript"/>
              </w:rPr>
              <w:t>1</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Asset</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Liability</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Asset</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Liability</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Derivatives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Derivatives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Derivatives</w:t>
            </w:r>
          </w:p>
        </w:tc>
      </w:tr>
      <w:tr>
        <w:trPr>
          <w:trHeight w:val="21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2,704</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4,947</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Forward Commitments</w:t>
            </w:r>
          </w:p>
        </w:tc>
        <w:tc>
          <w:tcPr>
            <w:tcW w:w="20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794</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740</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42,339</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29,561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90,342</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17,409</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Contracts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2,395</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r>
      <w:tr>
        <w:trPr>
          <w:trHeight w:val="210"/>
        </w:trPr>
        <w:tc>
          <w:tcPr>
            <w:tcW w:w="58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46,977</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32,002</w:t>
            </w:r>
          </w:p>
        </w:tc>
        <w:tc>
          <w:tcPr>
            <w:tcW w:w="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96,167</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18,161</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months ended March 31, 2021, and March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9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Location of</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6"/>
                <w:szCs w:val="16"/>
                <w:b w:val="1"/>
                <w:bCs w:val="1"/>
                <w:color w:val="auto"/>
              </w:rPr>
              <w:t>Derivative Financial Instruments</w:t>
            </w:r>
          </w:p>
        </w:tc>
        <w:tc>
          <w:tcPr>
            <w:tcW w:w="39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Net Gains (Losses)</w:t>
            </w:r>
          </w:p>
        </w:tc>
        <w:tc>
          <w:tcPr>
            <w:tcW w:w="19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r>
      <w:tr>
        <w:trPr>
          <w:trHeight w:val="219"/>
        </w:trPr>
        <w:tc>
          <w:tcPr>
            <w:tcW w:w="4700" w:type="dxa"/>
            <w:vAlign w:val="bottom"/>
          </w:tcPr>
          <w:p>
            <w:pPr>
              <w:ind w:left="260"/>
              <w:spacing w:after="0"/>
              <w:rPr>
                <w:sz w:val="20"/>
                <w:szCs w:val="20"/>
                <w:color w:val="auto"/>
              </w:rPr>
            </w:pPr>
            <w:r>
              <w:rPr>
                <w:rFonts w:ascii="Arial" w:cs="Arial" w:eastAsia="Arial" w:hAnsi="Arial"/>
                <w:sz w:val="16"/>
                <w:szCs w:val="16"/>
                <w:b w:val="1"/>
                <w:bCs w:val="1"/>
                <w:color w:val="auto"/>
              </w:rPr>
              <w:t>Not Designated as Hedging Instruments</w:t>
            </w:r>
          </w:p>
        </w:tc>
        <w:tc>
          <w:tcPr>
            <w:tcW w:w="39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Recognized in the</w:t>
            </w:r>
          </w:p>
        </w:tc>
        <w:tc>
          <w:tcPr>
            <w:tcW w:w="19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9"/>
                <w:szCs w:val="19"/>
                <w:color w:val="auto"/>
              </w:rPr>
            </w:pPr>
          </w:p>
        </w:tc>
      </w:tr>
      <w:tr>
        <w:trPr>
          <w:trHeight w:val="210"/>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Statements of Income</w:t>
            </w: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39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Mortgage Banking  $</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773</w:t>
            </w:r>
          </w:p>
        </w:tc>
        <w:tc>
          <w:tcPr>
            <w:tcW w:w="88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6,303</w:t>
            </w: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Forward Commitments</w:t>
            </w:r>
          </w:p>
        </w:tc>
        <w:tc>
          <w:tcPr>
            <w:tcW w:w="3920" w:type="dxa"/>
            <w:vAlign w:val="bottom"/>
            <w:gridSpan w:val="2"/>
          </w:tcPr>
          <w:p>
            <w:pPr>
              <w:jc w:val="right"/>
              <w:ind w:right="560"/>
              <w:spacing w:after="0"/>
              <w:rPr>
                <w:sz w:val="20"/>
                <w:szCs w:val="20"/>
                <w:color w:val="auto"/>
              </w:rPr>
            </w:pPr>
            <w:r>
              <w:rPr>
                <w:rFonts w:ascii="Arial" w:cs="Arial" w:eastAsia="Arial" w:hAnsi="Arial"/>
                <w:sz w:val="16"/>
                <w:szCs w:val="16"/>
                <w:color w:val="auto"/>
              </w:rPr>
              <w:t>Mortgage Banking</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3,227</w:t>
            </w: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(2,184)</w:t>
            </w:r>
          </w:p>
        </w:tc>
      </w:tr>
      <w:tr>
        <w:trPr>
          <w:trHeight w:val="219"/>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3920" w:type="dxa"/>
            <w:vAlign w:val="bottom"/>
            <w:gridSpan w:val="2"/>
            <w:shd w:val="clear" w:color="auto" w:fill="CFF0FC"/>
          </w:tcPr>
          <w:p>
            <w:pPr>
              <w:jc w:val="right"/>
              <w:ind w:right="560"/>
              <w:spacing w:after="0"/>
              <w:rPr>
                <w:sz w:val="20"/>
                <w:szCs w:val="20"/>
                <w:color w:val="auto"/>
              </w:rPr>
            </w:pPr>
            <w:r>
              <w:rPr>
                <w:rFonts w:ascii="Arial" w:cs="Arial" w:eastAsia="Arial" w:hAnsi="Arial"/>
                <w:sz w:val="16"/>
                <w:szCs w:val="16"/>
                <w:color w:val="auto"/>
              </w:rPr>
              <w:t>Other Noninterest Income</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1,604</w:t>
            </w: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6,438</w:t>
            </w:r>
          </w:p>
        </w:tc>
      </w:tr>
      <w:tr>
        <w:trPr>
          <w:trHeight w:val="213"/>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Foreign Exchange Contracts</w:t>
            </w:r>
          </w:p>
        </w:tc>
        <w:tc>
          <w:tcPr>
            <w:tcW w:w="39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color w:val="auto"/>
              </w:rPr>
              <w:t>Other Noninterest Income</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271</w:t>
            </w:r>
          </w:p>
        </w:tc>
        <w:tc>
          <w:tcPr>
            <w:tcW w:w="8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714</w:t>
            </w:r>
          </w:p>
        </w:tc>
      </w:tr>
      <w:tr>
        <w:trPr>
          <w:trHeight w:val="210"/>
        </w:trPr>
        <w:tc>
          <w:tcPr>
            <w:tcW w:w="4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392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5,875</w:t>
            </w:r>
          </w:p>
        </w:tc>
        <w:tc>
          <w:tcPr>
            <w:tcW w:w="8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11,271</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March 31, 2021, and December 31, 2020,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pacing w:after="0" w:line="1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3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third-party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2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The majority of the Company’s swap agreements executed with third-party financial institutions are now required to be cleared through one of the clearinghouses. The uncleared swap agreements executed with third-party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4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As certain sales of Visa Class B restricted shares were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March 31, 2021, and December 31, 2020,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March 31, 2021, and December 31, 2020,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9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Unfunded Commitments to Extend Credit</w:t>
            </w:r>
          </w:p>
        </w:tc>
        <w:tc>
          <w:tcPr>
            <w:tcW w:w="296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2,837,258</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2,787,123</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Standby Letters of Credit</w:t>
            </w:r>
          </w:p>
        </w:tc>
        <w:tc>
          <w:tcPr>
            <w:tcW w:w="296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102,531</w:t>
            </w:r>
          </w:p>
        </w:tc>
        <w:tc>
          <w:tcPr>
            <w:tcW w:w="50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100,186</w:t>
            </w:r>
          </w:p>
        </w:tc>
      </w:tr>
      <w:tr>
        <w:trPr>
          <w:trHeight w:val="216"/>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Commercial Letters of Credit</w:t>
            </w:r>
          </w:p>
        </w:tc>
        <w:tc>
          <w:tcPr>
            <w:tcW w:w="29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11,321</w:t>
            </w:r>
          </w:p>
        </w:tc>
        <w:tc>
          <w:tcPr>
            <w:tcW w:w="5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10,511</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Credit Commitments</w:t>
            </w:r>
          </w:p>
        </w:tc>
        <w:tc>
          <w:tcPr>
            <w:tcW w:w="2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2,951,110</w:t>
            </w: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2,897,820</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18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9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September 9, 2016, a purported class action lawsuit was filed by a Bank customer primarily alleging Bank of Hawaii’s practice of determining whether consumer deposit accounts were overdrawn based on “available balance” (which deducts debit card transactions that have taken place but which have not yet been posted) was not properly applied or disclosed to customers. On December 6, 2019, the parties executed a settlement agreement subject to court approval. The settlement provides for forgiveness of certain related and previously charged off overdraft fees, and a payment by the Company of $8.0 million into a class settlement fund the proceeds of which will be used to refund class members, and to pay attorneys’ fees, administrative and other costs, in exchange for a complete release of all claims asserted against the Company. As of December 31, 2020, the Company had reserved $8.0 million relating to this claim. On December 22, 2020, the Court issued an Order Granting Final Approval of Class Action Settlement and the settlement became effective on January 21, 2021. Refunds to current customers were issued by the Bank on January 26, 2021, and the Claims Administrator is in the process of issuing refunds to class members with closed accounts.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18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March 31, 2021, the unpaid principal balance of residential mortgage loans sold by the Company was $2.4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three months ended March 31, 2021, there were $0.6 million in residential mortgage loans repurchased as a result of the representation and warranty provisions contained in the applicable contract. As of March 31, 2021, there was no pending repurchase requests related to representation and warranty provisions.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19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three months ended March 31, 2021, there were no loans repurchased related to loan servicing activities. As of March 31, 2021, there were no pending repurchase requests related to loan servicing activities.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w:t>
      </w:r>
    </w:p>
    <w:p>
      <w:pPr>
        <w:ind w:right="240"/>
        <w:spacing w:after="0" w:line="295" w:lineRule="auto"/>
        <w:rPr>
          <w:sz w:val="20"/>
          <w:szCs w:val="20"/>
          <w:color w:val="auto"/>
        </w:rPr>
      </w:pPr>
      <w:r>
        <w:rPr>
          <w:rFonts w:ascii="Arial" w:cs="Arial" w:eastAsia="Arial" w:hAnsi="Arial"/>
          <w:sz w:val="16"/>
          <w:szCs w:val="16"/>
          <w:color w:val="auto"/>
        </w:rPr>
        <w:t>loans. However, as of March 31, 2021, management believes that this exposure is not material due to the historical level of repurchase requests and loss trends and thus has not established a liability for losses related to mortgage loan repurchases. As of March 31, 2021,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ectPr>
          <w:pgSz w:w="11900" w:h="16838" w:orient="portrait"/>
          <w:cols w:equalWidth="0" w:num="1">
            <w:col w:w="11220"/>
          </w:cols>
          <w:pgMar w:left="320" w:top="130" w:right="359" w:bottom="1440" w:gutter="0" w:footer="0" w:header="0"/>
        </w:sectPr>
      </w:pPr>
    </w:p>
    <w:p>
      <w:pPr>
        <w:spacing w:after="0" w:line="22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49"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ectPr>
          <w:pgSz w:w="11900" w:h="16838" w:orient="portrait"/>
          <w:cols w:equalWidth="0" w:num="2">
            <w:col w:w="1120" w:space="440"/>
            <w:col w:w="9660"/>
          </w:cols>
          <w:pgMar w:left="320" w:top="130" w:right="359" w:bottom="1440" w:gutter="0" w:footer="0" w:header="0"/>
          <w:type w:val="continuous"/>
        </w:sectPr>
      </w:pPr>
    </w:p>
    <w:p>
      <w:pPr>
        <w:spacing w:after="0" w:line="68"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Level 3:</w:t>
            </w:r>
          </w:p>
        </w:tc>
        <w:tc>
          <w:tcPr>
            <w:tcW w:w="9080" w:type="dxa"/>
            <w:vAlign w:val="bottom"/>
          </w:tcPr>
          <w:p>
            <w:pPr>
              <w:ind w:left="220"/>
              <w:spacing w:after="0"/>
              <w:rPr>
                <w:sz w:val="20"/>
                <w:szCs w:val="20"/>
                <w:color w:val="auto"/>
              </w:rPr>
            </w:pPr>
            <w:r>
              <w:rPr>
                <w:rFonts w:ascii="Arial" w:cs="Arial" w:eastAsia="Arial" w:hAnsi="Arial"/>
                <w:sz w:val="18"/>
                <w:szCs w:val="18"/>
                <w:color w:val="auto"/>
                <w:w w:val="90"/>
              </w:rPr>
              <w:t>Inputs to the valuation methodology are unobservable and significant to the fair value measurement; inputs to the valuation</w:t>
            </w:r>
          </w:p>
        </w:tc>
      </w:tr>
      <w:tr>
        <w:trPr>
          <w:trHeight w:val="215"/>
        </w:trPr>
        <w:tc>
          <w:tcPr>
            <w:tcW w:w="800" w:type="dxa"/>
            <w:vAlign w:val="bottom"/>
          </w:tcPr>
          <w:p>
            <w:pPr>
              <w:spacing w:after="0"/>
              <w:rPr>
                <w:sz w:val="18"/>
                <w:szCs w:val="18"/>
                <w:color w:val="auto"/>
              </w:rPr>
            </w:pPr>
          </w:p>
        </w:tc>
        <w:tc>
          <w:tcPr>
            <w:tcW w:w="9080" w:type="dxa"/>
            <w:vAlign w:val="bottom"/>
          </w:tcPr>
          <w:p>
            <w:pPr>
              <w:ind w:left="220"/>
              <w:spacing w:after="0"/>
              <w:rPr>
                <w:sz w:val="20"/>
                <w:szCs w:val="20"/>
                <w:color w:val="auto"/>
              </w:rPr>
            </w:pPr>
            <w:r>
              <w:rPr>
                <w:rFonts w:ascii="Arial" w:cs="Arial" w:eastAsia="Arial" w:hAnsi="Arial"/>
                <w:sz w:val="18"/>
                <w:szCs w:val="18"/>
                <w:color w:val="auto"/>
                <w:w w:val="93"/>
              </w:rPr>
              <w:t>methodology that utilize model-based techniques for which significant assumptions are not observable in the market; or</w:t>
            </w:r>
          </w:p>
        </w:tc>
      </w:tr>
      <w:tr>
        <w:trPr>
          <w:trHeight w:val="216"/>
        </w:trPr>
        <w:tc>
          <w:tcPr>
            <w:tcW w:w="800" w:type="dxa"/>
            <w:vAlign w:val="bottom"/>
          </w:tcPr>
          <w:p>
            <w:pPr>
              <w:spacing w:after="0"/>
              <w:rPr>
                <w:sz w:val="18"/>
                <w:szCs w:val="18"/>
                <w:color w:val="auto"/>
              </w:rPr>
            </w:pPr>
          </w:p>
        </w:tc>
        <w:tc>
          <w:tcPr>
            <w:tcW w:w="9080" w:type="dxa"/>
            <w:vAlign w:val="bottom"/>
          </w:tcPr>
          <w:p>
            <w:pPr>
              <w:ind w:left="220"/>
              <w:spacing w:after="0"/>
              <w:rPr>
                <w:sz w:val="20"/>
                <w:szCs w:val="20"/>
                <w:color w:val="auto"/>
              </w:rPr>
            </w:pPr>
            <w:r>
              <w:rPr>
                <w:rFonts w:ascii="Arial" w:cs="Arial" w:eastAsia="Arial" w:hAnsi="Arial"/>
                <w:sz w:val="18"/>
                <w:szCs w:val="18"/>
                <w:color w:val="auto"/>
                <w:w w:val="93"/>
              </w:rPr>
              <w:t>inputs to the valuation methodology that require significant management judgment or estimation, some of which may be</w:t>
            </w:r>
          </w:p>
        </w:tc>
      </w:tr>
      <w:tr>
        <w:trPr>
          <w:trHeight w:val="230"/>
        </w:trPr>
        <w:tc>
          <w:tcPr>
            <w:tcW w:w="800" w:type="dxa"/>
            <w:vAlign w:val="bottom"/>
          </w:tcPr>
          <w:p>
            <w:pPr>
              <w:spacing w:after="0"/>
              <w:rPr>
                <w:sz w:val="20"/>
                <w:szCs w:val="20"/>
                <w:color w:val="auto"/>
              </w:rPr>
            </w:pPr>
          </w:p>
        </w:tc>
        <w:tc>
          <w:tcPr>
            <w:tcW w:w="9080" w:type="dxa"/>
            <w:vAlign w:val="bottom"/>
          </w:tcPr>
          <w:p>
            <w:pPr>
              <w:ind w:left="220"/>
              <w:spacing w:after="0"/>
              <w:rPr>
                <w:sz w:val="20"/>
                <w:szCs w:val="20"/>
                <w:color w:val="auto"/>
              </w:rPr>
            </w:pPr>
            <w:r>
              <w:rPr>
                <w:rFonts w:ascii="Arial" w:cs="Arial" w:eastAsia="Arial" w:hAnsi="Arial"/>
                <w:sz w:val="18"/>
                <w:szCs w:val="18"/>
                <w:color w:val="auto"/>
              </w:rPr>
              <w:t>internally developed.</w:t>
            </w:r>
          </w:p>
        </w:tc>
      </w:tr>
    </w:tbl>
    <w:p>
      <w:pPr>
        <w:spacing w:after="0" w:line="32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18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 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a second source. The Company’s third-party pricing service has also established processes for us to submit inquiries regarding quoted prices. Periodically, based on these reviews, the Company will challenge 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dealer quotes; benchmark yields and spreads; as well as other reference data as appropriate. Based on this review, management determines whether the current placement of the security in the fair value hierarchy is appropriate or whether transfers may be warranted.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October 2020, the Company revised its discounted cash flow valuation methodology for cleared interest rate swaps with financial institution counterparties (and the related customer interest rate swaps) to align with changes made by central clearinghouses when they migrated from the Effective Federal Funds Rate to the Secured Overnight Financing Rate for discounting, price alignment, and margining purposes. The changes in valuation methodology are applied prospectively as a change in accounting estimate and are immaterial to the Company’s financial statements. The valuation methodology for uncleared interest rate swaps remains based on the Effective Federal Funds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March 31, 2021, and December 31, 2020, the conversion rate swap agreements were valued at zero as reductions to the conversion ratio were neither probable nor reasonably estimable by management.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balances of assets and liabilities measured at fair value on a recurring basis as of March 31, 2021, and December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w w:val="90"/>
              </w:rPr>
              <w:t>Quoted Prices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in Active</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Significant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Markets for</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Significant</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8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Identical Assets</w:t>
            </w:r>
          </w:p>
        </w:tc>
        <w:tc>
          <w:tcPr>
            <w:tcW w:w="34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Observable</w:t>
            </w:r>
          </w:p>
        </w:tc>
        <w:tc>
          <w:tcPr>
            <w:tcW w:w="26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Unobservable</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5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or Liabilities</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Inputs</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Inputs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12"/>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06"/>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the U.S. Treasury and Government</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5220" w:type="dxa"/>
            <w:vAlign w:val="bottom"/>
          </w:tcPr>
          <w:p>
            <w:pPr>
              <w:ind w:left="380"/>
              <w:spacing w:after="0"/>
              <w:rPr>
                <w:sz w:val="20"/>
                <w:szCs w:val="20"/>
                <w:color w:val="auto"/>
              </w:rPr>
            </w:pPr>
            <w:r>
              <w:rPr>
                <w:rFonts w:ascii="Arial" w:cs="Arial" w:eastAsia="Arial" w:hAnsi="Arial"/>
                <w:sz w:val="16"/>
                <w:szCs w:val="16"/>
                <w:color w:val="auto"/>
              </w:rPr>
              <w:t>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916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164,306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165,222</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24,325</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24,325</w:t>
            </w:r>
          </w:p>
        </w:tc>
      </w:tr>
      <w:tr>
        <w:trPr>
          <w:trHeight w:val="206"/>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U.S. Government-Sponsored</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5220" w:type="dxa"/>
            <w:vAlign w:val="bottom"/>
          </w:tcPr>
          <w:p>
            <w:pPr>
              <w:ind w:left="380"/>
              <w:spacing w:after="0"/>
              <w:rPr>
                <w:sz w:val="20"/>
                <w:szCs w:val="20"/>
                <w:color w:val="auto"/>
              </w:rPr>
            </w:pPr>
            <w:r>
              <w:rPr>
                <w:rFonts w:ascii="Arial" w:cs="Arial" w:eastAsia="Arial" w:hAnsi="Arial"/>
                <w:sz w:val="16"/>
                <w:szCs w:val="16"/>
                <w:color w:val="auto"/>
              </w:rPr>
              <w:t>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1,035</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1,035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222,115</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222,115</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Mortgage-Backed Securities:</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1,585,345</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1,585,345</w:t>
            </w:r>
          </w:p>
        </w:tc>
      </w:tr>
      <w:tr>
        <w:trPr>
          <w:trHeight w:val="213"/>
        </w:trPr>
        <w:tc>
          <w:tcPr>
            <w:tcW w:w="5220" w:type="dxa"/>
            <w:vAlign w:val="bottom"/>
          </w:tcPr>
          <w:p>
            <w:pPr>
              <w:ind w:left="50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1,807,929</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1,807,929</w:t>
            </w:r>
          </w:p>
        </w:tc>
      </w:tr>
      <w:tr>
        <w:trPr>
          <w:trHeight w:val="216"/>
        </w:trPr>
        <w:tc>
          <w:tcPr>
            <w:tcW w:w="52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218,792</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218,792</w:t>
            </w:r>
          </w:p>
        </w:tc>
      </w:tr>
      <w:tr>
        <w:trPr>
          <w:trHeight w:val="209"/>
        </w:trPr>
        <w:tc>
          <w:tcPr>
            <w:tcW w:w="522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3,612,066</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3,612,066</w:t>
            </w:r>
          </w:p>
        </w:tc>
      </w:tr>
      <w:tr>
        <w:trPr>
          <w:trHeight w:val="209"/>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916</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4,023,847</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4,024,763</w:t>
            </w:r>
          </w:p>
        </w:tc>
      </w:tr>
      <w:tr>
        <w:trPr>
          <w:trHeight w:val="209"/>
        </w:trPr>
        <w:tc>
          <w:tcPr>
            <w:tcW w:w="5220" w:type="dxa"/>
            <w:vAlign w:val="bottom"/>
          </w:tcPr>
          <w:p>
            <w:pPr>
              <w:spacing w:after="0"/>
              <w:rPr>
                <w:sz w:val="20"/>
                <w:szCs w:val="20"/>
                <w:color w:val="auto"/>
              </w:rPr>
            </w:pPr>
            <w:r>
              <w:rPr>
                <w:rFonts w:ascii="Arial" w:cs="Arial" w:eastAsia="Arial" w:hAnsi="Arial"/>
                <w:sz w:val="16"/>
                <w:szCs w:val="16"/>
                <w:color w:val="auto"/>
              </w:rPr>
              <w:t>Loans Held for Sale</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18,320</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18,320</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 Servicing Rights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919</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919</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Other Assets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54,612</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54,612</w:t>
            </w:r>
          </w:p>
        </w:tc>
      </w:tr>
      <w:tr>
        <w:trPr>
          <w:trHeight w:val="219"/>
        </w:trPr>
        <w:tc>
          <w:tcPr>
            <w:tcW w:w="5220" w:type="dxa"/>
            <w:vAlign w:val="bottom"/>
            <w:tcBorders>
              <w:bottom w:val="single" w:sz="8" w:color="auto"/>
            </w:tcBorders>
            <w:shd w:val="clear" w:color="auto" w:fill="CFF0FC"/>
          </w:tcPr>
          <w:p>
            <w:pPr>
              <w:spacing w:after="0" w:line="218"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1,934</w:t>
            </w: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45,043</w:t>
            </w:r>
          </w:p>
        </w:tc>
        <w:tc>
          <w:tcPr>
            <w:tcW w:w="4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46,977</w:t>
            </w:r>
          </w:p>
        </w:tc>
      </w:tr>
      <w:tr>
        <w:trPr>
          <w:trHeight w:val="196"/>
        </w:trPr>
        <w:tc>
          <w:tcPr>
            <w:tcW w:w="5220" w:type="dxa"/>
            <w:vAlign w:val="bottom"/>
          </w:tcPr>
          <w:p>
            <w:pPr>
              <w:spacing w:after="0"/>
              <w:rPr>
                <w:sz w:val="20"/>
                <w:szCs w:val="20"/>
                <w:color w:val="auto"/>
              </w:rPr>
            </w:pPr>
            <w:r>
              <w:rPr>
                <w:rFonts w:ascii="Arial" w:cs="Arial" w:eastAsia="Arial" w:hAnsi="Arial"/>
                <w:sz w:val="16"/>
                <w:szCs w:val="16"/>
                <w:b w:val="1"/>
                <w:bCs w:val="1"/>
                <w:color w:val="auto"/>
              </w:rPr>
              <w:t>Total Assets Measured at Fair Value on a Recurring Basis as of</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3"/>
        </w:trPr>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March 31,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55,528</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4,044,101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45,962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4,145,591</w:t>
            </w:r>
          </w:p>
        </w:tc>
      </w:tr>
      <w:tr>
        <w:trPr>
          <w:trHeight w:val="200"/>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6"/>
        </w:trPr>
        <w:tc>
          <w:tcPr>
            <w:tcW w:w="5220" w:type="dxa"/>
            <w:vAlign w:val="bottom"/>
            <w:tcBorders>
              <w:bottom w:val="single" w:sz="8" w:color="auto"/>
            </w:tcBorders>
          </w:tcPr>
          <w:p>
            <w:pPr>
              <w:spacing w:after="0" w:line="216"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29,561</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32,002</w:t>
            </w:r>
          </w:p>
        </w:tc>
      </w:tr>
      <w:tr>
        <w:trPr>
          <w:trHeight w:val="196"/>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5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Recurring Basis as of March 31, 2021</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2,441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29,561</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32,002</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22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the U.S. Treasury and</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2"/>
        </w:trPr>
        <w:tc>
          <w:tcPr>
            <w:tcW w:w="5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Government Agencies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921</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173,324</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174,245</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24,840</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24,840</w:t>
            </w:r>
          </w:p>
        </w:tc>
      </w:tr>
      <w:tr>
        <w:trPr>
          <w:trHeight w:val="20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Securities Issued by U.S. Government-Sponsored</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2"/>
        </w:trPr>
        <w:tc>
          <w:tcPr>
            <w:tcW w:w="5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Enterprises</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1,062</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1,062</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224,605</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224,605</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Mortgage-Backed Securities: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5220" w:type="dxa"/>
            <w:vAlign w:val="bottom"/>
          </w:tcPr>
          <w:p>
            <w:pPr>
              <w:ind w:left="50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1,594,815</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1,594,815</w:t>
            </w:r>
          </w:p>
        </w:tc>
      </w:tr>
      <w:tr>
        <w:trPr>
          <w:trHeight w:val="219"/>
        </w:trPr>
        <w:tc>
          <w:tcPr>
            <w:tcW w:w="5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1,518,283</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1,518,283</w:t>
            </w:r>
          </w:p>
        </w:tc>
      </w:tr>
      <w:tr>
        <w:trPr>
          <w:trHeight w:val="213"/>
        </w:trPr>
        <w:tc>
          <w:tcPr>
            <w:tcW w:w="52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253,839</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253,839</w:t>
            </w:r>
          </w:p>
        </w:tc>
      </w:tr>
      <w:tr>
        <w:trPr>
          <w:trHeight w:val="210"/>
        </w:trPr>
        <w:tc>
          <w:tcPr>
            <w:tcW w:w="52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3,366,937</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3,366,937</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3,790,768</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3,791,689</w:t>
            </w:r>
          </w:p>
        </w:tc>
      </w:tr>
      <w:tr>
        <w:trPr>
          <w:trHeight w:val="213"/>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Loans Held for Sale</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82,565</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82,565</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Mortgage Servicing Rights</w:t>
            </w:r>
          </w:p>
        </w:tc>
        <w:tc>
          <w:tcPr>
            <w:tcW w:w="7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658</w:t>
            </w:r>
          </w:p>
        </w:tc>
        <w:tc>
          <w:tcPr>
            <w:tcW w:w="4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658</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53,410</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53,410</w:t>
            </w:r>
          </w:p>
        </w:tc>
      </w:tr>
      <w:tr>
        <w:trPr>
          <w:trHeight w:val="216"/>
        </w:trPr>
        <w:tc>
          <w:tcPr>
            <w:tcW w:w="5220" w:type="dxa"/>
            <w:vAlign w:val="bottom"/>
            <w:tcBorders>
              <w:bottom w:val="single" w:sz="8" w:color="auto"/>
            </w:tcBorders>
          </w:tcPr>
          <w:p>
            <w:pPr>
              <w:spacing w:after="0" w:line="216"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878</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95,289</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96,167</w:t>
            </w:r>
          </w:p>
        </w:tc>
      </w:tr>
      <w:tr>
        <w:trPr>
          <w:trHeight w:val="196"/>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Assets Measured at Fair Value on a Recurring Basis as of</w:t>
            </w:r>
          </w:p>
        </w:tc>
        <w:tc>
          <w:tcPr>
            <w:tcW w:w="7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5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December 31, 2020</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54,331</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3,874,211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95,947</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4,024,489</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2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5220" w:type="dxa"/>
            <w:vAlign w:val="bottom"/>
            <w:tcBorders>
              <w:bottom w:val="single" w:sz="8" w:color="auto"/>
            </w:tcBorders>
            <w:shd w:val="clear" w:color="auto" w:fill="CFF0FC"/>
          </w:tcPr>
          <w:p>
            <w:pPr>
              <w:spacing w:after="0" w:line="218" w:lineRule="exact"/>
              <w:rPr>
                <w:sz w:val="20"/>
                <w:szCs w:val="20"/>
                <w:color w:val="auto"/>
              </w:rPr>
            </w:pPr>
            <w:r>
              <w:rPr>
                <w:rFonts w:ascii="Arial" w:cs="Arial" w:eastAsia="Arial" w:hAnsi="Arial"/>
                <w:sz w:val="15"/>
                <w:szCs w:val="15"/>
                <w:color w:val="auto"/>
              </w:rPr>
              <w:t xml:space="preserve">Derivatives </w:t>
            </w:r>
            <w:r>
              <w:rPr>
                <w:rFonts w:ascii="Arial" w:cs="Arial" w:eastAsia="Arial" w:hAnsi="Arial"/>
                <w:sz w:val="25"/>
                <w:szCs w:val="25"/>
                <w:color w:val="auto"/>
                <w:vertAlign w:val="superscript"/>
              </w:rPr>
              <w:t>1</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17,409</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18,161</w:t>
            </w:r>
          </w:p>
        </w:tc>
      </w:tr>
      <w:tr>
        <w:trPr>
          <w:trHeight w:val="196"/>
        </w:trPr>
        <w:tc>
          <w:tcPr>
            <w:tcW w:w="5220" w:type="dxa"/>
            <w:vAlign w:val="bottom"/>
          </w:tcPr>
          <w:p>
            <w:pPr>
              <w:spacing w:after="0"/>
              <w:rPr>
                <w:sz w:val="20"/>
                <w:szCs w:val="20"/>
                <w:color w:val="auto"/>
              </w:rPr>
            </w:pPr>
            <w:r>
              <w:rPr>
                <w:rFonts w:ascii="Arial" w:cs="Arial" w:eastAsia="Arial" w:hAnsi="Arial"/>
                <w:sz w:val="16"/>
                <w:szCs w:val="16"/>
                <w:b w:val="1"/>
                <w:bCs w:val="1"/>
                <w:color w:val="auto"/>
              </w:rPr>
              <w:t>Total Liabilities Measured at Fair Value on a Recurring Basis as of</w:t>
            </w: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December 31, 2020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17,409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18,161</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2"/>
          <w:szCs w:val="12"/>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240"/>
          </w:cols>
          <w:pgMar w:left="320" w:top="130" w:right="3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months ended March 31, 2021, and March 31, 2020, the changes in Level 3 assets and liabilities measured at fair value on a recurring basis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Mortgage</w:t>
            </w:r>
          </w:p>
        </w:tc>
        <w:tc>
          <w:tcPr>
            <w:tcW w:w="4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Net Derivative</w:t>
            </w:r>
          </w:p>
        </w:tc>
      </w:tr>
      <w:tr>
        <w:trPr>
          <w:trHeight w:val="199"/>
        </w:trPr>
        <w:tc>
          <w:tcPr>
            <w:tcW w:w="6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Servicing</w:t>
            </w:r>
          </w:p>
        </w:tc>
        <w:tc>
          <w:tcPr>
            <w:tcW w:w="42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Assets and</w:t>
            </w:r>
          </w:p>
        </w:tc>
      </w:tr>
      <w:tr>
        <w:trPr>
          <w:trHeight w:val="220"/>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1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line="220" w:lineRule="exact"/>
              <w:rPr>
                <w:sz w:val="20"/>
                <w:szCs w:val="20"/>
                <w:color w:val="auto"/>
              </w:rPr>
            </w:pPr>
            <w:r>
              <w:rPr>
                <w:rFonts w:ascii="Arial" w:cs="Arial" w:eastAsia="Arial" w:hAnsi="Arial"/>
                <w:sz w:val="15"/>
                <w:szCs w:val="15"/>
                <w:b w:val="1"/>
                <w:bCs w:val="1"/>
                <w:color w:val="auto"/>
              </w:rPr>
              <w:t xml:space="preserve">Rights </w:t>
            </w:r>
            <w:r>
              <w:rPr>
                <w:rFonts w:ascii="Arial" w:cs="Arial" w:eastAsia="Arial" w:hAnsi="Arial"/>
                <w:sz w:val="25"/>
                <w:szCs w:val="25"/>
                <w:b w:val="1"/>
                <w:bCs w:val="1"/>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
              <w:spacing w:after="0" w:line="220" w:lineRule="exact"/>
              <w:rPr>
                <w:sz w:val="20"/>
                <w:szCs w:val="20"/>
                <w:color w:val="auto"/>
              </w:rPr>
            </w:pPr>
            <w:r>
              <w:rPr>
                <w:rFonts w:ascii="Arial" w:cs="Arial" w:eastAsia="Arial" w:hAnsi="Arial"/>
                <w:sz w:val="15"/>
                <w:szCs w:val="15"/>
                <w:b w:val="1"/>
                <w:bCs w:val="1"/>
                <w:color w:val="auto"/>
              </w:rPr>
              <w:t xml:space="preserve">Liabilities </w:t>
            </w:r>
            <w:r>
              <w:rPr>
                <w:rFonts w:ascii="Arial" w:cs="Arial" w:eastAsia="Arial" w:hAnsi="Arial"/>
                <w:sz w:val="25"/>
                <w:szCs w:val="25"/>
                <w:b w:val="1"/>
                <w:bCs w:val="1"/>
                <w:color w:val="auto"/>
                <w:vertAlign w:val="superscript"/>
              </w:rPr>
              <w:t>2</w:t>
            </w:r>
          </w:p>
        </w:tc>
      </w:tr>
      <w:tr>
        <w:trPr>
          <w:trHeight w:val="209"/>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Three Months Ended March 31, 2021</w:t>
            </w:r>
          </w:p>
        </w:tc>
        <w:tc>
          <w:tcPr>
            <w:tcW w:w="1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Balance as of January 1, 2021</w:t>
            </w:r>
          </w:p>
        </w:tc>
        <w:tc>
          <w:tcPr>
            <w:tcW w:w="13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958</w:t>
            </w:r>
          </w:p>
        </w:tc>
        <w:tc>
          <w:tcPr>
            <w:tcW w:w="4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77,880</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13"/>
        </w:trPr>
        <w:tc>
          <w:tcPr>
            <w:tcW w:w="6880" w:type="dxa"/>
            <w:vAlign w:val="bottom"/>
          </w:tcPr>
          <w:p>
            <w:pPr>
              <w:ind w:left="260"/>
              <w:spacing w:after="0"/>
              <w:rPr>
                <w:sz w:val="20"/>
                <w:szCs w:val="20"/>
                <w:color w:val="auto"/>
              </w:rPr>
            </w:pPr>
            <w:r>
              <w:rPr>
                <w:rFonts w:ascii="Arial" w:cs="Arial" w:eastAsia="Arial" w:hAnsi="Arial"/>
                <w:sz w:val="16"/>
                <w:szCs w:val="16"/>
                <w:color w:val="auto"/>
              </w:rPr>
              <w:t>Included in Net Income</w:t>
            </w:r>
          </w:p>
        </w:tc>
        <w:tc>
          <w:tcPr>
            <w:tcW w:w="1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4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874</w:t>
            </w: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(3,016)</w:t>
            </w:r>
          </w:p>
        </w:tc>
      </w:tr>
      <w:tr>
        <w:trPr>
          <w:trHeight w:val="213"/>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(60,256)</w:t>
            </w:r>
          </w:p>
        </w:tc>
      </w:tr>
      <w:tr>
        <w:trPr>
          <w:trHeight w:val="210"/>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March 31, 2021</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919</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15,482</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3"/>
        </w:trPr>
        <w:tc>
          <w:tcPr>
            <w:tcW w:w="68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as of March 31, 2021</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15,482</w:t>
            </w:r>
          </w:p>
        </w:tc>
      </w:tr>
      <w:tr>
        <w:trPr>
          <w:trHeight w:val="199"/>
        </w:trPr>
        <w:tc>
          <w:tcPr>
            <w:tcW w:w="68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January 1, 2020</w:t>
            </w:r>
          </w:p>
        </w:tc>
        <w:tc>
          <w:tcPr>
            <w:tcW w:w="13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1,126</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22,573</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Realized and Unrealized Net Gains (Losses):</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6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Included in Net Income</w:t>
            </w:r>
          </w:p>
        </w:tc>
        <w:tc>
          <w:tcPr>
            <w:tcW w:w="1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6,172</w:t>
            </w: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Transfers to Loans Held for Sale</w:t>
            </w:r>
          </w:p>
        </w:tc>
        <w:tc>
          <w:tcPr>
            <w:tcW w:w="130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(3,653)</w:t>
            </w:r>
          </w:p>
        </w:tc>
      </w:tr>
      <w:tr>
        <w:trPr>
          <w:trHeight w:val="216"/>
        </w:trPr>
        <w:tc>
          <w:tcPr>
            <w:tcW w:w="6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Variation Margin Payments</w:t>
            </w:r>
          </w:p>
        </w:tc>
        <w:tc>
          <w:tcPr>
            <w:tcW w:w="1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55,588</w:t>
            </w:r>
          </w:p>
        </w:tc>
      </w:tr>
      <w:tr>
        <w:trPr>
          <w:trHeight w:val="250"/>
        </w:trPr>
        <w:tc>
          <w:tcPr>
            <w:tcW w:w="6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March 31, 2020</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1,101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80,680</w:t>
            </w:r>
          </w:p>
        </w:tc>
      </w:tr>
      <w:tr>
        <w:trPr>
          <w:trHeight w:val="185"/>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Unrealized Net Gains (Losses) Included in Net Income Related to Assets Still Held</w:t>
            </w:r>
          </w:p>
        </w:tc>
        <w:tc>
          <w:tcPr>
            <w:tcW w:w="1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3"/>
        </w:trPr>
        <w:tc>
          <w:tcPr>
            <w:tcW w:w="68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as of March 31, 2020</w:t>
            </w:r>
          </w:p>
        </w:tc>
        <w:tc>
          <w:tcPr>
            <w:tcW w:w="13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80,680</w:t>
            </w:r>
          </w:p>
        </w:tc>
      </w:tr>
      <w:tr>
        <w:trPr>
          <w:trHeight w:val="20"/>
        </w:trPr>
        <w:tc>
          <w:tcPr>
            <w:tcW w:w="6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1"/>
          <w:szCs w:val="11"/>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11" w:lineRule="exact"/>
        <w:rPr>
          <w:rFonts w:ascii="Arial" w:cs="Arial" w:eastAsia="Arial" w:hAnsi="Arial"/>
          <w:sz w:val="11"/>
          <w:szCs w:val="11"/>
          <w:color w:val="auto"/>
        </w:rPr>
      </w:pPr>
    </w:p>
    <w:p>
      <w:pPr>
        <w:ind w:left="180" w:right="140" w:hanging="175"/>
        <w:spacing w:after="0" w:line="232" w:lineRule="auto"/>
        <w:rPr>
          <w:rFonts w:ascii="Arial" w:cs="Arial" w:eastAsia="Arial" w:hAnsi="Arial"/>
          <w:sz w:val="11"/>
          <w:szCs w:val="11"/>
          <w:color w:val="auto"/>
        </w:rPr>
      </w:pPr>
      <w:r>
        <w:rPr>
          <w:rFonts w:ascii="Arial" w:cs="Arial" w:eastAsia="Arial" w:hAnsi="Arial"/>
          <w:sz w:val="12"/>
          <w:szCs w:val="12"/>
          <w:color w:val="auto"/>
        </w:rPr>
        <w:t xml:space="preserve">2 </w:t>
      </w:r>
      <w:r>
        <w:rPr>
          <w:rFonts w:ascii="Arial" w:cs="Arial" w:eastAsia="Arial" w:hAnsi="Arial"/>
          <w:sz w:val="14"/>
          <w:szCs w:val="14"/>
          <w:color w:val="auto"/>
        </w:rPr>
        <w:t>Realized and unrealized gains and losses related to interest rate lock commitments are reported as a component of mortgage banking income in the Company’s consolidated statements of</w:t>
      </w:r>
      <w:r>
        <w:rPr>
          <w:rFonts w:ascii="Arial" w:cs="Arial" w:eastAsia="Arial" w:hAnsi="Arial"/>
          <w:sz w:val="12"/>
          <w:szCs w:val="12"/>
          <w:color w:val="auto"/>
        </w:rPr>
        <w:t xml:space="preserve"> </w:t>
      </w:r>
      <w:r>
        <w:rPr>
          <w:rFonts w:ascii="Arial" w:cs="Arial" w:eastAsia="Arial" w:hAnsi="Arial"/>
          <w:sz w:val="14"/>
          <w:szCs w:val="14"/>
          <w:color w:val="auto"/>
        </w:rPr>
        <w:t>income. Realized and unrealized gains and losses related to interest rate swap agreements are reported as a component of other noninterest income in the Company’s consolidated statements of income.</w:t>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March 31, 2021, and December 31, 2020, the significant unobservable inputs used in the fair value measurements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Valuation</w:t>
            </w:r>
          </w:p>
        </w:tc>
        <w:tc>
          <w:tcPr>
            <w:tcW w:w="13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Weighted</w:t>
            </w: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Fair</w:t>
            </w:r>
          </w:p>
        </w:tc>
      </w:tr>
      <w:tr>
        <w:trPr>
          <w:trHeight w:val="220"/>
        </w:trPr>
        <w:tc>
          <w:tcPr>
            <w:tcW w:w="3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Technique</w:t>
            </w: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Description</w:t>
            </w:r>
          </w:p>
        </w:tc>
        <w:tc>
          <w:tcPr>
            <w:tcW w:w="18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Range</w:t>
            </w:r>
          </w:p>
        </w:tc>
        <w:tc>
          <w:tcPr>
            <w:tcW w:w="8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9"/>
              <w:spacing w:after="0" w:line="220" w:lineRule="exact"/>
              <w:rPr>
                <w:sz w:val="20"/>
                <w:szCs w:val="20"/>
                <w:color w:val="auto"/>
              </w:rPr>
            </w:pPr>
            <w:r>
              <w:rPr>
                <w:rFonts w:ascii="Arial" w:cs="Arial" w:eastAsia="Arial" w:hAnsi="Arial"/>
                <w:sz w:val="15"/>
                <w:szCs w:val="15"/>
                <w:b w:val="1"/>
                <w:bCs w:val="1"/>
                <w:color w:val="auto"/>
              </w:rPr>
              <w:t>Average</w:t>
            </w:r>
            <w:r>
              <w:rPr>
                <w:rFonts w:ascii="Arial" w:cs="Arial" w:eastAsia="Arial" w:hAnsi="Arial"/>
                <w:sz w:val="25"/>
                <w:szCs w:val="25"/>
                <w:b w:val="1"/>
                <w:bCs w:val="1"/>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Value</w:t>
            </w:r>
          </w:p>
        </w:tc>
      </w:tr>
      <w:tr>
        <w:trPr>
          <w:trHeight w:val="207"/>
        </w:trPr>
        <w:tc>
          <w:tcPr>
            <w:tcW w:w="3000" w:type="dxa"/>
            <w:vAlign w:val="bottom"/>
          </w:tcPr>
          <w:p>
            <w:pPr>
              <w:spacing w:after="0"/>
              <w:rPr>
                <w:sz w:val="20"/>
                <w:szCs w:val="20"/>
                <w:color w:val="auto"/>
              </w:rPr>
            </w:pPr>
            <w:r>
              <w:rPr>
                <w:rFonts w:ascii="Arial" w:cs="Arial" w:eastAsia="Arial" w:hAnsi="Arial"/>
                <w:sz w:val="16"/>
                <w:szCs w:val="16"/>
                <w:b w:val="1"/>
                <w:bCs w:val="1"/>
                <w:color w:val="auto"/>
              </w:rPr>
              <w:t>March 31, 2021</w:t>
            </w:r>
          </w:p>
        </w:tc>
        <w:tc>
          <w:tcPr>
            <w:tcW w:w="1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3000" w:type="dxa"/>
            <w:vAlign w:val="bottom"/>
            <w:shd w:val="clear" w:color="auto" w:fill="CFF0FC"/>
          </w:tcPr>
          <w:p>
            <w:pPr>
              <w:spacing w:after="0"/>
              <w:rPr>
                <w:sz w:val="18"/>
                <w:szCs w:val="18"/>
                <w:color w:val="auto"/>
              </w:rPr>
            </w:pP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Discounted Cash</w:t>
            </w:r>
          </w:p>
        </w:tc>
        <w:tc>
          <w:tcPr>
            <w:tcW w:w="13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Constant</w:t>
            </w:r>
          </w:p>
        </w:tc>
        <w:tc>
          <w:tcPr>
            <w:tcW w:w="1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2"/>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Mortgage Servicing Rights</w:t>
            </w: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Flow</w:t>
            </w:r>
          </w:p>
        </w:tc>
        <w:tc>
          <w:tcPr>
            <w:tcW w:w="138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Prepayment Rate</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6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12.98%</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22,320</w:t>
            </w:r>
          </w:p>
        </w:tc>
      </w:tr>
      <w:tr>
        <w:trPr>
          <w:trHeight w:val="213"/>
        </w:trPr>
        <w:tc>
          <w:tcPr>
            <w:tcW w:w="3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Arial" w:cs="Arial" w:eastAsia="Arial" w:hAnsi="Arial"/>
                <w:sz w:val="16"/>
                <w:szCs w:val="16"/>
                <w:color w:val="auto"/>
              </w:rPr>
              <w:t>Discount Rate</w:t>
            </w:r>
          </w:p>
        </w:tc>
        <w:tc>
          <w:tcPr>
            <w:tcW w:w="1220" w:type="dxa"/>
            <w:vAlign w:val="bottom"/>
          </w:tcPr>
          <w:p>
            <w:pPr>
              <w:jc w:val="right"/>
              <w:spacing w:after="0"/>
              <w:rPr>
                <w:sz w:val="20"/>
                <w:szCs w:val="20"/>
                <w:color w:val="auto"/>
              </w:rPr>
            </w:pPr>
            <w:r>
              <w:rPr>
                <w:rFonts w:ascii="Arial" w:cs="Arial" w:eastAsia="Arial" w:hAnsi="Arial"/>
                <w:sz w:val="16"/>
                <w:szCs w:val="16"/>
                <w:color w:val="auto"/>
              </w:rPr>
              <w:t>5.99%</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6.96%</w:t>
            </w:r>
          </w:p>
        </w:tc>
        <w:tc>
          <w:tcPr>
            <w:tcW w:w="1200" w:type="dxa"/>
            <w:vAlign w:val="bottom"/>
          </w:tcPr>
          <w:p>
            <w:pPr>
              <w:jc w:val="right"/>
              <w:spacing w:after="0"/>
              <w:rPr>
                <w:sz w:val="20"/>
                <w:szCs w:val="20"/>
                <w:color w:val="auto"/>
              </w:rPr>
            </w:pPr>
            <w:r>
              <w:rPr>
                <w:rFonts w:ascii="Arial" w:cs="Arial" w:eastAsia="Arial" w:hAnsi="Arial"/>
                <w:sz w:val="16"/>
                <w:szCs w:val="16"/>
                <w:color w:val="auto"/>
              </w:rPr>
              <w:t>6.88%</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Net Derivative Assets and Liabilities:</w:t>
            </w:r>
          </w:p>
        </w:tc>
        <w:tc>
          <w:tcPr>
            <w:tcW w:w="18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6"/>
                <w:szCs w:val="16"/>
                <w:color w:val="auto"/>
              </w:rPr>
              <w:t>Interest Rate Lock Commitments</w:t>
            </w:r>
          </w:p>
        </w:tc>
        <w:tc>
          <w:tcPr>
            <w:tcW w:w="1800" w:type="dxa"/>
            <w:vAlign w:val="bottom"/>
          </w:tcPr>
          <w:p>
            <w:pPr>
              <w:ind w:left="560"/>
              <w:spacing w:after="0"/>
              <w:rPr>
                <w:sz w:val="20"/>
                <w:szCs w:val="20"/>
                <w:color w:val="auto"/>
              </w:rPr>
            </w:pPr>
            <w:r>
              <w:rPr>
                <w:rFonts w:ascii="Arial" w:cs="Arial" w:eastAsia="Arial" w:hAnsi="Arial"/>
                <w:sz w:val="16"/>
                <w:szCs w:val="16"/>
                <w:color w:val="auto"/>
              </w:rPr>
              <w:t>Pricing Model</w:t>
            </w:r>
          </w:p>
        </w:tc>
        <w:tc>
          <w:tcPr>
            <w:tcW w:w="1380" w:type="dxa"/>
            <w:vAlign w:val="bottom"/>
          </w:tcPr>
          <w:p>
            <w:pPr>
              <w:ind w:left="60"/>
              <w:spacing w:after="0"/>
              <w:rPr>
                <w:sz w:val="20"/>
                <w:szCs w:val="20"/>
                <w:color w:val="auto"/>
              </w:rPr>
            </w:pPr>
            <w:r>
              <w:rPr>
                <w:rFonts w:ascii="Arial" w:cs="Arial" w:eastAsia="Arial" w:hAnsi="Arial"/>
                <w:sz w:val="16"/>
                <w:szCs w:val="16"/>
                <w:color w:val="auto"/>
              </w:rPr>
              <w:t>Closing Ratio</w:t>
            </w:r>
          </w:p>
        </w:tc>
        <w:tc>
          <w:tcPr>
            <w:tcW w:w="1220" w:type="dxa"/>
            <w:vAlign w:val="bottom"/>
          </w:tcPr>
          <w:p>
            <w:pPr>
              <w:jc w:val="right"/>
              <w:spacing w:after="0"/>
              <w:rPr>
                <w:sz w:val="20"/>
                <w:szCs w:val="20"/>
                <w:color w:val="auto"/>
              </w:rPr>
            </w:pPr>
            <w:r>
              <w:rPr>
                <w:rFonts w:ascii="Arial" w:cs="Arial" w:eastAsia="Arial" w:hAnsi="Arial"/>
                <w:sz w:val="16"/>
                <w:szCs w:val="16"/>
                <w:color w:val="auto"/>
              </w:rPr>
              <w:t>75.40%</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99.00%</w:t>
            </w:r>
          </w:p>
        </w:tc>
        <w:tc>
          <w:tcPr>
            <w:tcW w:w="1200" w:type="dxa"/>
            <w:vAlign w:val="bottom"/>
          </w:tcPr>
          <w:p>
            <w:pPr>
              <w:jc w:val="right"/>
              <w:spacing w:after="0"/>
              <w:rPr>
                <w:sz w:val="20"/>
                <w:szCs w:val="20"/>
                <w:color w:val="auto"/>
              </w:rPr>
            </w:pPr>
            <w:r>
              <w:rPr>
                <w:rFonts w:ascii="Arial" w:cs="Arial" w:eastAsia="Arial" w:hAnsi="Arial"/>
                <w:sz w:val="16"/>
                <w:szCs w:val="16"/>
                <w:color w:val="auto"/>
              </w:rPr>
              <w:t>92.19%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2,704</w:t>
            </w:r>
          </w:p>
        </w:tc>
      </w:tr>
      <w:tr>
        <w:trPr>
          <w:trHeight w:val="209"/>
        </w:trPr>
        <w:tc>
          <w:tcPr>
            <w:tcW w:w="3000" w:type="dxa"/>
            <w:vAlign w:val="bottom"/>
            <w:shd w:val="clear" w:color="auto" w:fill="CFF0FC"/>
          </w:tcPr>
          <w:p>
            <w:pPr>
              <w:spacing w:after="0"/>
              <w:rPr>
                <w:sz w:val="18"/>
                <w:szCs w:val="18"/>
                <w:color w:val="auto"/>
              </w:rPr>
            </w:pP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Discounted Cash</w:t>
            </w:r>
          </w:p>
        </w:tc>
        <w:tc>
          <w:tcPr>
            <w:tcW w:w="1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2"/>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w:t>
            </w: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Flow</w:t>
            </w:r>
          </w:p>
        </w:tc>
        <w:tc>
          <w:tcPr>
            <w:tcW w:w="13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Credit Factor</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6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0.49%</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0.15%</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12,778</w:t>
            </w:r>
          </w:p>
        </w:tc>
      </w:tr>
      <w:tr>
        <w:trPr>
          <w:trHeight w:val="216"/>
        </w:trPr>
        <w:tc>
          <w:tcPr>
            <w:tcW w:w="3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18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06"/>
        </w:trPr>
        <w:tc>
          <w:tcPr>
            <w:tcW w:w="3000" w:type="dxa"/>
            <w:vAlign w:val="bottom"/>
          </w:tcPr>
          <w:p>
            <w:pPr>
              <w:spacing w:after="0"/>
              <w:rPr>
                <w:sz w:val="17"/>
                <w:szCs w:val="17"/>
                <w:color w:val="auto"/>
              </w:rPr>
            </w:pPr>
          </w:p>
        </w:tc>
        <w:tc>
          <w:tcPr>
            <w:tcW w:w="1800" w:type="dxa"/>
            <w:vAlign w:val="bottom"/>
          </w:tcPr>
          <w:p>
            <w:pPr>
              <w:ind w:left="560"/>
              <w:spacing w:after="0"/>
              <w:rPr>
                <w:sz w:val="20"/>
                <w:szCs w:val="20"/>
                <w:color w:val="auto"/>
              </w:rPr>
            </w:pPr>
            <w:r>
              <w:rPr>
                <w:rFonts w:ascii="Arial" w:cs="Arial" w:eastAsia="Arial" w:hAnsi="Arial"/>
                <w:sz w:val="16"/>
                <w:szCs w:val="16"/>
                <w:color w:val="auto"/>
              </w:rPr>
              <w:t>Discounted Cash</w:t>
            </w:r>
          </w:p>
        </w:tc>
        <w:tc>
          <w:tcPr>
            <w:tcW w:w="1380" w:type="dxa"/>
            <w:vAlign w:val="bottom"/>
          </w:tcPr>
          <w:p>
            <w:pPr>
              <w:ind w:left="60"/>
              <w:spacing w:after="0"/>
              <w:rPr>
                <w:sz w:val="20"/>
                <w:szCs w:val="20"/>
                <w:color w:val="auto"/>
              </w:rPr>
            </w:pPr>
            <w:r>
              <w:rPr>
                <w:rFonts w:ascii="Arial" w:cs="Arial" w:eastAsia="Arial" w:hAnsi="Arial"/>
                <w:sz w:val="16"/>
                <w:szCs w:val="16"/>
                <w:color w:val="auto"/>
              </w:rPr>
              <w:t>Constant</w:t>
            </w: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3000" w:type="dxa"/>
            <w:vAlign w:val="bottom"/>
          </w:tcPr>
          <w:p>
            <w:pPr>
              <w:spacing w:after="0"/>
              <w:rPr>
                <w:sz w:val="20"/>
                <w:szCs w:val="20"/>
                <w:color w:val="auto"/>
              </w:rPr>
            </w:pPr>
            <w:r>
              <w:rPr>
                <w:rFonts w:ascii="Arial" w:cs="Arial" w:eastAsia="Arial" w:hAnsi="Arial"/>
                <w:sz w:val="16"/>
                <w:szCs w:val="16"/>
                <w:color w:val="auto"/>
              </w:rPr>
              <w:t>Mortgage Servicing Rights</w:t>
            </w:r>
          </w:p>
        </w:tc>
        <w:tc>
          <w:tcPr>
            <w:tcW w:w="1800" w:type="dxa"/>
            <w:vAlign w:val="bottom"/>
          </w:tcPr>
          <w:p>
            <w:pPr>
              <w:ind w:left="560"/>
              <w:spacing w:after="0"/>
              <w:rPr>
                <w:sz w:val="20"/>
                <w:szCs w:val="20"/>
                <w:color w:val="auto"/>
              </w:rPr>
            </w:pPr>
            <w:r>
              <w:rPr>
                <w:rFonts w:ascii="Arial" w:cs="Arial" w:eastAsia="Arial" w:hAnsi="Arial"/>
                <w:sz w:val="16"/>
                <w:szCs w:val="16"/>
                <w:color w:val="auto"/>
              </w:rPr>
              <w:t>Flow</w:t>
            </w:r>
          </w:p>
        </w:tc>
        <w:tc>
          <w:tcPr>
            <w:tcW w:w="1380" w:type="dxa"/>
            <w:vAlign w:val="bottom"/>
          </w:tcPr>
          <w:p>
            <w:pPr>
              <w:ind w:left="60"/>
              <w:spacing w:after="0"/>
              <w:rPr>
                <w:sz w:val="20"/>
                <w:szCs w:val="20"/>
                <w:color w:val="auto"/>
              </w:rPr>
            </w:pPr>
            <w:r>
              <w:rPr>
                <w:rFonts w:ascii="Arial" w:cs="Arial" w:eastAsia="Arial" w:hAnsi="Arial"/>
                <w:sz w:val="16"/>
                <w:szCs w:val="16"/>
                <w:color w:val="auto"/>
              </w:rPr>
              <w:t>Prepayment Rate</w:t>
            </w:r>
          </w:p>
        </w:tc>
        <w:tc>
          <w:tcPr>
            <w:tcW w:w="1820" w:type="dxa"/>
            <w:vAlign w:val="bottom"/>
            <w:gridSpan w:val="2"/>
          </w:tcPr>
          <w:p>
            <w:pPr>
              <w:jc w:val="right"/>
              <w:ind w:right="399"/>
              <w:spacing w:after="0"/>
              <w:rPr>
                <w:sz w:val="20"/>
                <w:szCs w:val="20"/>
                <w:color w:val="auto"/>
              </w:rPr>
            </w:pPr>
            <w:r>
              <w:rPr>
                <w:rFonts w:ascii="Arial" w:cs="Arial" w:eastAsia="Arial" w:hAnsi="Arial"/>
                <w:sz w:val="16"/>
                <w:szCs w:val="16"/>
                <w:color w:val="auto"/>
              </w:rPr>
              <w:t>8.71%-</w:t>
            </w:r>
          </w:p>
        </w:tc>
        <w:tc>
          <w:tcPr>
            <w:tcW w:w="880" w:type="dxa"/>
            <w:vAlign w:val="bottom"/>
          </w:tcPr>
          <w:p>
            <w:pPr>
              <w:jc w:val="right"/>
              <w:spacing w:after="0"/>
              <w:rPr>
                <w:sz w:val="20"/>
                <w:szCs w:val="20"/>
                <w:color w:val="auto"/>
              </w:rPr>
            </w:pPr>
            <w:r>
              <w:rPr>
                <w:rFonts w:ascii="Arial" w:cs="Arial" w:eastAsia="Arial" w:hAnsi="Arial"/>
                <w:sz w:val="16"/>
                <w:szCs w:val="16"/>
                <w:color w:val="auto"/>
              </w:rPr>
              <w:t>15.89%</w:t>
            </w:r>
          </w:p>
        </w:tc>
        <w:tc>
          <w:tcPr>
            <w:tcW w:w="1200" w:type="dxa"/>
            <w:vAlign w:val="bottom"/>
          </w:tcPr>
          <w:p>
            <w:pPr>
              <w:jc w:val="right"/>
              <w:spacing w:after="0"/>
              <w:rPr>
                <w:sz w:val="20"/>
                <w:szCs w:val="20"/>
                <w:color w:val="auto"/>
              </w:rPr>
            </w:pPr>
            <w:r>
              <w:rPr>
                <w:rFonts w:ascii="Arial" w:cs="Arial" w:eastAsia="Arial" w:hAnsi="Arial"/>
                <w:sz w:val="16"/>
                <w:szCs w:val="16"/>
                <w:color w:val="auto"/>
              </w:rPr>
              <w:t>14.42%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19,652</w:t>
            </w:r>
          </w:p>
        </w:tc>
      </w:tr>
      <w:tr>
        <w:trPr>
          <w:trHeight w:val="219"/>
        </w:trPr>
        <w:tc>
          <w:tcPr>
            <w:tcW w:w="30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380" w:type="dxa"/>
            <w:vAlign w:val="bottom"/>
            <w:shd w:val="clear" w:color="auto" w:fill="CFF0FC"/>
          </w:tcPr>
          <w:p>
            <w:pPr>
              <w:ind w:left="60"/>
              <w:spacing w:after="0"/>
              <w:rPr>
                <w:sz w:val="20"/>
                <w:szCs w:val="20"/>
                <w:color w:val="auto"/>
              </w:rPr>
            </w:pPr>
            <w:r>
              <w:rPr>
                <w:rFonts w:ascii="Arial" w:cs="Arial" w:eastAsia="Arial" w:hAnsi="Arial"/>
                <w:sz w:val="16"/>
                <w:szCs w:val="16"/>
                <w:color w:val="auto"/>
              </w:rPr>
              <w:t>Discount Rate</w:t>
            </w:r>
          </w:p>
        </w:tc>
        <w:tc>
          <w:tcPr>
            <w:tcW w:w="1820" w:type="dxa"/>
            <w:vAlign w:val="bottom"/>
            <w:gridSpan w:val="2"/>
            <w:shd w:val="clear" w:color="auto" w:fill="CFF0FC"/>
          </w:tcPr>
          <w:p>
            <w:pPr>
              <w:jc w:val="right"/>
              <w:ind w:right="399"/>
              <w:spacing w:after="0"/>
              <w:rPr>
                <w:sz w:val="20"/>
                <w:szCs w:val="20"/>
                <w:color w:val="auto"/>
              </w:rPr>
            </w:pPr>
            <w:r>
              <w:rPr>
                <w:rFonts w:ascii="Arial" w:cs="Arial" w:eastAsia="Arial" w:hAnsi="Arial"/>
                <w:sz w:val="16"/>
                <w:szCs w:val="16"/>
                <w:color w:val="auto"/>
              </w:rPr>
              <w:t>5.69%-</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13"/>
        </w:trPr>
        <w:tc>
          <w:tcPr>
            <w:tcW w:w="3000" w:type="dxa"/>
            <w:vAlign w:val="bottom"/>
          </w:tcPr>
          <w:p>
            <w:pPr>
              <w:spacing w:after="0"/>
              <w:rPr>
                <w:sz w:val="20"/>
                <w:szCs w:val="20"/>
                <w:color w:val="auto"/>
              </w:rPr>
            </w:pPr>
            <w:r>
              <w:rPr>
                <w:rFonts w:ascii="Arial" w:cs="Arial" w:eastAsia="Arial" w:hAnsi="Arial"/>
                <w:sz w:val="16"/>
                <w:szCs w:val="16"/>
                <w:color w:val="auto"/>
              </w:rPr>
              <w:t>Net Derivative Assets and Liabilities:</w:t>
            </w: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Interest Rate Lock Commitments</w:t>
            </w:r>
          </w:p>
        </w:tc>
        <w:tc>
          <w:tcPr>
            <w:tcW w:w="1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Pricing Model</w:t>
            </w:r>
          </w:p>
        </w:tc>
        <w:tc>
          <w:tcPr>
            <w:tcW w:w="13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Closing Ratio</w:t>
            </w:r>
          </w:p>
        </w:tc>
        <w:tc>
          <w:tcPr>
            <w:tcW w:w="1820" w:type="dxa"/>
            <w:vAlign w:val="bottom"/>
            <w:gridSpan w:val="2"/>
            <w:shd w:val="clear" w:color="auto" w:fill="CFF0FC"/>
          </w:tcPr>
          <w:p>
            <w:pPr>
              <w:jc w:val="right"/>
              <w:ind w:right="399"/>
              <w:spacing w:after="0"/>
              <w:rPr>
                <w:sz w:val="20"/>
                <w:szCs w:val="20"/>
                <w:color w:val="auto"/>
              </w:rPr>
            </w:pPr>
            <w:r>
              <w:rPr>
                <w:rFonts w:ascii="Arial" w:cs="Arial" w:eastAsia="Arial" w:hAnsi="Arial"/>
                <w:sz w:val="16"/>
                <w:szCs w:val="16"/>
                <w:color w:val="auto"/>
              </w:rPr>
              <w:t>84.10%-</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99.00%</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90.76%</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4,947</w:t>
            </w:r>
          </w:p>
        </w:tc>
      </w:tr>
      <w:tr>
        <w:trPr>
          <w:trHeight w:val="206"/>
        </w:trPr>
        <w:tc>
          <w:tcPr>
            <w:tcW w:w="3000" w:type="dxa"/>
            <w:vAlign w:val="bottom"/>
          </w:tcPr>
          <w:p>
            <w:pPr>
              <w:spacing w:after="0"/>
              <w:rPr>
                <w:sz w:val="17"/>
                <w:szCs w:val="17"/>
                <w:color w:val="auto"/>
              </w:rPr>
            </w:pPr>
          </w:p>
        </w:tc>
        <w:tc>
          <w:tcPr>
            <w:tcW w:w="1800" w:type="dxa"/>
            <w:vAlign w:val="bottom"/>
          </w:tcPr>
          <w:p>
            <w:pPr>
              <w:ind w:left="560"/>
              <w:spacing w:after="0"/>
              <w:rPr>
                <w:sz w:val="20"/>
                <w:szCs w:val="20"/>
                <w:color w:val="auto"/>
              </w:rPr>
            </w:pPr>
            <w:r>
              <w:rPr>
                <w:rFonts w:ascii="Arial" w:cs="Arial" w:eastAsia="Arial" w:hAnsi="Arial"/>
                <w:sz w:val="16"/>
                <w:szCs w:val="16"/>
                <w:color w:val="auto"/>
              </w:rPr>
              <w:t>Discounted Cash</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6"/>
        </w:trPr>
        <w:tc>
          <w:tcPr>
            <w:tcW w:w="3000" w:type="dxa"/>
            <w:vAlign w:val="bottom"/>
          </w:tcPr>
          <w:p>
            <w:pPr>
              <w:spacing w:after="0"/>
              <w:rPr>
                <w:sz w:val="20"/>
                <w:szCs w:val="20"/>
                <w:color w:val="auto"/>
              </w:rPr>
            </w:pPr>
            <w:r>
              <w:rPr>
                <w:rFonts w:ascii="Arial" w:cs="Arial" w:eastAsia="Arial" w:hAnsi="Arial"/>
                <w:sz w:val="16"/>
                <w:szCs w:val="16"/>
                <w:color w:val="auto"/>
              </w:rPr>
              <w:t>Interest Rate Swap Agreements</w:t>
            </w:r>
          </w:p>
        </w:tc>
        <w:tc>
          <w:tcPr>
            <w:tcW w:w="1800" w:type="dxa"/>
            <w:vAlign w:val="bottom"/>
          </w:tcPr>
          <w:p>
            <w:pPr>
              <w:ind w:left="560"/>
              <w:spacing w:after="0"/>
              <w:rPr>
                <w:sz w:val="20"/>
                <w:szCs w:val="20"/>
                <w:color w:val="auto"/>
              </w:rPr>
            </w:pPr>
            <w:r>
              <w:rPr>
                <w:rFonts w:ascii="Arial" w:cs="Arial" w:eastAsia="Arial" w:hAnsi="Arial"/>
                <w:sz w:val="16"/>
                <w:szCs w:val="16"/>
                <w:color w:val="auto"/>
              </w:rPr>
              <w:t>Flow</w:t>
            </w:r>
          </w:p>
        </w:tc>
        <w:tc>
          <w:tcPr>
            <w:tcW w:w="1380" w:type="dxa"/>
            <w:vAlign w:val="bottom"/>
          </w:tcPr>
          <w:p>
            <w:pPr>
              <w:ind w:left="60"/>
              <w:spacing w:after="0"/>
              <w:rPr>
                <w:sz w:val="20"/>
                <w:szCs w:val="20"/>
                <w:color w:val="auto"/>
              </w:rPr>
            </w:pPr>
            <w:r>
              <w:rPr>
                <w:rFonts w:ascii="Arial" w:cs="Arial" w:eastAsia="Arial" w:hAnsi="Arial"/>
                <w:sz w:val="16"/>
                <w:szCs w:val="16"/>
                <w:color w:val="auto"/>
              </w:rPr>
              <w:t>Credit Factor</w:t>
            </w:r>
          </w:p>
        </w:tc>
        <w:tc>
          <w:tcPr>
            <w:tcW w:w="1220" w:type="dxa"/>
            <w:vAlign w:val="bottom"/>
          </w:tcPr>
          <w:p>
            <w:pPr>
              <w:jc w:val="right"/>
              <w:spacing w:after="0"/>
              <w:rPr>
                <w:sz w:val="20"/>
                <w:szCs w:val="20"/>
                <w:color w:val="auto"/>
              </w:rPr>
            </w:pPr>
            <w:r>
              <w:rPr>
                <w:rFonts w:ascii="Arial" w:cs="Arial" w:eastAsia="Arial" w:hAnsi="Arial"/>
                <w:sz w:val="16"/>
                <w:szCs w:val="16"/>
                <w:color w:val="auto"/>
              </w:rPr>
              <w:t>0.00%</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0.49%</w:t>
            </w:r>
          </w:p>
        </w:tc>
        <w:tc>
          <w:tcPr>
            <w:tcW w:w="1200" w:type="dxa"/>
            <w:vAlign w:val="bottom"/>
          </w:tcPr>
          <w:p>
            <w:pPr>
              <w:jc w:val="right"/>
              <w:spacing w:after="0"/>
              <w:rPr>
                <w:sz w:val="20"/>
                <w:szCs w:val="20"/>
                <w:color w:val="auto"/>
              </w:rPr>
            </w:pPr>
            <w:r>
              <w:rPr>
                <w:rFonts w:ascii="Arial" w:cs="Arial" w:eastAsia="Arial" w:hAnsi="Arial"/>
                <w:sz w:val="16"/>
                <w:szCs w:val="16"/>
                <w:color w:val="auto"/>
              </w:rPr>
              <w:t>0.29%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72,933</w:t>
            </w:r>
          </w:p>
        </w:tc>
      </w:tr>
    </w:tbl>
    <w:p>
      <w:pPr>
        <w:spacing w:after="0" w:line="271" w:lineRule="exact"/>
        <w:rPr>
          <w:sz w:val="20"/>
          <w:szCs w:val="20"/>
          <w:color w:val="auto"/>
        </w:rPr>
      </w:pPr>
    </w:p>
    <w:p>
      <w:pPr>
        <w:ind w:left="180" w:hanging="172"/>
        <w:spacing w:after="0" w:line="253" w:lineRule="auto"/>
        <w:tabs>
          <w:tab w:leader="none" w:pos="180" w:val="left"/>
        </w:tabs>
        <w:numPr>
          <w:ilvl w:val="0"/>
          <w:numId w:val="28"/>
        </w:numPr>
        <w:rPr>
          <w:rFonts w:ascii="Arial" w:cs="Arial" w:eastAsia="Arial" w:hAnsi="Arial"/>
          <w:sz w:val="12"/>
          <w:szCs w:val="12"/>
          <w:color w:val="auto"/>
        </w:rPr>
      </w:pPr>
      <w:r>
        <w:rPr>
          <w:rFonts w:ascii="Arial" w:cs="Arial" w:eastAsia="Arial" w:hAnsi="Arial"/>
          <w:sz w:val="14"/>
          <w:szCs w:val="14"/>
          <w:color w:val="auto"/>
        </w:rPr>
        <w:t>Unobservable inputs for mortgage servicing rights and interest rate lock commitments were weighted by loan amount. Unobservable inputs for interest rate swap agreements were weighted by fair value.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6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Treasury Division also compares the fair value of the Company’s mortgage servicing rights to a value calculated by an independent third-party. Discussions are held with members from the Treasury, Mortgage Banking, and Controllers Divisions, along with the independent third-party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2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the Company’s secondary marketing system using historical data and the ratio is periodically reviewed by the Company for reasonableness.</w:t>
      </w:r>
    </w:p>
    <w:p>
      <w:pPr>
        <w:spacing w:after="0" w:line="13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unobservable input used in the fair value measurement of the Company’s interest rate swap agreements is the credit spread. This factor represents the risk that a counterparty is either unable or unwilling to settle a transaction in accordance with the underlying contractual terms. A significant increase (decrease) in the credit spread could result in a significantly lower (higher) fair value measurement. The credit spread is based upon the creditworthiness of the borrower and is input into a proprietary model that calculates fair value using probability of default, loss given default, and exposure at default.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8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The following table represents the assets measured at fair value on a nonrecurring basis as of March 31, 2021, and December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3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Net Carrying</w:t>
            </w:r>
          </w:p>
        </w:tc>
        <w:tc>
          <w:tcPr>
            <w:tcW w:w="4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Valuation</w:t>
            </w:r>
          </w:p>
        </w:tc>
      </w:tr>
      <w:tr>
        <w:trPr>
          <w:trHeight w:val="213"/>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Hierarchy</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Allowance</w:t>
            </w:r>
          </w:p>
        </w:tc>
      </w:tr>
      <w:tr>
        <w:trPr>
          <w:trHeight w:val="212"/>
        </w:trPr>
        <w:tc>
          <w:tcPr>
            <w:tcW w:w="5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2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3"/>
        </w:trPr>
        <w:tc>
          <w:tcPr>
            <w:tcW w:w="5420" w:type="dxa"/>
            <w:vAlign w:val="bottom"/>
          </w:tcPr>
          <w:p>
            <w:pPr>
              <w:ind w:left="260"/>
              <w:spacing w:after="0"/>
              <w:rPr>
                <w:sz w:val="20"/>
                <w:szCs w:val="20"/>
                <w:color w:val="auto"/>
              </w:rPr>
            </w:pPr>
            <w:r>
              <w:rPr>
                <w:rFonts w:ascii="Arial" w:cs="Arial" w:eastAsia="Arial" w:hAnsi="Arial"/>
                <w:sz w:val="16"/>
                <w:szCs w:val="16"/>
                <w:color w:val="auto"/>
              </w:rPr>
              <w:t>Mortgage Servicing Rights - amortization method</w:t>
            </w:r>
          </w:p>
        </w:tc>
        <w:tc>
          <w:tcPr>
            <w:tcW w:w="2720" w:type="dxa"/>
            <w:vAlign w:val="bottom"/>
          </w:tcPr>
          <w:p>
            <w:pPr>
              <w:jc w:val="right"/>
              <w:spacing w:after="0"/>
              <w:rPr>
                <w:sz w:val="20"/>
                <w:szCs w:val="20"/>
                <w:color w:val="auto"/>
              </w:rPr>
            </w:pPr>
            <w:r>
              <w:rPr>
                <w:rFonts w:ascii="Arial" w:cs="Arial" w:eastAsia="Arial" w:hAnsi="Arial"/>
                <w:sz w:val="16"/>
                <w:szCs w:val="16"/>
                <w:color w:val="auto"/>
              </w:rPr>
              <w:t>Level 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21,401</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(1,702)</w:t>
            </w:r>
          </w:p>
        </w:tc>
      </w:tr>
      <w:tr>
        <w:trPr>
          <w:trHeight w:val="233"/>
        </w:trPr>
        <w:tc>
          <w:tcPr>
            <w:tcW w:w="5420" w:type="dxa"/>
            <w:vAlign w:val="bottom"/>
            <w:shd w:val="clear" w:color="auto" w:fill="CFF0FC"/>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Mortgage Servicing Rights - amortization method</w:t>
            </w: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Level 3</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18,694</w:t>
            </w:r>
          </w:p>
        </w:tc>
        <w:tc>
          <w:tcPr>
            <w:tcW w:w="4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r>
    </w:tbl>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write-down of mortgage servicing rights accounted for under the amortization method was primarily due to changes in certain key assumptions used to estimate fair value. As previously mentioned, all of the Company's mortgage servicing rights are classified as Level 3 measurements due to the use of significant unobservable inputs, as well as significant management judgment and estimation.</w:t>
      </w:r>
    </w:p>
    <w:p>
      <w:pPr>
        <w:spacing w:after="0" w:line="15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During the fourth quarter of 2020, the Company recorded a total impairment charge of $7.0 million to write-down the net book value of 12 branches, cash-only ATMs, and a residual value of a leveraged lease. The impairment charge (included in net occupancy expense $3.6 million, interest and fees on loans and leases $3.0 million, and net equipment expense $0.4 million in the Company's consolidated statements of income) was recorded in the fourth quarter of 2020. The Company fully wrote-down the net book value of right-of-use assets and lease hold improvements due to the decision to close 12 branches. The carrying value of the ATMs and leveraged lease were reduced to estimated fair value less cost to sell based on recent appraisals, market conditions, and/or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management judgment. Due to the use of significant unobservable inputs combined with significant management judgment regarding the fair value of these assets, the carrying value was deemed a Level 3 measurement.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4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March 31, 2021 and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Aggregate</w:t>
            </w: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Fair Value</w:t>
            </w:r>
          </w:p>
        </w:tc>
      </w:tr>
      <w:tr>
        <w:trPr>
          <w:trHeight w:val="203"/>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Aggregate</w:t>
            </w:r>
          </w:p>
        </w:tc>
        <w:tc>
          <w:tcPr>
            <w:tcW w:w="4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Unpaid</w:t>
            </w: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Less Aggregate</w:t>
            </w:r>
          </w:p>
        </w:tc>
      </w:tr>
      <w:tr>
        <w:trPr>
          <w:trHeight w:val="21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Principal</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Unpaid Principal</w:t>
            </w:r>
          </w:p>
        </w:tc>
      </w:tr>
      <w:tr>
        <w:trPr>
          <w:trHeight w:val="213"/>
        </w:trPr>
        <w:tc>
          <w:tcPr>
            <w:tcW w:w="4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2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3"/>
        </w:trPr>
        <w:tc>
          <w:tcPr>
            <w:tcW w:w="4100" w:type="dxa"/>
            <w:vAlign w:val="bottom"/>
          </w:tcPr>
          <w:p>
            <w:pPr>
              <w:ind w:left="260"/>
              <w:spacing w:after="0"/>
              <w:rPr>
                <w:sz w:val="20"/>
                <w:szCs w:val="20"/>
                <w:color w:val="auto"/>
              </w:rPr>
            </w:pPr>
            <w:r>
              <w:rPr>
                <w:rFonts w:ascii="Arial" w:cs="Arial" w:eastAsia="Arial" w:hAnsi="Arial"/>
                <w:sz w:val="16"/>
                <w:szCs w:val="16"/>
                <w:color w:val="auto"/>
              </w:rPr>
              <w:t>Loans Held for Sale</w:t>
            </w:r>
          </w:p>
        </w:tc>
        <w:tc>
          <w:tcPr>
            <w:tcW w:w="2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18,320</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18,003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317</w:t>
            </w:r>
          </w:p>
        </w:tc>
      </w:tr>
      <w:tr>
        <w:trPr>
          <w:trHeight w:val="219"/>
        </w:trPr>
        <w:tc>
          <w:tcPr>
            <w:tcW w:w="410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13"/>
        </w:trPr>
        <w:tc>
          <w:tcPr>
            <w:tcW w:w="410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2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Loans Held for Sale</w:t>
            </w:r>
          </w:p>
        </w:tc>
        <w:tc>
          <w:tcPr>
            <w:tcW w:w="28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82,565</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78,577</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3,988</w:t>
            </w:r>
          </w:p>
        </w:tc>
      </w:tr>
    </w:tbl>
    <w:p>
      <w:pPr>
        <w:spacing w:after="0" w:line="20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months ended March 31, 2021, and March 31, 2020, the net gains or losses from the change in fair value of the Company’s residential mortgage loans held for sale were not material.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presents the carrying amount, fair value, and placement in the fair value hierarchy of the Company’s financial instruments not recorded at fair value on a recurring basis as of March 31, 2021, and December 31, 2020.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940" w:type="dxa"/>
            <w:vAlign w:val="bottom"/>
            <w:tcBorders>
              <w:bottom w:val="single" w:sz="8" w:color="auto"/>
            </w:tcBorders>
          </w:tcPr>
          <w:p>
            <w:pPr>
              <w:spacing w:after="0"/>
              <w:rPr>
                <w:sz w:val="18"/>
                <w:szCs w:val="18"/>
                <w:color w:val="auto"/>
              </w:rPr>
            </w:pPr>
          </w:p>
        </w:tc>
      </w:tr>
      <w:tr>
        <w:trPr>
          <w:trHeight w:val="199"/>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Quoted Prices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in Active</w:t>
            </w: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Significant</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Markets for</w:t>
            </w: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Significant</w:t>
            </w:r>
          </w:p>
        </w:tc>
      </w:tr>
      <w:tr>
        <w:trPr>
          <w:trHeight w:val="203"/>
        </w:trPr>
        <w:tc>
          <w:tcPr>
            <w:tcW w:w="4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w w:val="95"/>
              </w:rPr>
              <w:t>Identical Assets</w:t>
            </w:r>
          </w:p>
        </w:tc>
        <w:tc>
          <w:tcPr>
            <w:tcW w:w="2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Observable</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Unobservable</w:t>
            </w:r>
          </w:p>
        </w:tc>
      </w:tr>
      <w:tr>
        <w:trPr>
          <w:trHeight w:val="210"/>
        </w:trPr>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or Liabilities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Inputs</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Inputs</w:t>
            </w:r>
          </w:p>
        </w:tc>
      </w:tr>
      <w:tr>
        <w:trPr>
          <w:trHeight w:val="219"/>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r>
      <w:tr>
        <w:trPr>
          <w:trHeight w:val="213"/>
        </w:trPr>
        <w:tc>
          <w:tcPr>
            <w:tcW w:w="4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6"/>
                <w:szCs w:val="16"/>
                <w:color w:val="auto"/>
              </w:rPr>
              <w:t>Financial Instruments - Assets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Held-to-Maturity</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3,464,360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3,477,346</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7,333</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3,470,011</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Loans </w:t>
            </w:r>
            <w:r>
              <w:rPr>
                <w:rFonts w:ascii="Arial" w:cs="Arial" w:eastAsia="Arial" w:hAnsi="Arial"/>
                <w:sz w:val="25"/>
                <w:szCs w:val="25"/>
                <w:color w:val="auto"/>
                <w:vertAlign w:val="superscript"/>
              </w:rPr>
              <w:t>1</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11,758,861</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w w:val="99"/>
              </w:rPr>
              <w:t>12,058,054</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12,058,054</w:t>
            </w: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Financial Instruments - Liabilities</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Time Deposits</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1,475,392</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1,478,713</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1,478,713</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Securities Sold Under Agreements to Repurchase</w:t>
            </w: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600,490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637,399</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637,399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Other Debt </w:t>
            </w:r>
            <w:r>
              <w:rPr>
                <w:rFonts w:ascii="Arial" w:cs="Arial" w:eastAsia="Arial" w:hAnsi="Arial"/>
                <w:sz w:val="25"/>
                <w:szCs w:val="25"/>
                <w:color w:val="auto"/>
                <w:vertAlign w:val="superscript"/>
              </w:rPr>
              <w:t>2</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51,019</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51,019</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6"/>
                <w:szCs w:val="16"/>
                <w:color w:val="auto"/>
              </w:rPr>
              <w:t>Financial Instruments - Assets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Securities Held-to-Maturity</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3,262,727</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3,348,693</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7,500</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3,341,193</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2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Loans </w:t>
            </w:r>
            <w:r>
              <w:rPr>
                <w:rFonts w:ascii="Arial" w:cs="Arial" w:eastAsia="Arial" w:hAnsi="Arial"/>
                <w:sz w:val="25"/>
                <w:szCs w:val="25"/>
                <w:color w:val="auto"/>
                <w:vertAlign w:val="superscript"/>
              </w:rPr>
              <w:t>1</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11,536,011</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w w:val="99"/>
              </w:rPr>
              <w:t>12,019,151</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12,019,151</w:t>
            </w: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Financial Instruments - Liabilities</w:t>
            </w:r>
          </w:p>
        </w:tc>
        <w:tc>
          <w:tcPr>
            <w:tcW w:w="10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3"/>
        </w:trPr>
        <w:tc>
          <w:tcPr>
            <w:tcW w:w="4320" w:type="dxa"/>
            <w:vAlign w:val="bottom"/>
          </w:tcPr>
          <w:p>
            <w:pPr>
              <w:ind w:left="260"/>
              <w:spacing w:after="0"/>
              <w:rPr>
                <w:sz w:val="20"/>
                <w:szCs w:val="20"/>
                <w:color w:val="auto"/>
              </w:rPr>
            </w:pPr>
            <w:r>
              <w:rPr>
                <w:rFonts w:ascii="Arial" w:cs="Arial" w:eastAsia="Arial" w:hAnsi="Arial"/>
                <w:sz w:val="16"/>
                <w:szCs w:val="16"/>
                <w:color w:val="auto"/>
              </w:rPr>
              <w:t>Time Deposits</w:t>
            </w:r>
          </w:p>
        </w:tc>
        <w:tc>
          <w:tcPr>
            <w:tcW w:w="10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1,662,063</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1,667,774</w:t>
            </w:r>
          </w:p>
        </w:tc>
        <w:tc>
          <w:tcPr>
            <w:tcW w:w="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1,667,774</w:t>
            </w:r>
          </w:p>
        </w:tc>
        <w:tc>
          <w:tcPr>
            <w:tcW w:w="3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Securities Sold Under Agreements to Repurchase</w:t>
            </w: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600,590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649,039</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649,039</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77"/>
        </w:trPr>
        <w:tc>
          <w:tcPr>
            <w:tcW w:w="4320" w:type="dxa"/>
            <w:vAlign w:val="bottom"/>
          </w:tcPr>
          <w:p>
            <w:pPr>
              <w:ind w:left="260"/>
              <w:spacing w:after="0" w:line="276" w:lineRule="exact"/>
              <w:rPr>
                <w:sz w:val="20"/>
                <w:szCs w:val="20"/>
                <w:color w:val="auto"/>
              </w:rPr>
            </w:pPr>
            <w:r>
              <w:rPr>
                <w:rFonts w:ascii="Arial" w:cs="Arial" w:eastAsia="Arial" w:hAnsi="Arial"/>
                <w:sz w:val="16"/>
                <w:szCs w:val="16"/>
                <w:color w:val="auto"/>
              </w:rPr>
              <w:t xml:space="preserve">Other Debt </w:t>
            </w:r>
            <w:r>
              <w:rPr>
                <w:rFonts w:ascii="Arial" w:cs="Arial" w:eastAsia="Arial" w:hAnsi="Arial"/>
                <w:sz w:val="27"/>
                <w:szCs w:val="27"/>
                <w:color w:val="auto"/>
                <w:vertAlign w:val="superscript"/>
              </w:rPr>
              <w:t>2</w:t>
            </w:r>
          </w:p>
        </w:tc>
        <w:tc>
          <w:tcPr>
            <w:tcW w:w="10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24"/>
                <w:szCs w:val="24"/>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51,546</w:t>
            </w:r>
          </w:p>
        </w:tc>
        <w:tc>
          <w:tcPr>
            <w:tcW w:w="8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51,546</w:t>
            </w:r>
          </w:p>
        </w:tc>
        <w:tc>
          <w:tcPr>
            <w:tcW w:w="30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ind w:left="180" w:hanging="172"/>
        <w:spacing w:after="0" w:line="221" w:lineRule="auto"/>
        <w:tabs>
          <w:tab w:leader="none" w:pos="180" w:val="left"/>
        </w:tabs>
        <w:numPr>
          <w:ilvl w:val="0"/>
          <w:numId w:val="29"/>
        </w:numPr>
        <w:rPr>
          <w:rFonts w:ascii="Arial" w:cs="Arial" w:eastAsia="Arial" w:hAnsi="Arial"/>
          <w:sz w:val="12"/>
          <w:szCs w:val="12"/>
          <w:color w:val="auto"/>
        </w:rPr>
      </w:pPr>
      <w:r>
        <w:rPr>
          <w:rFonts w:ascii="Arial" w:cs="Arial" w:eastAsia="Arial" w:hAnsi="Arial"/>
          <w:sz w:val="14"/>
          <w:szCs w:val="14"/>
          <w:color w:val="auto"/>
        </w:rPr>
        <w:t>Carrying amount is net of unearned income and the Allowance.</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Excludes finance lease obligations.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76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82"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the compounding effects of the COVID-19 pandemic, including reduced tourism in Hawaii, the duration and scope of government mandates or other limitations of or restrictions on travel, volatility in the international and national economy and credit markets, worker absenteeism, quarantines or other travel or health-related restrictions, the length and severity of the COVID-19 pandemic, the pace of recovery following the COVID-19 pandemic, and the effect of government, business and individual actions intended to mitigate the effects of the COVID-19 pandemic; 3) changes in market interest rates that may affect credit markets and our ability to maintain our net interest margin; 4) changes in our credit quality or risk profile that may increase or decrease the required level of our reserve for credit losses; 5) the impact of legislative and regulatory initiatives, particularly the Dodd-Frank Wall Street Reform and Consumer Protection Act of 2010 (the “Dodd-Frank Act”) and Economic Growth, Regulatory Relief, and Consumer Protection Act of 2018; 6) changes to the amount and timing of proposed common stock repurchases; 7) unanticipated changes in the securities markets, public debt markets, and other capital markets in the U.S. and internationally, including, without limitation, the anticipated elimination of the London Interbank Offered Rate (“LIBOR”) as a benchmark interest rate; 8) changes in fiscal and monetary policies of the markets in which we operate; 9) the increased cost of maintaining or the Company’s ability to maintain adequate liquidity and capital, based on the requirements adopted by the Basel Committee on Banking Supervision and U.S. regulators; 10) changes in accounting standards;</w:t>
      </w:r>
    </w:p>
    <w:p>
      <w:pPr>
        <w:spacing w:after="0" w:line="11" w:lineRule="exact"/>
        <w:rPr>
          <w:sz w:val="20"/>
          <w:szCs w:val="20"/>
          <w:color w:val="auto"/>
        </w:rPr>
      </w:pPr>
    </w:p>
    <w:p>
      <w:pPr>
        <w:ind w:right="20" w:firstLine="8"/>
        <w:spacing w:after="0" w:line="285"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tax laws or regulations, including Public Law 115-97, commonly known as the Tax Cuts and Jobs Act, or the interpretation of such laws and regulations; 12) any failure in or breach of our operational systems, information systems or infrastructure, or those of our merchants, third party vendors and other service providers; 13) any interruption or breach of security of our information systems resulting in failures or disruptions in customer account management, general ledger processing, and loan or deposit systems; 14) natural disasters, public unrest or adverse weather, public health, disease outbreaks, and other conditions impacting us and our customers’ operations or negatively impacting the tourism industry in Hawaii; 15) competitive pressures in the markets for financial services and products; 16) actual or alleged conduct which could harm our reputation; and 17) the impact of litigation and regulatory investigations of the Company, including costs, expenses, settlements, and judgments.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2020,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Consolidated Financial Statements were prepared in accordance with U.S. generally accepted accounting principles (“GAAP”) and follow general practices within the industries in which we operate. The most significant accounting policies we follow are presented in Note 1 to the Company’s Annual Report on Form 10-K for the year ended December 31, 2020. Application of these principles requires us to make estimates, assumptions, and judgments that affect the amounts reported in the Consolidated Financial Statements and accompanying notes. Most accounting policies are not considered by management to be critical accounting policies. Several factors are considered in determining whether or not a policy is critical in the preparation of the Consolidated Financial Statements. These factors include among other things, whether the policy requires management to make difficult, subjective, and complex judgments about matters that are inherently uncertain and because it is likely that materially different amounts would be reported under different conditions or using different assumptions. The accounting policies which we believe to be most critical in preparing our Consolidated Financial Statements are presented in the section titled “Critical Accounting Policies” in Management’s Discussion and Analysis of Financial Condition and Results of Operations included in the Company’s Annual Report on Form 10-K for the year ended December 31, 2020. There have been no significant changes in the Company’s application of critical accounting policies since December 31,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19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COVID-19 pandemic has had and is continuing to have an impact on the Hawaii economy. The actions taken by the State of Hawaii beginning in March 2020 were imposed to mitigate the spread and lessen the public health impact of the COVID-19 virus in Hawaii. Prior to the COVID-19 pandemic, at risk industries of leisure and hospitality represented 19% of jobs and 10% of Hawaii’s GDP. Hawaii benefits from a wide range of industries that help to provide stability in the case of economic shocks. Federal government jobs, primarily military, have historically been a stabilizing part of Hawaii’s economy, supplying about 20% of GDP. Construction activity, including the Honolulu Rail Project, and other non-visitor-related activities have continued despite COVID-19. Hawaii’s large retiree population also contributes to a stable economic base. The U.S. government has enacted several stimulus programs to counteract the economic disruptions caused by the COVID-19 pandemic, including the Coronavirus Aid, Relief, and Economic Security (“CARES”) Act, Paycheck Protection Program (“PPP”), Consolidated Appropriations Act (“CAA”), and American Rescue Plan (“ARP”). Notwithstanding, the Hawaii economy will likely continue to face significant challenges.</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taken and continue to take significant steps to help our customers who have been impacted by COVID-19. For our consumer customers, we initially provided payment relief for residential mortgage, home equity, auto loan, auto lease and direct personal loans for up to six months. We waived associated late fees, while not reporting these payment deferrals as late payments to the credit bureaus for all customers who were current prior to the event. For our commercial customers that continued to make interest payments, we provided six months of principal deferral, or alternatively, three months of interest or interest and principal deferral. As the COVID-19 pandemic persists in negatively impacting the economy, the Company continues to offer additional loan modifications to borrowers struggling as a result of COVID-19.</w:t>
      </w:r>
    </w:p>
    <w:p>
      <w:pPr>
        <w:spacing w:after="0" w:line="13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Bank continues to responsibly lend to qualified consumer and commercial customers. We continue to participate in the SBA’s Small Business Paycheck Protection Program. As of March 31, 2021, the Bank had 6,911 PPP loans totaling $744.8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income for the first quarter of 2021 was $59.9 million, an increase of $25.2 million or 73% compared to the same period in 2020. Diluted earnings per share was $1.50 for the first quarter of 2021, an increase of $0.63 or 72% compared to the same period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first quarter of 2021 were primarily due to the following:</w:t>
      </w:r>
    </w:p>
    <w:p>
      <w:pPr>
        <w:spacing w:after="0" w:line="185" w:lineRule="exact"/>
        <w:rPr>
          <w:sz w:val="20"/>
          <w:szCs w:val="20"/>
          <w:color w:val="auto"/>
        </w:rPr>
      </w:pPr>
    </w:p>
    <w:p>
      <w:pPr>
        <w:ind w:left="740" w:right="20" w:hanging="368"/>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recorded a $14.3 million negative provision for credit losses in the first quarter of 2021 compared to a $33.6 million provision recorded in the same period in 2020. This decrease was primarily due to management’s best estimate of losses over the life of loans in our portfolio in accordance with the CECL approach, given the economic outlook and forecasts for COVID-19 pandemic driven market changes, as well as the impact of unprecedented intervention of fiscal, monetary and regulatory programs.</w:t>
      </w:r>
    </w:p>
    <w:p>
      <w:pPr>
        <w:spacing w:after="0" w:line="146" w:lineRule="exact"/>
        <w:rPr>
          <w:rFonts w:ascii="Arial" w:cs="Arial" w:eastAsia="Arial" w:hAnsi="Arial"/>
          <w:sz w:val="18"/>
          <w:szCs w:val="18"/>
          <w:color w:val="auto"/>
        </w:rPr>
      </w:pPr>
    </w:p>
    <w:p>
      <w:pPr>
        <w:ind w:left="740" w:right="60" w:hanging="368"/>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 banking income increased by $3.2 million in the first quarter of 2021 compared to the same period in 2020. The increase was primarily due to valuation adjustments recorded for our mortgage servicing rights accounted for using the amortization method. During the first quarter of 2021, we recognized a $2.2 million valuation allowance recovery to our mortgage servicing rights compared to a $2.5 million valuation impairment to our mortgage servicing rights recorded in first quarter of 2020.</w:t>
      </w:r>
    </w:p>
    <w:p>
      <w:pPr>
        <w:spacing w:after="0" w:line="146"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Total other expenses for the first quarter of 2021 were $13.3 million, a decrease of $1.7 million or 11% compared to the same period in</w:t>
      </w:r>
    </w:p>
    <w:p>
      <w:pPr>
        <w:spacing w:after="0" w:line="34" w:lineRule="exact"/>
        <w:rPr>
          <w:rFonts w:ascii="Arial" w:cs="Arial" w:eastAsia="Arial" w:hAnsi="Arial"/>
          <w:sz w:val="17"/>
          <w:szCs w:val="17"/>
          <w:color w:val="auto"/>
        </w:rPr>
      </w:pPr>
    </w:p>
    <w:p>
      <w:pPr>
        <w:ind w:left="740" w:right="200"/>
        <w:spacing w:after="0" w:line="323" w:lineRule="auto"/>
        <w:rPr>
          <w:rFonts w:ascii="Arial" w:cs="Arial" w:eastAsia="Arial" w:hAnsi="Arial"/>
          <w:sz w:val="17"/>
          <w:szCs w:val="17"/>
          <w:color w:val="auto"/>
        </w:rPr>
      </w:pPr>
      <w:r>
        <w:rPr>
          <w:rFonts w:ascii="Arial" w:cs="Arial" w:eastAsia="Arial" w:hAnsi="Arial"/>
          <w:sz w:val="16"/>
          <w:szCs w:val="16"/>
          <w:color w:val="auto"/>
        </w:rPr>
        <w:t>2020. This decrease was due to decreases in broker’s charges ($0.5 million), insurance ($0.5 million), delivery and postage services ($0.3 million), merchant transaction and card processing fees ($0.3 million), and amortization of solar energy partnership investments ($0.2 million).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198" w:lineRule="exact"/>
        <w:rPr>
          <w:sz w:val="20"/>
          <w:szCs w:val="20"/>
          <w:color w:val="auto"/>
        </w:rPr>
      </w:pPr>
    </w:p>
    <w:p>
      <w:pPr>
        <w:ind w:left="740" w:right="40" w:hanging="368"/>
        <w:spacing w:after="0" w:line="279"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provision for income taxes for the first quarter of 2021 was $19.0 million, an increase of $11.6 million compared to the same period in 2020 primarily due to higher pretax income while favorable book-tax differences and tax credits were relatively constant. The effective tax rate for the first quarter of 2021 was 24.09%, compared to 17.68% for the same period in 2020. The effective tax rate for the first quarter of 2020 was favorably impacted by a $0.6 million tax benefit from an early buyout of our equity interest in a leveraged lease.</w:t>
      </w:r>
    </w:p>
    <w:p>
      <w:pPr>
        <w:spacing w:after="0" w:line="130" w:lineRule="exact"/>
        <w:rPr>
          <w:rFonts w:ascii="Arial" w:cs="Arial" w:eastAsia="Arial" w:hAnsi="Arial"/>
          <w:sz w:val="17"/>
          <w:szCs w:val="17"/>
          <w:color w:val="auto"/>
        </w:rPr>
      </w:pPr>
    </w:p>
    <w:p>
      <w:pPr>
        <w:ind w:left="740" w:right="240" w:hanging="368"/>
        <w:spacing w:after="0" w:line="263"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income for the first quarter of 2021 was $4.7 million, a decrease of $5.7 million or 55% compared to the same period in 2020. This decrease was primarily due to a $5.2 million decrease in fees related to our customer interest rate swap derivatives coupled with a $0.4 million decrease in foreign currency transactions.</w:t>
      </w:r>
    </w:p>
    <w:p>
      <w:pPr>
        <w:spacing w:after="0" w:line="143" w:lineRule="exact"/>
        <w:rPr>
          <w:rFonts w:ascii="Arial" w:cs="Arial" w:eastAsia="Arial" w:hAnsi="Arial"/>
          <w:sz w:val="18"/>
          <w:szCs w:val="18"/>
          <w:color w:val="auto"/>
        </w:rPr>
      </w:pPr>
    </w:p>
    <w:p>
      <w:pPr>
        <w:ind w:left="740" w:right="60" w:hanging="368"/>
        <w:spacing w:after="0" w:line="263"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interest income was $120.6 million for the first quarter of 2021, a decrease of $5.4 million or 4% compared to the same period in 2020. This decrease was primarily due to lower yields on investment securities and loans and leases. Net interest margin was 2.43% in the first quarter of 2021, a 53 basis point decrease from the same period in 2020.</w:t>
      </w:r>
    </w:p>
    <w:p>
      <w:pPr>
        <w:spacing w:after="0" w:line="143" w:lineRule="exact"/>
        <w:rPr>
          <w:rFonts w:ascii="Arial" w:cs="Arial" w:eastAsia="Arial" w:hAnsi="Arial"/>
          <w:sz w:val="18"/>
          <w:szCs w:val="18"/>
          <w:color w:val="auto"/>
        </w:rPr>
      </w:pPr>
    </w:p>
    <w:p>
      <w:pPr>
        <w:ind w:left="740" w:right="40" w:hanging="368"/>
        <w:spacing w:after="0" w:line="263"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salaries and benefits expense for the first quarter of 2021 was $56.3 million, an increase of $1.8 million or 3% compared to the same period in 2020, primarily due to a $5.7 million increase in incentive compensation coupled with a $1.3 million decrease in share-based compensation. These increases were partially offset by a $2.8 million decrease in separation expense.</w:t>
      </w:r>
    </w:p>
    <w:p>
      <w:pPr>
        <w:spacing w:after="0" w:line="143"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Data processing expenses for the first quarter of 2021 was $6.4 million, an increase of $1.6 million compared to the same period in 2020. This increase was primarily due to the rollout of contactless cards in the first quarter of 2021.</w:t>
      </w:r>
    </w:p>
    <w:p>
      <w:pPr>
        <w:spacing w:after="0" w:line="129"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Service charges on deposit accounts for the first quarter of 2021 was $6.1 million, a decrease of $1.3 million or 18% compared to the same period in 2020. This decrease was primarily due to a decrease in overdraft fees.</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maintained a strong balance sheet during the first quarter of 2021, with what we believe are appropriate reserves for credit losses and high levels of liquidity and capital highlighted by the following.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left="740" w:right="14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loans and leases were $12.1 billion as of March 31, 2021, of an increase $200.7 million or 2% from December 31, 2020, primarily due to growth in our commercial lending portfolio.</w:t>
      </w:r>
    </w:p>
    <w:p>
      <w:pPr>
        <w:spacing w:after="0" w:line="129" w:lineRule="exact"/>
        <w:rPr>
          <w:rFonts w:ascii="Arial" w:cs="Arial" w:eastAsia="Arial" w:hAnsi="Arial"/>
          <w:sz w:val="18"/>
          <w:szCs w:val="18"/>
          <w:color w:val="auto"/>
        </w:rPr>
      </w:pPr>
    </w:p>
    <w:p>
      <w:pPr>
        <w:ind w:left="740" w:hanging="368"/>
        <w:spacing w:after="0" w:line="259"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Allowance for Credit Losses (the “Allowance”) was $198.3 million as of March 31, 2021, a decrease of $17.9 million or 8% from December 31, 2020. The Allowance represented 1.63% of total loans and leases outstanding as of March 31, 2021, and 1.81% of total loans and leases outstanding as of December 31, 2020. The level of our Allowance was commensurate with the Company’s credit risk profile, future economic outlook, and forecasts utilized.</w:t>
      </w:r>
    </w:p>
    <w:p>
      <w:pPr>
        <w:spacing w:after="0" w:line="146" w:lineRule="exact"/>
        <w:rPr>
          <w:rFonts w:ascii="Arial" w:cs="Arial" w:eastAsia="Arial" w:hAnsi="Arial"/>
          <w:sz w:val="18"/>
          <w:szCs w:val="18"/>
          <w:color w:val="auto"/>
        </w:rPr>
      </w:pPr>
    </w:p>
    <w:p>
      <w:pPr>
        <w:ind w:left="740" w:right="120" w:hanging="368"/>
        <w:spacing w:after="0" w:line="342"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total carrying value of our investment securities portfolio was $7.5 billion, an increase of $434.7 million or 6% compared to December 31, 2020. Mortgage-backed securities issued by Ginnie Mae, Fannie Mae, and Freddie Mac are the largest concentration in our portfolio.</w:t>
      </w:r>
    </w:p>
    <w:p>
      <w:pPr>
        <w:spacing w:after="0" w:line="83" w:lineRule="exact"/>
        <w:rPr>
          <w:rFonts w:ascii="Arial" w:cs="Arial" w:eastAsia="Arial" w:hAnsi="Arial"/>
          <w:sz w:val="16"/>
          <w:szCs w:val="16"/>
          <w:color w:val="auto"/>
        </w:rPr>
      </w:pPr>
    </w:p>
    <w:p>
      <w:pPr>
        <w:ind w:left="740" w:right="8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deposits were $19.6 billion as of March 31, 2021, an increase of $1.3 billion or 7% from December 31, 2020, primarily due to an increase in commercial and consumer deposits.</w:t>
      </w:r>
    </w:p>
    <w:p>
      <w:pPr>
        <w:spacing w:after="0" w:line="129" w:lineRule="exact"/>
        <w:rPr>
          <w:rFonts w:ascii="Arial" w:cs="Arial" w:eastAsia="Arial" w:hAnsi="Arial"/>
          <w:sz w:val="18"/>
          <w:szCs w:val="18"/>
          <w:color w:val="auto"/>
        </w:rPr>
      </w:pPr>
    </w:p>
    <w:p>
      <w:pPr>
        <w:ind w:left="740" w:right="20" w:hanging="368"/>
        <w:spacing w:after="0" w:line="255"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shareholders’ equity was $1.4 billion as of March 31, 2021, a decrease of $14.3 million or 1% from December 31, 2020. While we continued to return capital to our shareholders in the form of dividends, in March 2020, we suspended share repurchases in light of the COVID-19 pandemic. We believe the suspension is prudent given uncertainty regarding the length and severity of the COVID-19 pandemic. During the first three months of 2021, we acquired 35,983 shares of our common stock at a total cost of $3.2 million from shares obtained from employees and/or directors in connection with income tax withholdings related to the vesting of restricted stock and shares purchased for a deferred compensation plan.</w:t>
      </w:r>
    </w:p>
    <w:p>
      <w:pPr>
        <w:spacing w:after="0" w:line="151"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dividends of $27.0 million were distributed during the first quarter of 2021.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Our financial highlights are presented in Table 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Financial Highlights</w:t>
            </w:r>
          </w:p>
        </w:tc>
        <w:tc>
          <w:tcPr>
            <w:tcW w:w="2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1</w:t>
            </w:r>
          </w:p>
        </w:tc>
      </w:tr>
      <w:tr>
        <w:trPr>
          <w:trHeight w:val="207"/>
        </w:trPr>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7"/>
                <w:szCs w:val="17"/>
                <w:color w:val="auto"/>
              </w:rPr>
            </w:pPr>
          </w:p>
        </w:tc>
      </w:tr>
      <w:tr>
        <w:trPr>
          <w:trHeight w:val="216"/>
        </w:trPr>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r>
      <w:tr>
        <w:trPr>
          <w:trHeight w:val="213"/>
        </w:trPr>
        <w:tc>
          <w:tcPr>
            <w:tcW w:w="5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(dollars in thousands, except per share amounts)</w:t>
            </w:r>
          </w:p>
        </w:tc>
        <w:tc>
          <w:tcPr>
            <w:tcW w:w="2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172"/>
        </w:trPr>
        <w:tc>
          <w:tcPr>
            <w:tcW w:w="5540" w:type="dxa"/>
            <w:vAlign w:val="bottom"/>
            <w:gridSpan w:val="3"/>
            <w:shd w:val="clear" w:color="auto" w:fill="CFF0FC"/>
          </w:tcPr>
          <w:p>
            <w:pPr>
              <w:spacing w:after="0" w:line="172" w:lineRule="exact"/>
              <w:rPr>
                <w:sz w:val="20"/>
                <w:szCs w:val="20"/>
                <w:color w:val="auto"/>
              </w:rPr>
            </w:pPr>
            <w:r>
              <w:rPr>
                <w:rFonts w:ascii="Arial" w:cs="Arial" w:eastAsia="Arial" w:hAnsi="Arial"/>
                <w:sz w:val="16"/>
                <w:szCs w:val="16"/>
                <w:b w:val="1"/>
                <w:bCs w:val="1"/>
                <w:color w:val="auto"/>
              </w:rPr>
              <w:t>For the Period:</w:t>
            </w:r>
          </w:p>
        </w:tc>
        <w:tc>
          <w:tcPr>
            <w:tcW w:w="2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20"/>
        </w:trPr>
        <w:tc>
          <w:tcPr>
            <w:tcW w:w="106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3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b w:val="1"/>
                <w:bCs w:val="1"/>
                <w:color w:val="auto"/>
              </w:rPr>
              <w:t>Operating Results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Interest Income</w:t>
            </w:r>
          </w:p>
        </w:tc>
        <w:tc>
          <w:tcPr>
            <w:tcW w:w="2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120,569</w:t>
            </w:r>
          </w:p>
        </w:tc>
        <w:tc>
          <w:tcPr>
            <w:tcW w:w="68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125,966</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Provision for Credit Losses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(14,300)</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33,600</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Noninterest Income</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42,970</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46,149</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Total Noninterest Expense</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98,865</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96,312</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Income</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59,949</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34,742</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Basic Earnings Per Share</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1.51</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0.88</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Diluted Earnings Per Share</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1.50</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0.87</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Dividends Declared Per Share</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0.67</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0.67</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Performance Ratios</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Return on Average Assets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1.15%</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0.77%</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Return on Average Shareholders’ Equity</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17.65</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10.64</w:t>
            </w:r>
          </w:p>
        </w:tc>
      </w:tr>
      <w:tr>
        <w:trPr>
          <w:trHeight w:val="216"/>
        </w:trPr>
        <w:tc>
          <w:tcPr>
            <w:tcW w:w="5540" w:type="dxa"/>
            <w:vAlign w:val="bottom"/>
            <w:gridSpan w:val="3"/>
          </w:tcPr>
          <w:p>
            <w:pPr>
              <w:spacing w:after="0" w:line="216" w:lineRule="exact"/>
              <w:rPr>
                <w:sz w:val="20"/>
                <w:szCs w:val="20"/>
                <w:color w:val="auto"/>
              </w:rPr>
            </w:pPr>
            <w:r>
              <w:rPr>
                <w:rFonts w:ascii="Arial" w:cs="Arial" w:eastAsia="Arial" w:hAnsi="Arial"/>
                <w:sz w:val="15"/>
                <w:szCs w:val="15"/>
                <w:color w:val="auto"/>
              </w:rPr>
              <w:t xml:space="preserve">Efficiency Ratio </w:t>
            </w:r>
            <w:r>
              <w:rPr>
                <w:rFonts w:ascii="Arial" w:cs="Arial" w:eastAsia="Arial" w:hAnsi="Arial"/>
                <w:sz w:val="25"/>
                <w:szCs w:val="25"/>
                <w:color w:val="auto"/>
                <w:vertAlign w:val="superscript"/>
              </w:rPr>
              <w:t>1</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60.45</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55.96</w:t>
            </w:r>
          </w:p>
        </w:tc>
      </w:tr>
      <w:tr>
        <w:trPr>
          <w:trHeight w:val="216"/>
        </w:trPr>
        <w:tc>
          <w:tcPr>
            <w:tcW w:w="5540" w:type="dxa"/>
            <w:vAlign w:val="bottom"/>
            <w:gridSpan w:val="3"/>
            <w:shd w:val="clear" w:color="auto" w:fill="CFF0FC"/>
          </w:tcPr>
          <w:p>
            <w:pPr>
              <w:spacing w:after="0" w:line="216" w:lineRule="exact"/>
              <w:rPr>
                <w:sz w:val="20"/>
                <w:szCs w:val="20"/>
                <w:color w:val="auto"/>
              </w:rPr>
            </w:pPr>
            <w:r>
              <w:rPr>
                <w:rFonts w:ascii="Arial" w:cs="Arial" w:eastAsia="Arial" w:hAnsi="Arial"/>
                <w:sz w:val="15"/>
                <w:szCs w:val="15"/>
                <w:color w:val="auto"/>
              </w:rPr>
              <w:t xml:space="preserve">Net Interest Margin </w:t>
            </w:r>
            <w:r>
              <w:rPr>
                <w:rFonts w:ascii="Arial" w:cs="Arial" w:eastAsia="Arial" w:hAnsi="Arial"/>
                <w:sz w:val="25"/>
                <w:szCs w:val="25"/>
                <w:color w:val="auto"/>
                <w:vertAlign w:val="superscript"/>
              </w:rPr>
              <w:t>2</w:t>
            </w:r>
          </w:p>
        </w:tc>
        <w:tc>
          <w:tcPr>
            <w:tcW w:w="2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2.43</w:t>
            </w: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2.96</w:t>
            </w:r>
          </w:p>
        </w:tc>
      </w:tr>
      <w:tr>
        <w:trPr>
          <w:trHeight w:val="216"/>
        </w:trPr>
        <w:tc>
          <w:tcPr>
            <w:tcW w:w="5540" w:type="dxa"/>
            <w:vAlign w:val="bottom"/>
            <w:gridSpan w:val="3"/>
          </w:tcPr>
          <w:p>
            <w:pPr>
              <w:spacing w:after="0" w:line="216" w:lineRule="exact"/>
              <w:rPr>
                <w:sz w:val="20"/>
                <w:szCs w:val="20"/>
                <w:color w:val="auto"/>
              </w:rPr>
            </w:pPr>
            <w:r>
              <w:rPr>
                <w:rFonts w:ascii="Arial" w:cs="Arial" w:eastAsia="Arial" w:hAnsi="Arial"/>
                <w:sz w:val="15"/>
                <w:szCs w:val="15"/>
                <w:color w:val="auto"/>
              </w:rPr>
              <w:t xml:space="preserve">Dividend Payout Ratio </w:t>
            </w:r>
            <w:r>
              <w:rPr>
                <w:rFonts w:ascii="Arial" w:cs="Arial" w:eastAsia="Arial" w:hAnsi="Arial"/>
                <w:sz w:val="25"/>
                <w:szCs w:val="25"/>
                <w:color w:val="auto"/>
                <w:vertAlign w:val="superscript"/>
              </w:rPr>
              <w:t>3</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44.37</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76.14</w:t>
            </w:r>
          </w:p>
        </w:tc>
      </w:tr>
      <w:tr>
        <w:trPr>
          <w:trHeight w:val="216"/>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Average Shareholders’ Equity to Average Assets</w:t>
            </w:r>
          </w:p>
        </w:tc>
        <w:tc>
          <w:tcPr>
            <w:tcW w:w="2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6.51</w:t>
            </w: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7.21</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b w:val="1"/>
                <w:bCs w:val="1"/>
                <w:color w:val="auto"/>
              </w:rPr>
              <w:t>Average Balances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Average Loans and Leases</w:t>
            </w:r>
          </w:p>
        </w:tc>
        <w:tc>
          <w:tcPr>
            <w:tcW w:w="2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11,952,587</w:t>
            </w:r>
          </w:p>
        </w:tc>
        <w:tc>
          <w:tcPr>
            <w:tcW w:w="68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11,060,707</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Average Assets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21,150,670</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18,222,602</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Average Deposits</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18,665,222</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15,817,745</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Average Shareholders’ Equity</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1,377,272</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1,313,848</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Market Price Per Share of Common Stock</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Closing</w:t>
            </w:r>
          </w:p>
        </w:tc>
        <w:tc>
          <w:tcPr>
            <w:tcW w:w="2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89.49</w:t>
            </w:r>
          </w:p>
        </w:tc>
        <w:tc>
          <w:tcPr>
            <w:tcW w:w="6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54.91</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High</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99.10</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95.53</w:t>
            </w:r>
          </w:p>
        </w:tc>
      </w:tr>
      <w:tr>
        <w:trPr>
          <w:trHeight w:val="210"/>
        </w:trPr>
        <w:tc>
          <w:tcPr>
            <w:tcW w:w="5540" w:type="dxa"/>
            <w:vAlign w:val="bottom"/>
            <w:gridSpan w:val="3"/>
          </w:tcPr>
          <w:p>
            <w:pPr>
              <w:spacing w:after="0"/>
              <w:rPr>
                <w:sz w:val="20"/>
                <w:szCs w:val="20"/>
                <w:color w:val="auto"/>
              </w:rPr>
            </w:pPr>
            <w:r>
              <w:rPr>
                <w:rFonts w:ascii="Arial" w:cs="Arial" w:eastAsia="Arial" w:hAnsi="Arial"/>
                <w:sz w:val="16"/>
                <w:szCs w:val="16"/>
                <w:color w:val="auto"/>
              </w:rPr>
              <w:t>Low</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75.65</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46.70</w:t>
            </w:r>
          </w:p>
        </w:tc>
      </w:tr>
      <w:tr>
        <w:trPr>
          <w:trHeight w:val="424"/>
        </w:trPr>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24"/>
                <w:szCs w:val="24"/>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172"/>
        </w:trPr>
        <w:tc>
          <w:tcPr>
            <w:tcW w:w="5540" w:type="dxa"/>
            <w:vAlign w:val="bottom"/>
            <w:gridSpan w:val="3"/>
            <w:shd w:val="clear" w:color="auto" w:fill="CFF0FC"/>
          </w:tcPr>
          <w:p>
            <w:pPr>
              <w:spacing w:after="0" w:line="172" w:lineRule="exact"/>
              <w:rPr>
                <w:sz w:val="20"/>
                <w:szCs w:val="20"/>
                <w:color w:val="auto"/>
              </w:rPr>
            </w:pPr>
            <w:r>
              <w:rPr>
                <w:rFonts w:ascii="Arial" w:cs="Arial" w:eastAsia="Arial" w:hAnsi="Arial"/>
                <w:sz w:val="16"/>
                <w:szCs w:val="16"/>
                <w:b w:val="1"/>
                <w:bCs w:val="1"/>
                <w:color w:val="auto"/>
              </w:rPr>
              <w:t>As of Period End:</w:t>
            </w:r>
          </w:p>
        </w:tc>
        <w:tc>
          <w:tcPr>
            <w:tcW w:w="2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20"/>
        </w:trPr>
        <w:tc>
          <w:tcPr>
            <w:tcW w:w="106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CFF0FC"/>
          </w:tcPr>
          <w:p>
            <w:pPr>
              <w:spacing w:after="0" w:line="20" w:lineRule="exact"/>
              <w:rPr>
                <w:sz w:val="1"/>
                <w:szCs w:val="1"/>
                <w:color w:val="auto"/>
              </w:rPr>
            </w:pPr>
          </w:p>
        </w:tc>
        <w:tc>
          <w:tcPr>
            <w:tcW w:w="430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b w:val="1"/>
                <w:bCs w:val="1"/>
                <w:color w:val="auto"/>
              </w:rPr>
              <w:t>Balance Sheet Totals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Loans and Leases</w:t>
            </w:r>
          </w:p>
        </w:tc>
        <w:tc>
          <w:tcPr>
            <w:tcW w:w="2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12,140,703</w:t>
            </w:r>
          </w:p>
        </w:tc>
        <w:tc>
          <w:tcPr>
            <w:tcW w:w="68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11,940,020</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21,947,271</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20,603,651</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Deposits</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19,556,651</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18,211,621</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Other Debt</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60,459</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60,481</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Shareholders’ Equity</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1,360,221</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1,374,507</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b w:val="1"/>
                <w:bCs w:val="1"/>
                <w:color w:val="auto"/>
              </w:rPr>
              <w:t>Asset Quality</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Non-Performing Assets</w:t>
            </w:r>
          </w:p>
        </w:tc>
        <w:tc>
          <w:tcPr>
            <w:tcW w:w="2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17,883</w:t>
            </w:r>
          </w:p>
        </w:tc>
        <w:tc>
          <w:tcPr>
            <w:tcW w:w="68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18,481</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Allowance for Credit Losses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198,343</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216,252</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Allowance to Loans and Leases Outstanding</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b w:val="1"/>
                <w:bCs w:val="1"/>
                <w:color w:val="auto"/>
              </w:rPr>
              <w:t>Capital Ratios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Common Equity Tier 1 Capital Ratio</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12.06%</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Tier 1 Capital Ratio</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12.35</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12.06</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Capital Ratio</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13.61</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13.31</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Tier 1 Leverage Ratio</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6.61</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6.71</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Shareholders’ Equity to Total Assets</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6.20</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6.67</w:t>
            </w:r>
          </w:p>
        </w:tc>
      </w:tr>
      <w:tr>
        <w:trPr>
          <w:trHeight w:val="216"/>
        </w:trPr>
        <w:tc>
          <w:tcPr>
            <w:tcW w:w="5540" w:type="dxa"/>
            <w:vAlign w:val="bottom"/>
            <w:gridSpan w:val="3"/>
          </w:tcPr>
          <w:p>
            <w:pPr>
              <w:spacing w:after="0" w:line="216" w:lineRule="exact"/>
              <w:rPr>
                <w:sz w:val="20"/>
                <w:szCs w:val="20"/>
                <w:color w:val="auto"/>
              </w:rPr>
            </w:pPr>
            <w:r>
              <w:rPr>
                <w:rFonts w:ascii="Arial" w:cs="Arial" w:eastAsia="Arial" w:hAnsi="Arial"/>
                <w:sz w:val="15"/>
                <w:szCs w:val="15"/>
                <w:color w:val="auto"/>
              </w:rPr>
              <w:t xml:space="preserve">Tangible Common Equity to Tangible Assets </w:t>
            </w:r>
            <w:r>
              <w:rPr>
                <w:rFonts w:ascii="Arial" w:cs="Arial" w:eastAsia="Arial" w:hAnsi="Arial"/>
                <w:sz w:val="25"/>
                <w:szCs w:val="25"/>
                <w:color w:val="auto"/>
                <w:vertAlign w:val="superscript"/>
              </w:rPr>
              <w:t>4</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6.06</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6.53</w:t>
            </w:r>
          </w:p>
        </w:tc>
      </w:tr>
      <w:tr>
        <w:trPr>
          <w:trHeight w:val="216"/>
        </w:trPr>
        <w:tc>
          <w:tcPr>
            <w:tcW w:w="5540" w:type="dxa"/>
            <w:vAlign w:val="bottom"/>
            <w:gridSpan w:val="3"/>
            <w:shd w:val="clear" w:color="auto" w:fill="CFF0FC"/>
          </w:tcPr>
          <w:p>
            <w:pPr>
              <w:spacing w:after="0" w:line="216" w:lineRule="exact"/>
              <w:rPr>
                <w:sz w:val="20"/>
                <w:szCs w:val="20"/>
                <w:color w:val="auto"/>
              </w:rPr>
            </w:pPr>
            <w:r>
              <w:rPr>
                <w:rFonts w:ascii="Arial" w:cs="Arial" w:eastAsia="Arial" w:hAnsi="Arial"/>
                <w:sz w:val="15"/>
                <w:szCs w:val="15"/>
                <w:color w:val="auto"/>
              </w:rPr>
              <w:t xml:space="preserve">Tangible Common Equity to Risk-Weighted Assets </w:t>
            </w:r>
            <w:r>
              <w:rPr>
                <w:rFonts w:ascii="Arial" w:cs="Arial" w:eastAsia="Arial" w:hAnsi="Arial"/>
                <w:sz w:val="25"/>
                <w:szCs w:val="25"/>
                <w:color w:val="auto"/>
                <w:vertAlign w:val="superscript"/>
              </w:rPr>
              <w:t>4</w:t>
            </w:r>
          </w:p>
        </w:tc>
        <w:tc>
          <w:tcPr>
            <w:tcW w:w="2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11.78</w:t>
            </w: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11.89</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b w:val="1"/>
                <w:bCs w:val="1"/>
                <w:color w:val="auto"/>
              </w:rPr>
              <w:t>Non-Financial Data</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Full-Time Equivalent Employees</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2,058</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2,022</w:t>
            </w:r>
          </w:p>
        </w:tc>
      </w:tr>
      <w:tr>
        <w:trPr>
          <w:trHeight w:val="213"/>
        </w:trPr>
        <w:tc>
          <w:tcPr>
            <w:tcW w:w="5540" w:type="dxa"/>
            <w:vAlign w:val="bottom"/>
            <w:gridSpan w:val="3"/>
          </w:tcPr>
          <w:p>
            <w:pPr>
              <w:spacing w:after="0"/>
              <w:rPr>
                <w:sz w:val="20"/>
                <w:szCs w:val="20"/>
                <w:color w:val="auto"/>
              </w:rPr>
            </w:pPr>
            <w:r>
              <w:rPr>
                <w:rFonts w:ascii="Arial" w:cs="Arial" w:eastAsia="Arial" w:hAnsi="Arial"/>
                <w:sz w:val="16"/>
                <w:szCs w:val="16"/>
                <w:color w:val="auto"/>
              </w:rPr>
              <w:t>Branches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63</w:t>
            </w:r>
          </w:p>
        </w:tc>
        <w:tc>
          <w:tcPr>
            <w:tcW w:w="6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65</w:t>
            </w:r>
          </w:p>
        </w:tc>
      </w:tr>
      <w:tr>
        <w:trPr>
          <w:trHeight w:val="219"/>
        </w:trPr>
        <w:tc>
          <w:tcPr>
            <w:tcW w:w="554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ATMs</w:t>
            </w:r>
          </w:p>
        </w:tc>
        <w:tc>
          <w:tcPr>
            <w:tcW w:w="2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361</w:t>
            </w:r>
          </w:p>
        </w:tc>
        <w:tc>
          <w:tcPr>
            <w:tcW w:w="6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357</w:t>
            </w:r>
          </w:p>
        </w:tc>
      </w:tr>
    </w:tbl>
    <w:p>
      <w:pPr>
        <w:spacing w:after="0" w:line="48"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2"/>
          <w:szCs w:val="12"/>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Net interest margin is defined as net interest income, on a taxable-equivalent basis, as a percentage of average earning assets.</w:t>
      </w:r>
    </w:p>
    <w:p>
      <w:pPr>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3  </w:t>
      </w:r>
      <w:r>
        <w:rPr>
          <w:rFonts w:ascii="Arial" w:cs="Arial" w:eastAsia="Arial" w:hAnsi="Arial"/>
          <w:sz w:val="14"/>
          <w:szCs w:val="14"/>
          <w:color w:val="auto"/>
        </w:rPr>
        <w:t>Dividend payout ratio is defined as dividends declared per share divided by basic earnings per share.</w:t>
      </w:r>
    </w:p>
    <w:p>
      <w:pPr>
        <w:ind w:left="200" w:right="560" w:hanging="189"/>
        <w:spacing w:after="0" w:line="237" w:lineRule="auto"/>
        <w:rPr>
          <w:rFonts w:ascii="Arial" w:cs="Arial" w:eastAsia="Arial" w:hAnsi="Arial"/>
          <w:sz w:val="12"/>
          <w:szCs w:val="12"/>
          <w:color w:val="auto"/>
        </w:rPr>
      </w:pPr>
      <w:r>
        <w:rPr>
          <w:rFonts w:ascii="Arial" w:cs="Arial" w:eastAsia="Arial" w:hAnsi="Arial"/>
          <w:sz w:val="12"/>
          <w:szCs w:val="12"/>
          <w:color w:val="auto"/>
        </w:rPr>
        <w:t xml:space="preserve">4 </w:t>
      </w:r>
      <w:r>
        <w:rPr>
          <w:rFonts w:ascii="Arial" w:cs="Arial" w:eastAsia="Arial" w:hAnsi="Arial"/>
          <w:sz w:val="14"/>
          <w:szCs w:val="14"/>
          <w:color w:val="auto"/>
        </w:rPr>
        <w:t>Tangible common equity, a non-GAAP financial measure, is defined by the Company as shareholders’ equity minus goodwill and intangible assets. Intangible assets are included as a</w:t>
      </w:r>
      <w:r>
        <w:rPr>
          <w:rFonts w:ascii="Arial" w:cs="Arial" w:eastAsia="Arial" w:hAnsi="Arial"/>
          <w:sz w:val="12"/>
          <w:szCs w:val="12"/>
          <w:color w:val="auto"/>
        </w:rPr>
        <w:t xml:space="preserve"> </w:t>
      </w:r>
      <w:r>
        <w:rPr>
          <w:rFonts w:ascii="Arial" w:cs="Arial" w:eastAsia="Arial" w:hAnsi="Arial"/>
          <w:sz w:val="14"/>
          <w:szCs w:val="14"/>
          <w:color w:val="auto"/>
        </w:rPr>
        <w:t>component of other assets in the Consolidated Statements of Condition.</w:t>
      </w:r>
    </w:p>
    <w:p>
      <w:pPr>
        <w:sectPr>
          <w:pgSz w:w="11900" w:h="16838" w:orient="portrait"/>
          <w:cols w:equalWidth="0" w:num="1">
            <w:col w:w="11240"/>
          </w:cols>
          <w:pgMar w:left="320" w:top="130"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GAAP to Non-GAAP Reconciliation</w:t>
            </w:r>
          </w:p>
        </w:tc>
        <w:tc>
          <w:tcPr>
            <w:tcW w:w="1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199"/>
        </w:trPr>
        <w:tc>
          <w:tcPr>
            <w:tcW w:w="6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3"/>
        </w:trPr>
        <w:tc>
          <w:tcPr>
            <w:tcW w:w="6740" w:type="dxa"/>
            <w:vAlign w:val="bottom"/>
            <w:shd w:val="clear" w:color="auto" w:fill="CFF0FC"/>
          </w:tcPr>
          <w:p>
            <w:pPr>
              <w:spacing w:after="0"/>
              <w:rPr>
                <w:sz w:val="20"/>
                <w:szCs w:val="20"/>
                <w:color w:val="auto"/>
              </w:rPr>
            </w:pPr>
            <w:r>
              <w:rPr>
                <w:rFonts w:ascii="Arial" w:cs="Arial" w:eastAsia="Arial" w:hAnsi="Arial"/>
                <w:sz w:val="16"/>
                <w:szCs w:val="16"/>
                <w:color w:val="auto"/>
              </w:rPr>
              <w:t>Total Shareholders’ Equity</w:t>
            </w:r>
          </w:p>
        </w:tc>
        <w:tc>
          <w:tcPr>
            <w:tcW w:w="13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1,360,221</w:t>
            </w:r>
          </w:p>
        </w:tc>
        <w:tc>
          <w:tcPr>
            <w:tcW w:w="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1,374,507</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Goodwill</w:t>
            </w:r>
          </w:p>
        </w:tc>
        <w:tc>
          <w:tcPr>
            <w:tcW w:w="1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31,517</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31,517</w:t>
            </w:r>
          </w:p>
        </w:tc>
      </w:tr>
      <w:tr>
        <w:trPr>
          <w:trHeight w:val="209"/>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Tangible Common Equity</w:t>
            </w:r>
          </w:p>
        </w:tc>
        <w:tc>
          <w:tcPr>
            <w:tcW w:w="13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1,328,704</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1,342,990</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6740" w:type="dxa"/>
            <w:vAlign w:val="bottom"/>
          </w:tcPr>
          <w:p>
            <w:pPr>
              <w:spacing w:after="0"/>
              <w:rPr>
                <w:sz w:val="20"/>
                <w:szCs w:val="20"/>
                <w:color w:val="auto"/>
              </w:rPr>
            </w:pPr>
            <w:r>
              <w:rPr>
                <w:rFonts w:ascii="Arial" w:cs="Arial" w:eastAsia="Arial" w:hAnsi="Arial"/>
                <w:sz w:val="16"/>
                <w:szCs w:val="16"/>
                <w:color w:val="auto"/>
              </w:rPr>
              <w:t>Total Assets</w:t>
            </w: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21,947,271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20,603,651</w:t>
            </w:r>
          </w:p>
        </w:tc>
      </w:tr>
      <w:tr>
        <w:trPr>
          <w:trHeight w:val="216"/>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Less: Goodwill</w:t>
            </w:r>
          </w:p>
        </w:tc>
        <w:tc>
          <w:tcPr>
            <w:tcW w:w="1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31,517</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31,517</w:t>
            </w:r>
          </w:p>
        </w:tc>
      </w:tr>
      <w:tr>
        <w:trPr>
          <w:trHeight w:val="249"/>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Tangible Assets</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21,915,754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20,572,134</w:t>
            </w:r>
          </w:p>
        </w:tc>
      </w:tr>
      <w:tr>
        <w:trPr>
          <w:trHeight w:val="196"/>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3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11,275,565</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11,295,077</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tcPr>
          <w:p>
            <w:pPr>
              <w:spacing w:after="0"/>
              <w:rPr>
                <w:sz w:val="20"/>
                <w:szCs w:val="20"/>
                <w:color w:val="auto"/>
              </w:rPr>
            </w:pPr>
            <w:r>
              <w:rPr>
                <w:rFonts w:ascii="Arial" w:cs="Arial" w:eastAsia="Arial" w:hAnsi="Arial"/>
                <w:sz w:val="16"/>
                <w:szCs w:val="16"/>
                <w:color w:val="auto"/>
              </w:rPr>
              <w:t>Total Shareholders’ Equity to Total Assets</w:t>
            </w:r>
          </w:p>
        </w:tc>
        <w:tc>
          <w:tcPr>
            <w:tcW w:w="1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6.20%</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16"/>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Tangible Common Equity to Tangible Assets (Non-GAAP)</w:t>
            </w:r>
          </w:p>
        </w:tc>
        <w:tc>
          <w:tcPr>
            <w:tcW w:w="1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6.53%</w:t>
            </w:r>
          </w:p>
        </w:tc>
      </w:tr>
      <w:tr>
        <w:trPr>
          <w:trHeight w:val="210"/>
        </w:trPr>
        <w:tc>
          <w:tcPr>
            <w:tcW w:w="6740" w:type="dxa"/>
            <w:vAlign w:val="bottom"/>
          </w:tcPr>
          <w:p>
            <w:pPr>
              <w:spacing w:after="0"/>
              <w:rPr>
                <w:sz w:val="20"/>
                <w:szCs w:val="20"/>
                <w:color w:val="auto"/>
              </w:rPr>
            </w:pPr>
            <w:r>
              <w:rPr>
                <w:rFonts w:ascii="Arial" w:cs="Arial" w:eastAsia="Arial" w:hAnsi="Arial"/>
                <w:sz w:val="16"/>
                <w:szCs w:val="16"/>
                <w:color w:val="auto"/>
              </w:rPr>
              <w:t>Tier 1 Capital Ratio</w:t>
            </w:r>
          </w:p>
        </w:tc>
        <w:tc>
          <w:tcPr>
            <w:tcW w:w="1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12.35%</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12.06%</w:t>
            </w:r>
          </w:p>
        </w:tc>
      </w:tr>
      <w:tr>
        <w:trPr>
          <w:trHeight w:val="216"/>
        </w:trPr>
        <w:tc>
          <w:tcPr>
            <w:tcW w:w="6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Tangible Common Equity to Risk-Weighted Assets (Non-GAAP)</w:t>
            </w:r>
          </w:p>
        </w:tc>
        <w:tc>
          <w:tcPr>
            <w:tcW w:w="1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11.78%</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11.89%</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Average Balances and Interest Rates - Taxable-Equivalent Basis</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Table 3</w:t>
            </w: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5"/>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40" w:type="dxa"/>
            <w:vAlign w:val="bottom"/>
            <w:gridSpan w:val="5"/>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6"/>
              </w:rPr>
              <w:t>March 31, 2021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4"/>
              </w:rPr>
              <w:t>March 31, 2020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460"/>
              <w:spacing w:after="0" w:line="147" w:lineRule="exact"/>
              <w:rPr>
                <w:sz w:val="20"/>
                <w:szCs w:val="20"/>
                <w:color w:val="auto"/>
              </w:rPr>
            </w:pPr>
            <w:r>
              <w:rPr>
                <w:rFonts w:ascii="Arial" w:cs="Arial" w:eastAsia="Arial" w:hAnsi="Arial"/>
                <w:sz w:val="14"/>
                <w:szCs w:val="14"/>
                <w:b w:val="1"/>
                <w:bCs w:val="1"/>
                <w:color w:val="auto"/>
              </w:rPr>
              <w:t>Income/</w:t>
            </w:r>
          </w:p>
        </w:tc>
        <w:tc>
          <w:tcPr>
            <w:tcW w:w="78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40"/>
              <w:spacing w:after="0" w:line="147" w:lineRule="exact"/>
              <w:rPr>
                <w:sz w:val="20"/>
                <w:szCs w:val="20"/>
                <w:color w:val="auto"/>
              </w:rPr>
            </w:pPr>
            <w:r>
              <w:rPr>
                <w:rFonts w:ascii="Arial" w:cs="Arial" w:eastAsia="Arial" w:hAnsi="Arial"/>
                <w:sz w:val="14"/>
                <w:szCs w:val="14"/>
                <w:b w:val="1"/>
                <w:bCs w:val="1"/>
                <w:color w:val="auto"/>
              </w:rPr>
              <w:t>Income/</w:t>
            </w:r>
          </w:p>
        </w:tc>
        <w:tc>
          <w:tcPr>
            <w:tcW w:w="80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Balance</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Expense</w:t>
            </w: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Rate</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Expense</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56"/>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Earning Assets</w:t>
            </w: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Interest-Bearing Deposits in Other Banks</w:t>
            </w:r>
          </w:p>
        </w:tc>
        <w:tc>
          <w:tcPr>
            <w:tcW w:w="6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80" w:type="dxa"/>
            <w:vAlign w:val="bottom"/>
          </w:tcPr>
          <w:p>
            <w:pPr>
              <w:ind w:left="380"/>
              <w:spacing w:after="0"/>
              <w:rPr>
                <w:sz w:val="20"/>
                <w:szCs w:val="20"/>
                <w:color w:val="auto"/>
              </w:rPr>
            </w:pPr>
            <w:r>
              <w:rPr>
                <w:rFonts w:ascii="Arial" w:cs="Arial" w:eastAsia="Arial" w:hAnsi="Arial"/>
                <w:sz w:val="14"/>
                <w:szCs w:val="14"/>
                <w:color w:val="auto"/>
                <w:w w:val="95"/>
              </w:rPr>
              <w:t>0.93%</w:t>
            </w:r>
          </w:p>
        </w:tc>
        <w:tc>
          <w:tcPr>
            <w:tcW w:w="100" w:type="dxa"/>
            <w:vAlign w:val="bottom"/>
          </w:tcPr>
          <w:p>
            <w:pPr>
              <w:spacing w:after="0"/>
              <w:rPr>
                <w:sz w:val="14"/>
                <w:szCs w:val="1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4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tcPr>
          <w:p>
            <w:pPr>
              <w:ind w:left="400"/>
              <w:spacing w:after="0"/>
              <w:rPr>
                <w:sz w:val="20"/>
                <w:szCs w:val="20"/>
                <w:color w:val="auto"/>
              </w:rPr>
            </w:pPr>
            <w:r>
              <w:rPr>
                <w:rFonts w:ascii="Arial" w:cs="Arial" w:eastAsia="Arial" w:hAnsi="Arial"/>
                <w:sz w:val="14"/>
                <w:szCs w:val="14"/>
                <w:color w:val="auto"/>
                <w:w w:val="95"/>
              </w:rPr>
              <w:t>2.36%</w:t>
            </w: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spacing w:after="0"/>
              <w:rPr>
                <w:sz w:val="20"/>
                <w:szCs w:val="20"/>
                <w:color w:val="auto"/>
              </w:rPr>
            </w:pPr>
            <w:r>
              <w:rPr>
                <w:rFonts w:ascii="Arial" w:cs="Arial" w:eastAsia="Arial" w:hAnsi="Arial"/>
                <w:sz w:val="14"/>
                <w:szCs w:val="14"/>
                <w:color w:val="auto"/>
              </w:rPr>
              <w:t>Funds Sold</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550.6</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0.6</w:t>
            </w: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Investment Securities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Available-for-Sale</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ind w:left="500"/>
              <w:spacing w:after="0"/>
              <w:rPr>
                <w:sz w:val="20"/>
                <w:szCs w:val="20"/>
                <w:color w:val="auto"/>
              </w:rPr>
            </w:pPr>
            <w:r>
              <w:rPr>
                <w:rFonts w:ascii="Arial" w:cs="Arial" w:eastAsia="Arial" w:hAnsi="Arial"/>
                <w:sz w:val="14"/>
                <w:szCs w:val="14"/>
                <w:color w:val="auto"/>
              </w:rPr>
              <w:t>Taxable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4,007.9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34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32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Non-Taxable</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w:t>
            </w: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Held-to-Maturity</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spacing w:after="0"/>
              <w:rPr>
                <w:sz w:val="20"/>
                <w:szCs w:val="20"/>
                <w:color w:val="auto"/>
              </w:rPr>
            </w:pPr>
            <w:r>
              <w:rPr>
                <w:rFonts w:ascii="Arial" w:cs="Arial" w:eastAsia="Arial" w:hAnsi="Arial"/>
                <w:sz w:val="14"/>
                <w:szCs w:val="14"/>
                <w:color w:val="auto"/>
              </w:rPr>
              <w:t>Taxable</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3,385.8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13.1</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3,036.2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18.9</w:t>
            </w: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62"/>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Non-Taxable</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56"/>
        </w:trPr>
        <w:tc>
          <w:tcPr>
            <w:tcW w:w="43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Total Investment Securities</w:t>
            </w:r>
          </w:p>
        </w:tc>
        <w:tc>
          <w:tcPr>
            <w:tcW w:w="36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7,444.1</w:t>
            </w:r>
          </w:p>
        </w:tc>
        <w:tc>
          <w:tcPr>
            <w:tcW w:w="1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29.2</w:t>
            </w:r>
          </w:p>
        </w:tc>
        <w:tc>
          <w:tcPr>
            <w:tcW w:w="3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1.57</w:t>
            </w:r>
          </w:p>
        </w:tc>
        <w:tc>
          <w:tcPr>
            <w:tcW w:w="1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5,825.7</w:t>
            </w:r>
          </w:p>
        </w:tc>
        <w:tc>
          <w:tcPr>
            <w:tcW w:w="1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36.1</w:t>
            </w:r>
          </w:p>
        </w:tc>
        <w:tc>
          <w:tcPr>
            <w:tcW w:w="3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ind w:left="400"/>
              <w:spacing w:after="0" w:line="155"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56"/>
        </w:trPr>
        <w:tc>
          <w:tcPr>
            <w:tcW w:w="4300" w:type="dxa"/>
            <w:vAlign w:val="bottom"/>
          </w:tcPr>
          <w:p>
            <w:pPr>
              <w:spacing w:after="0" w:line="155" w:lineRule="exact"/>
              <w:rPr>
                <w:sz w:val="20"/>
                <w:szCs w:val="20"/>
                <w:color w:val="auto"/>
              </w:rPr>
            </w:pPr>
            <w:r>
              <w:rPr>
                <w:rFonts w:ascii="Arial" w:cs="Arial" w:eastAsia="Arial" w:hAnsi="Arial"/>
                <w:sz w:val="14"/>
                <w:szCs w:val="14"/>
                <w:color w:val="auto"/>
              </w:rPr>
              <w:t>Loans Held for Sale</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26.2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340" w:type="dxa"/>
            <w:vAlign w:val="bottom"/>
          </w:tcPr>
          <w:p>
            <w:pPr>
              <w:spacing w:after="0"/>
              <w:rPr>
                <w:sz w:val="13"/>
                <w:szCs w:val="13"/>
                <w:color w:val="auto"/>
              </w:rPr>
            </w:pPr>
          </w:p>
        </w:tc>
        <w:tc>
          <w:tcPr>
            <w:tcW w:w="780" w:type="dxa"/>
            <w:vAlign w:val="bottom"/>
          </w:tcPr>
          <w:p>
            <w:pPr>
              <w:ind w:left="380"/>
              <w:spacing w:after="0" w:line="155" w:lineRule="exact"/>
              <w:rPr>
                <w:sz w:val="20"/>
                <w:szCs w:val="20"/>
                <w:color w:val="auto"/>
              </w:rPr>
            </w:pPr>
            <w:r>
              <w:rPr>
                <w:rFonts w:ascii="Arial" w:cs="Arial" w:eastAsia="Arial" w:hAnsi="Arial"/>
                <w:sz w:val="14"/>
                <w:szCs w:val="14"/>
                <w:color w:val="auto"/>
              </w:rPr>
              <w:t>2.76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23.2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320" w:type="dxa"/>
            <w:vAlign w:val="bottom"/>
          </w:tcPr>
          <w:p>
            <w:pPr>
              <w:spacing w:after="0"/>
              <w:rPr>
                <w:sz w:val="13"/>
                <w:szCs w:val="13"/>
                <w:color w:val="auto"/>
              </w:rPr>
            </w:pPr>
          </w:p>
        </w:tc>
        <w:tc>
          <w:tcPr>
            <w:tcW w:w="800" w:type="dxa"/>
            <w:vAlign w:val="bottom"/>
          </w:tcPr>
          <w:p>
            <w:pPr>
              <w:ind w:left="400"/>
              <w:spacing w:after="0" w:line="155" w:lineRule="exact"/>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Loans and Leases </w:t>
            </w:r>
            <w:r>
              <w:rPr>
                <w:rFonts w:ascii="Arial" w:cs="Arial" w:eastAsia="Arial" w:hAnsi="Arial"/>
                <w:sz w:val="12"/>
                <w:szCs w:val="12"/>
                <w:color w:val="auto"/>
              </w:rPr>
              <w:t>1</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Commercial and Industrial</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1,904.5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34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1,409.3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32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Mortgage</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2,846.0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21.3</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2,549.4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25.1</w:t>
            </w: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Construction</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264.1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32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Commercial Lease Financing</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0.5</w:t>
            </w: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Residential Mortgage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4,146.6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34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3,895.4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32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Home Equity</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1,594.1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12.6</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15.2</w:t>
            </w: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Automobile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708.3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32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62"/>
        </w:trPr>
        <w:tc>
          <w:tcPr>
            <w:tcW w:w="43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2"/>
                <w:szCs w:val="12"/>
                <w:color w:val="auto"/>
              </w:rPr>
              <w:t>2</w:t>
            </w:r>
          </w:p>
        </w:tc>
        <w:tc>
          <w:tcPr>
            <w:tcW w:w="3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382.6</w:t>
            </w:r>
          </w:p>
        </w:tc>
        <w:tc>
          <w:tcPr>
            <w:tcW w:w="1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6.4</w:t>
            </w:r>
          </w:p>
        </w:tc>
        <w:tc>
          <w:tcPr>
            <w:tcW w:w="3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4"/>
                <w:szCs w:val="14"/>
                <w:color w:val="auto"/>
              </w:rPr>
              <w:t>6.75</w:t>
            </w:r>
          </w:p>
        </w:tc>
        <w:tc>
          <w:tcPr>
            <w:tcW w:w="10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480.8</w:t>
            </w:r>
          </w:p>
        </w:tc>
        <w:tc>
          <w:tcPr>
            <w:tcW w:w="1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8.4</w:t>
            </w:r>
          </w:p>
        </w:tc>
        <w:tc>
          <w:tcPr>
            <w:tcW w:w="3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56"/>
        </w:trPr>
        <w:tc>
          <w:tcPr>
            <w:tcW w:w="4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Loans and Leases</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11,952.6</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99.3</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color w:val="auto"/>
              </w:rPr>
              <w:t>3.35</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11,060.7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108.2</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55"/>
        </w:trPr>
        <w:tc>
          <w:tcPr>
            <w:tcW w:w="43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33.4</w:t>
            </w:r>
          </w:p>
        </w:tc>
        <w:tc>
          <w:tcPr>
            <w:tcW w:w="1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3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2.21</w:t>
            </w:r>
          </w:p>
        </w:tc>
        <w:tc>
          <w:tcPr>
            <w:tcW w:w="1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34.3</w:t>
            </w:r>
          </w:p>
        </w:tc>
        <w:tc>
          <w:tcPr>
            <w:tcW w:w="1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0.2</w:t>
            </w:r>
          </w:p>
        </w:tc>
        <w:tc>
          <w:tcPr>
            <w:tcW w:w="3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ind w:left="400"/>
              <w:spacing w:after="0" w:line="155"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56"/>
        </w:trPr>
        <w:tc>
          <w:tcPr>
            <w:tcW w:w="4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 xml:space="preserve">Total Earning Assets </w:t>
            </w:r>
            <w:r>
              <w:rPr>
                <w:rFonts w:ascii="Arial" w:cs="Arial" w:eastAsia="Arial" w:hAnsi="Arial"/>
                <w:sz w:val="12"/>
                <w:szCs w:val="12"/>
                <w:b w:val="1"/>
                <w:bCs w:val="1"/>
                <w:color w:val="auto"/>
              </w:rPr>
              <w:t>3</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20,010.1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129.0</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color w:val="auto"/>
              </w:rPr>
              <w:t>2.60</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17,098.1</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145.3</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Due From Banks</w:t>
            </w:r>
          </w:p>
        </w:tc>
        <w:tc>
          <w:tcPr>
            <w:tcW w:w="3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270.7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278.8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21,150.7</w:t>
            </w:r>
          </w:p>
        </w:tc>
        <w:tc>
          <w:tcPr>
            <w:tcW w:w="1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18,222.6</w:t>
            </w:r>
          </w:p>
        </w:tc>
        <w:tc>
          <w:tcPr>
            <w:tcW w:w="1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Interest-Bearing Liabilities</w:t>
            </w: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spacing w:after="0"/>
              <w:rPr>
                <w:sz w:val="20"/>
                <w:szCs w:val="20"/>
                <w:color w:val="auto"/>
              </w:rPr>
            </w:pPr>
            <w:r>
              <w:rPr>
                <w:rFonts w:ascii="Arial" w:cs="Arial" w:eastAsia="Arial" w:hAnsi="Arial"/>
                <w:sz w:val="14"/>
                <w:szCs w:val="14"/>
                <w:color w:val="auto"/>
              </w:rPr>
              <w:t>Interest-Bearing Deposits</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Demand</w:t>
            </w:r>
          </w:p>
        </w:tc>
        <w:tc>
          <w:tcPr>
            <w:tcW w:w="6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4,186.4</w:t>
            </w: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34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w w:val="95"/>
              </w:rPr>
              <w:t>0.06%</w:t>
            </w:r>
          </w:p>
        </w:tc>
        <w:tc>
          <w:tcPr>
            <w:tcW w:w="100" w:type="dxa"/>
            <w:vAlign w:val="bottom"/>
          </w:tcPr>
          <w:p>
            <w:pPr>
              <w:spacing w:after="0"/>
              <w:rPr>
                <w:sz w:val="14"/>
                <w:szCs w:val="1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3,110.0</w:t>
            </w:r>
          </w:p>
        </w:tc>
        <w:tc>
          <w:tcPr>
            <w:tcW w:w="4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auto"/>
                <w:w w:val="95"/>
              </w:rPr>
              <w:t>0.12%</w:t>
            </w: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Savings</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7,016.6</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6,502.4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w:t>
            </w: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62"/>
        </w:trPr>
        <w:tc>
          <w:tcPr>
            <w:tcW w:w="43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Time</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0.56</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1,743.0</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55"/>
        </w:trPr>
        <w:tc>
          <w:tcPr>
            <w:tcW w:w="43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Total Interest-Bearing Deposits</w:t>
            </w:r>
          </w:p>
        </w:tc>
        <w:tc>
          <w:tcPr>
            <w:tcW w:w="36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12,833.0</w:t>
            </w:r>
          </w:p>
        </w:tc>
        <w:tc>
          <w:tcPr>
            <w:tcW w:w="1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4.3</w:t>
            </w:r>
          </w:p>
        </w:tc>
        <w:tc>
          <w:tcPr>
            <w:tcW w:w="3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0.14</w:t>
            </w:r>
          </w:p>
        </w:tc>
        <w:tc>
          <w:tcPr>
            <w:tcW w:w="1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11,355.4</w:t>
            </w:r>
          </w:p>
        </w:tc>
        <w:tc>
          <w:tcPr>
            <w:tcW w:w="1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14.3</w:t>
            </w:r>
          </w:p>
        </w:tc>
        <w:tc>
          <w:tcPr>
            <w:tcW w:w="3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ind w:left="400"/>
              <w:spacing w:after="0" w:line="155"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55"/>
        </w:trPr>
        <w:tc>
          <w:tcPr>
            <w:tcW w:w="4300" w:type="dxa"/>
            <w:vAlign w:val="bottom"/>
          </w:tcPr>
          <w:p>
            <w:pPr>
              <w:spacing w:after="0" w:line="155" w:lineRule="exact"/>
              <w:rPr>
                <w:sz w:val="20"/>
                <w:szCs w:val="20"/>
                <w:color w:val="auto"/>
              </w:rPr>
            </w:pPr>
            <w:r>
              <w:rPr>
                <w:rFonts w:ascii="Arial" w:cs="Arial" w:eastAsia="Arial" w:hAnsi="Arial"/>
                <w:sz w:val="14"/>
                <w:szCs w:val="14"/>
                <w:color w:val="auto"/>
              </w:rPr>
              <w:t>Short-Term Borrowings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ind w:left="380"/>
              <w:spacing w:after="0" w:line="155" w:lineRule="exact"/>
              <w:rPr>
                <w:sz w:val="20"/>
                <w:szCs w:val="20"/>
                <w:color w:val="auto"/>
              </w:rPr>
            </w:pPr>
            <w:r>
              <w:rPr>
                <w:rFonts w:ascii="Arial" w:cs="Arial" w:eastAsia="Arial" w:hAnsi="Arial"/>
                <w:sz w:val="14"/>
                <w:szCs w:val="14"/>
                <w:color w:val="auto"/>
              </w:rPr>
              <w:t>0.09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57.8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0.1</w:t>
            </w:r>
          </w:p>
        </w:tc>
        <w:tc>
          <w:tcPr>
            <w:tcW w:w="320" w:type="dxa"/>
            <w:vAlign w:val="bottom"/>
          </w:tcPr>
          <w:p>
            <w:pPr>
              <w:spacing w:after="0"/>
              <w:rPr>
                <w:sz w:val="13"/>
                <w:szCs w:val="13"/>
                <w:color w:val="auto"/>
              </w:rPr>
            </w:pPr>
          </w:p>
        </w:tc>
        <w:tc>
          <w:tcPr>
            <w:tcW w:w="800" w:type="dxa"/>
            <w:vAlign w:val="bottom"/>
          </w:tcPr>
          <w:p>
            <w:pPr>
              <w:ind w:left="400"/>
              <w:spacing w:after="0" w:line="155"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43"/>
        </w:trPr>
        <w:tc>
          <w:tcPr>
            <w:tcW w:w="43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Securities Sold Under Agreements to</w:t>
            </w: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Repurchase</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w:t>
            </w: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62"/>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Debt</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55"/>
        </w:trPr>
        <w:tc>
          <w:tcPr>
            <w:tcW w:w="43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36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13,496.4</w:t>
            </w:r>
          </w:p>
        </w:tc>
        <w:tc>
          <w:tcPr>
            <w:tcW w:w="1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8.2</w:t>
            </w:r>
          </w:p>
        </w:tc>
        <w:tc>
          <w:tcPr>
            <w:tcW w:w="3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0.24</w:t>
            </w:r>
          </w:p>
        </w:tc>
        <w:tc>
          <w:tcPr>
            <w:tcW w:w="100" w:type="dxa"/>
            <w:vAlign w:val="bottom"/>
            <w:tcBorders>
              <w:bottom w:val="single" w:sz="8" w:color="auto"/>
            </w:tcBorders>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12,084.2</w:t>
            </w:r>
          </w:p>
        </w:tc>
        <w:tc>
          <w:tcPr>
            <w:tcW w:w="1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19.0</w:t>
            </w:r>
          </w:p>
        </w:tc>
        <w:tc>
          <w:tcPr>
            <w:tcW w:w="3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ind w:left="400"/>
              <w:spacing w:after="0" w:line="155" w:lineRule="exact"/>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195"/>
        </w:trPr>
        <w:tc>
          <w:tcPr>
            <w:tcW w:w="4300" w:type="dxa"/>
            <w:vAlign w:val="bottom"/>
          </w:tcPr>
          <w:p>
            <w:pPr>
              <w:spacing w:after="0" w:line="155" w:lineRule="exact"/>
              <w:rPr>
                <w:sz w:val="20"/>
                <w:szCs w:val="20"/>
                <w:color w:val="auto"/>
              </w:rPr>
            </w:pPr>
            <w:r>
              <w:rPr>
                <w:rFonts w:ascii="Arial" w:cs="Arial" w:eastAsia="Arial" w:hAnsi="Arial"/>
                <w:sz w:val="14"/>
                <w:szCs w:val="14"/>
                <w:color w:val="auto"/>
              </w:rPr>
              <w:t>Net Interest Income</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120.8</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gridSpan w:val="3"/>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126.3</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tcBorders>
              <w:top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Interest Rate Spread</w:t>
            </w:r>
          </w:p>
        </w:tc>
        <w:tc>
          <w:tcPr>
            <w:tcW w:w="3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CFF0FC"/>
            </w:tcBorders>
            <w:shd w:val="clear" w:color="auto" w:fill="CFF0FC"/>
          </w:tcPr>
          <w:p>
            <w:pPr>
              <w:ind w:left="380"/>
              <w:spacing w:after="0" w:line="143" w:lineRule="exact"/>
              <w:rPr>
                <w:sz w:val="20"/>
                <w:szCs w:val="20"/>
                <w:color w:val="auto"/>
              </w:rPr>
            </w:pPr>
            <w:r>
              <w:rPr>
                <w:rFonts w:ascii="Arial" w:cs="Arial" w:eastAsia="Arial" w:hAnsi="Arial"/>
                <w:sz w:val="14"/>
                <w:szCs w:val="14"/>
                <w:color w:val="auto"/>
                <w:w w:val="95"/>
              </w:rPr>
              <w:t>2.36%</w:t>
            </w: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ind w:left="400"/>
              <w:spacing w:after="0" w:line="143" w:lineRule="exact"/>
              <w:rPr>
                <w:sz w:val="20"/>
                <w:szCs w:val="20"/>
                <w:color w:val="auto"/>
              </w:rPr>
            </w:pPr>
            <w:r>
              <w:rPr>
                <w:rFonts w:ascii="Arial" w:cs="Arial" w:eastAsia="Arial" w:hAnsi="Arial"/>
                <w:sz w:val="14"/>
                <w:szCs w:val="14"/>
                <w:color w:val="auto"/>
                <w:w w:val="95"/>
              </w:rPr>
              <w:t>2.78%</w:t>
            </w:r>
          </w:p>
        </w:tc>
        <w:tc>
          <w:tcPr>
            <w:tcW w:w="0" w:type="dxa"/>
            <w:vAlign w:val="bottom"/>
          </w:tcPr>
          <w:p>
            <w:pPr>
              <w:spacing w:after="0"/>
              <w:rPr>
                <w:sz w:val="1"/>
                <w:szCs w:val="1"/>
                <w:color w:val="auto"/>
              </w:rPr>
            </w:pPr>
          </w:p>
        </w:tc>
      </w:tr>
      <w:tr>
        <w:trPr>
          <w:trHeight w:val="162"/>
        </w:trPr>
        <w:tc>
          <w:tcPr>
            <w:tcW w:w="4300" w:type="dxa"/>
            <w:vAlign w:val="bottom"/>
          </w:tcPr>
          <w:p>
            <w:pPr>
              <w:ind w:left="260"/>
              <w:spacing w:after="0"/>
              <w:rPr>
                <w:sz w:val="20"/>
                <w:szCs w:val="20"/>
                <w:color w:val="auto"/>
              </w:rPr>
            </w:pPr>
            <w:r>
              <w:rPr>
                <w:rFonts w:ascii="Arial" w:cs="Arial" w:eastAsia="Arial" w:hAnsi="Arial"/>
                <w:sz w:val="14"/>
                <w:szCs w:val="14"/>
                <w:color w:val="auto"/>
              </w:rPr>
              <w:t>Net Interest Margin</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Arial" w:cs="Arial" w:eastAsia="Arial" w:hAnsi="Arial"/>
                <w:sz w:val="14"/>
                <w:szCs w:val="14"/>
                <w:color w:val="auto"/>
                <w:w w:val="95"/>
              </w:rPr>
              <w:t>2.43%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auto"/>
                <w:w w:val="95"/>
              </w:rPr>
              <w:t>2.96%</w:t>
            </w: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spacing w:after="0"/>
              <w:rPr>
                <w:sz w:val="20"/>
                <w:szCs w:val="20"/>
                <w:color w:val="auto"/>
              </w:rPr>
            </w:pPr>
            <w:r>
              <w:rPr>
                <w:rFonts w:ascii="Arial" w:cs="Arial" w:eastAsia="Arial" w:hAnsi="Arial"/>
                <w:sz w:val="14"/>
                <w:szCs w:val="14"/>
                <w:color w:val="auto"/>
              </w:rPr>
              <w:t>Noninterest-Bearing Demand Deposits</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5,832.2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4,462.3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Other Liabilities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444.8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36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1,377.3</w:t>
            </w:r>
          </w:p>
        </w:tc>
        <w:tc>
          <w:tcPr>
            <w:tcW w:w="14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1,313.8</w:t>
            </w:r>
          </w:p>
        </w:tc>
        <w:tc>
          <w:tcPr>
            <w:tcW w:w="1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line="133" w:lineRule="exact"/>
              <w:rPr>
                <w:sz w:val="20"/>
                <w:szCs w:val="20"/>
                <w:color w:val="auto"/>
              </w:rPr>
            </w:pPr>
            <w:r>
              <w:rPr>
                <w:rFonts w:ascii="Arial" w:cs="Arial" w:eastAsia="Arial" w:hAnsi="Arial"/>
                <w:sz w:val="14"/>
                <w:szCs w:val="14"/>
                <w:b w:val="1"/>
                <w:bCs w:val="1"/>
                <w:color w:val="auto"/>
              </w:rPr>
              <w:t>Total Liabilities and Shareholders’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Pr>
          <w:p>
            <w:pPr>
              <w:ind w:left="120"/>
              <w:spacing w:after="0"/>
              <w:rPr>
                <w:sz w:val="20"/>
                <w:szCs w:val="20"/>
                <w:color w:val="auto"/>
              </w:rPr>
            </w:pPr>
            <w:r>
              <w:rPr>
                <w:rFonts w:ascii="Arial" w:cs="Arial" w:eastAsia="Arial" w:hAnsi="Arial"/>
                <w:sz w:val="14"/>
                <w:szCs w:val="14"/>
                <w:b w:val="1"/>
                <w:bCs w:val="1"/>
                <w:color w:val="auto"/>
              </w:rPr>
              <w:t>Equity</w:t>
            </w:r>
          </w:p>
        </w:tc>
        <w:tc>
          <w:tcPr>
            <w:tcW w:w="6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21,150.7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18,222.6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1"/>
          <w:szCs w:val="11"/>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234" w:lineRule="auto"/>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Comprised of other consumer revolving credit, installment, and consumer lease financing.</w:t>
      </w:r>
    </w:p>
    <w:p>
      <w:pPr>
        <w:ind w:left="180" w:right="580" w:hanging="175"/>
        <w:spacing w:after="0" w:line="256" w:lineRule="auto"/>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Interest income includes taxable-equivalent basis adjustments, based upon a federal statutory tax rate of 21%, of $0.3 million and $0.4 million for the three months ended March 31, 2021, and March 31, 2020,</w:t>
      </w:r>
      <w:r>
        <w:rPr>
          <w:rFonts w:ascii="Arial" w:cs="Arial" w:eastAsia="Arial" w:hAnsi="Arial"/>
          <w:sz w:val="11"/>
          <w:szCs w:val="11"/>
          <w:color w:val="auto"/>
        </w:rPr>
        <w:t xml:space="preserve"> </w:t>
      </w:r>
      <w:r>
        <w:rPr>
          <w:rFonts w:ascii="Arial" w:cs="Arial" w:eastAsia="Arial" w:hAnsi="Arial"/>
          <w:sz w:val="12"/>
          <w:szCs w:val="12"/>
          <w:color w:val="auto"/>
        </w:rPr>
        <w:t>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652"/>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Analysis of Change in Net Interest Income - Taxable-Equivalent Basis</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4</w:t>
            </w:r>
          </w:p>
        </w:tc>
      </w:tr>
      <w:tr>
        <w:trPr>
          <w:trHeight w:val="207"/>
        </w:trPr>
        <w:tc>
          <w:tcPr>
            <w:tcW w:w="116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 2021</w:t>
            </w:r>
          </w:p>
        </w:tc>
        <w:tc>
          <w:tcPr>
            <w:tcW w:w="8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Compared to March 31, 2020</w:t>
            </w:r>
          </w:p>
        </w:tc>
        <w:tc>
          <w:tcPr>
            <w:tcW w:w="840" w:type="dxa"/>
            <w:vAlign w:val="bottom"/>
            <w:tcBorders>
              <w:bottom w:val="single" w:sz="8" w:color="auto"/>
            </w:tcBorders>
          </w:tcPr>
          <w:p>
            <w:pPr>
              <w:spacing w:after="0"/>
              <w:rPr>
                <w:sz w:val="18"/>
                <w:szCs w:val="18"/>
                <w:color w:val="auto"/>
              </w:rPr>
            </w:pPr>
          </w:p>
        </w:tc>
      </w:tr>
      <w:tr>
        <w:trPr>
          <w:trHeight w:val="215"/>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(dollars in millions)</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line="216" w:lineRule="exact"/>
              <w:rPr>
                <w:sz w:val="20"/>
                <w:szCs w:val="20"/>
                <w:color w:val="auto"/>
              </w:rPr>
            </w:pPr>
            <w:r>
              <w:rPr>
                <w:rFonts w:ascii="Arial" w:cs="Arial" w:eastAsia="Arial" w:hAnsi="Arial"/>
                <w:sz w:val="15"/>
                <w:szCs w:val="15"/>
                <w:b w:val="1"/>
                <w:bCs w:val="1"/>
                <w:color w:val="auto"/>
              </w:rPr>
              <w:t xml:space="preserve">Volume </w:t>
            </w:r>
            <w:r>
              <w:rPr>
                <w:rFonts w:ascii="Arial" w:cs="Arial" w:eastAsia="Arial" w:hAnsi="Arial"/>
                <w:sz w:val="24"/>
                <w:szCs w:val="24"/>
                <w:b w:val="1"/>
                <w:bCs w:val="1"/>
                <w:color w:val="auto"/>
                <w:vertAlign w:val="superscript"/>
              </w:rPr>
              <w:t>1</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line="216" w:lineRule="exact"/>
              <w:rPr>
                <w:sz w:val="20"/>
                <w:szCs w:val="20"/>
                <w:color w:val="auto"/>
              </w:rPr>
            </w:pPr>
            <w:r>
              <w:rPr>
                <w:rFonts w:ascii="Arial" w:cs="Arial" w:eastAsia="Arial" w:hAnsi="Arial"/>
                <w:sz w:val="15"/>
                <w:szCs w:val="15"/>
                <w:b w:val="1"/>
                <w:bCs w:val="1"/>
                <w:color w:val="auto"/>
              </w:rPr>
              <w:t xml:space="preserve">Rate </w:t>
            </w:r>
            <w:r>
              <w:rPr>
                <w:rFonts w:ascii="Arial" w:cs="Arial" w:eastAsia="Arial" w:hAnsi="Arial"/>
                <w:sz w:val="24"/>
                <w:szCs w:val="24"/>
                <w:b w:val="1"/>
                <w:bCs w:val="1"/>
                <w:color w:val="auto"/>
                <w:vertAlign w:val="superscript"/>
              </w:rPr>
              <w:t>1</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09"/>
        </w:trPr>
        <w:tc>
          <w:tcPr>
            <w:tcW w:w="57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Change in Interest Income:</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13"/>
        </w:trPr>
        <w:tc>
          <w:tcPr>
            <w:tcW w:w="5740" w:type="dxa"/>
            <w:vAlign w:val="bottom"/>
            <w:gridSpan w:val="2"/>
          </w:tcPr>
          <w:p>
            <w:pPr>
              <w:spacing w:after="0"/>
              <w:rPr>
                <w:sz w:val="20"/>
                <w:szCs w:val="20"/>
                <w:color w:val="auto"/>
              </w:rPr>
            </w:pPr>
            <w:r>
              <w:rPr>
                <w:rFonts w:ascii="Arial" w:cs="Arial" w:eastAsia="Arial" w:hAnsi="Arial"/>
                <w:sz w:val="16"/>
                <w:szCs w:val="16"/>
                <w:color w:val="auto"/>
              </w:rPr>
              <w:t>Funds Sold</w:t>
            </w: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26"/>
        </w:trPr>
        <w:tc>
          <w:tcPr>
            <w:tcW w:w="5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9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r>
      <w:tr>
        <w:trPr>
          <w:trHeight w:val="210"/>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Available-for-Sale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11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57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Taxable</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6.4</w:t>
            </w: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(7.0)</w:t>
            </w: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r>
      <w:tr>
        <w:trPr>
          <w:trHeight w:val="213"/>
        </w:trPr>
        <w:tc>
          <w:tcPr>
            <w:tcW w:w="5740" w:type="dxa"/>
            <w:vAlign w:val="bottom"/>
            <w:gridSpan w:val="2"/>
          </w:tcPr>
          <w:p>
            <w:pPr>
              <w:ind w:left="500"/>
              <w:spacing w:after="0"/>
              <w:rPr>
                <w:sz w:val="20"/>
                <w:szCs w:val="20"/>
                <w:color w:val="auto"/>
              </w:rPr>
            </w:pPr>
            <w:r>
              <w:rPr>
                <w:rFonts w:ascii="Arial" w:cs="Arial" w:eastAsia="Arial" w:hAnsi="Arial"/>
                <w:sz w:val="16"/>
                <w:szCs w:val="16"/>
                <w:color w:val="auto"/>
              </w:rPr>
              <w:t>Non-Taxable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Held-to-Maturity</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13"/>
        </w:trPr>
        <w:tc>
          <w:tcPr>
            <w:tcW w:w="5740" w:type="dxa"/>
            <w:vAlign w:val="bottom"/>
            <w:gridSpan w:val="2"/>
          </w:tcPr>
          <w:p>
            <w:pPr>
              <w:ind w:left="500"/>
              <w:spacing w:after="0"/>
              <w:rPr>
                <w:sz w:val="20"/>
                <w:szCs w:val="20"/>
                <w:color w:val="auto"/>
              </w:rPr>
            </w:pPr>
            <w:r>
              <w:rPr>
                <w:rFonts w:ascii="Arial" w:cs="Arial" w:eastAsia="Arial" w:hAnsi="Arial"/>
                <w:sz w:val="16"/>
                <w:szCs w:val="16"/>
                <w:color w:val="auto"/>
              </w:rPr>
              <w:t>Taxable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5740" w:type="dxa"/>
            <w:vAlign w:val="bottom"/>
            <w:tcBorders>
              <w:bottom w:val="single" w:sz="8" w:color="auto"/>
            </w:tcBorders>
            <w:gridSpan w:val="2"/>
            <w:shd w:val="clear" w:color="auto" w:fill="CFF0FC"/>
          </w:tcPr>
          <w:p>
            <w:pPr>
              <w:ind w:left="500"/>
              <w:spacing w:after="0"/>
              <w:rPr>
                <w:sz w:val="20"/>
                <w:szCs w:val="20"/>
                <w:color w:val="auto"/>
              </w:rPr>
            </w:pPr>
            <w:r>
              <w:rPr>
                <w:rFonts w:ascii="Arial" w:cs="Arial" w:eastAsia="Arial" w:hAnsi="Arial"/>
                <w:sz w:val="16"/>
                <w:szCs w:val="16"/>
                <w:color w:val="auto"/>
              </w:rPr>
              <w:t>Non-Taxable</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7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Investment Securities</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5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Loans and Leases</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13"/>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Commercial and Industrial</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7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(6.4)</w:t>
            </w: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Construction</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Commercial Lease Financing</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Residential Mortgage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(0.8)</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w:t>
            </w: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Automobile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5740" w:type="dxa"/>
            <w:vAlign w:val="bottom"/>
            <w:tcBorders>
              <w:bottom w:val="single" w:sz="8" w:color="auto"/>
            </w:tcBorders>
            <w:gridSpan w:val="2"/>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9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w:t>
            </w: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(0.3)</w:t>
            </w:r>
          </w:p>
        </w:tc>
        <w:tc>
          <w:tcPr>
            <w:tcW w:w="7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06"/>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 Loans and Leases</w:t>
            </w: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w:t>
            </w: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210"/>
        </w:trPr>
        <w:tc>
          <w:tcPr>
            <w:tcW w:w="57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Total Change in Interest Income</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15.1</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(31.4)</w:t>
            </w:r>
          </w:p>
        </w:tc>
        <w:tc>
          <w:tcPr>
            <w:tcW w:w="7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w:t>
            </w:r>
          </w:p>
        </w:tc>
      </w:tr>
      <w:tr>
        <w:trPr>
          <w:trHeight w:val="209"/>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Change in Interest Expense:</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5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13"/>
        </w:trPr>
        <w:tc>
          <w:tcPr>
            <w:tcW w:w="5740" w:type="dxa"/>
            <w:vAlign w:val="bottom"/>
            <w:gridSpan w:val="2"/>
          </w:tcPr>
          <w:p>
            <w:pPr>
              <w:ind w:left="260"/>
              <w:spacing w:after="0"/>
              <w:rPr>
                <w:sz w:val="20"/>
                <w:szCs w:val="20"/>
                <w:color w:val="auto"/>
              </w:rPr>
            </w:pPr>
            <w:r>
              <w:rPr>
                <w:rFonts w:ascii="Arial" w:cs="Arial" w:eastAsia="Arial" w:hAnsi="Arial"/>
                <w:sz w:val="16"/>
                <w:szCs w:val="16"/>
                <w:color w:val="auto"/>
              </w:rPr>
              <w:t>Demand</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5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Savings</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0.5</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(6.1)</w:t>
            </w: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57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Time</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09"/>
        </w:trPr>
        <w:tc>
          <w:tcPr>
            <w:tcW w:w="57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Total Interest-Bearing Deposits</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0.3</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(10.3)</w:t>
            </w:r>
          </w:p>
        </w:tc>
        <w:tc>
          <w:tcPr>
            <w:tcW w:w="7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574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5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57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Securities Sold Under Agreements to Repurchase</w:t>
            </w: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0.1</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(0.5)</w:t>
            </w:r>
          </w:p>
        </w:tc>
        <w:tc>
          <w:tcPr>
            <w:tcW w:w="7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Debt</w:t>
            </w: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57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Total Change in Interest Expense</w:t>
            </w:r>
          </w:p>
        </w:tc>
        <w:tc>
          <w:tcPr>
            <w:tcW w:w="9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0.2</w:t>
            </w: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(11.0)</w:t>
            </w:r>
          </w:p>
        </w:tc>
        <w:tc>
          <w:tcPr>
            <w:tcW w:w="7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w:t>
            </w:r>
          </w:p>
        </w:tc>
      </w:tr>
      <w:tr>
        <w:trPr>
          <w:trHeight w:val="210"/>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Change in Net Interest Income</w:t>
            </w:r>
          </w:p>
        </w:tc>
        <w:tc>
          <w:tcPr>
            <w:tcW w:w="13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14.9</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w:t>
            </w:r>
          </w:p>
        </w:tc>
        <w:tc>
          <w:tcPr>
            <w:tcW w:w="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2"/>
          <w:szCs w:val="12"/>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rPr>
          <w:rFonts w:ascii="Arial" w:cs="Arial" w:eastAsia="Arial" w:hAnsi="Arial"/>
          <w:sz w:val="12"/>
          <w:szCs w:val="12"/>
          <w:color w:val="auto"/>
        </w:rPr>
      </w:pPr>
      <w:r>
        <w:rPr>
          <w:rFonts w:ascii="Arial" w:cs="Arial" w:eastAsia="Arial" w:hAnsi="Arial"/>
          <w:sz w:val="12"/>
          <w:szCs w:val="12"/>
          <w:color w:val="auto"/>
        </w:rPr>
        <w:t xml:space="preserve">2  </w:t>
      </w:r>
      <w:r>
        <w:rPr>
          <w:rFonts w:ascii="Arial" w:cs="Arial" w:eastAsia="Arial" w:hAnsi="Arial"/>
          <w:sz w:val="14"/>
          <w:szCs w:val="14"/>
          <w:color w:val="auto"/>
        </w:rPr>
        <w:t>Comprised of other consumer revolving credit, installment, and consumer lease financing.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19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interest income was $120.6 million for the first quarter of 2021, a decrease of $5.4 million or 4% compared to the same period in 2020. On a taxable-equivalent basis, net interest income was $120.8 million for the first quarter of 2021, a decrease of $5.5 million or 4% compared to the same period in 2020. Net interest margin was 2.43% in the first quarter of 2021, a 53 basis point decrease from the same period in 2020. The lower margin in 2021 was primarily due to lower yields on investment securities and loans and leases. These decreases were partially offset by a higher level of earning assets and lower funding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Yields on our earning assets decreased by 81 basis points in the first quarter of 2021 compared to the same period in 2020 primarily due to the lower rate environment. Yield decreases in our construction, commercial mortgage, and commercial and industrial loans were primarily due to lower yields on floating rate loans. Yields on our construction loans decreased by 117 basis points in the first quarter of 2021 of compared to the same period in 2020 primarily due to lower yields on floating-rate loans, and new loans with lower rates in comparison to loans that were paid off or transferred to commercial mortgage upon completion. Yields on our commercial mortgage loans decreased by 92 basis points in the first quarter of 2021 compared to the same period in 2020. Similar to our construction loans, commercial mortgage loan yields were negatively impacted by lower yields on floating-rate loans, and new loans with lower rates than loans that were paid off. Yields on our commercial and industrial loans decreased by 72 basis points (77 basis points excluding PPP) in the first quarter of 2021 compared to the same period in 2020 primarily due to lower yields on floating-rate loans coupled with PPP loans yielding 1%. These decreases were partially offset by interest recoveries in the current year and the amortization of PPP loan fees. Yields on our funds sold decreased by 131 basis points in the first quarter of 2021 compared to the same period in 2020 primarily due to federal fund rate decreases. In addition, yields on our investment securities portfolio decreased by 91 basis points in the first quarter of 2021 compared to the same period in 2020 primarily due to higher premium amortization coupled with purchases of lower yielding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paid on our interest-bearing liabilities decreased by 39 basis points in the first quarter of 2021 compared to the same period in</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2020. Decreases to our funding costs are primarily due to lower rates paid on our interest-bearing deposits. Securities sold under agreements to repurchase decreased by 29 basis points in the first quarter of 2021. In July 2020 we terminated three of our repurchase agreements in July 2020, with an aggregate total of $200.0 million, with one private institution. These repurchase agreements were scheduled to mature in June 2022 and had a weighted-average interest rate of 2.742%. These terminated repurchase agreements were replaced with one $200.0 million repurchase agreement with the same private institution. The new repurchase agreement matures in July 2025 and has an interest rate of 1.835%. The decrease in our funding costs were partially offset by higher average balances in our interest-bearing deposits. The average balance of demand deposits increased by $1.1 billion or 35% in the first quarter of 2021 compared to the same period in 2020. The average balance of savings deposits increased by $514.2 million or 8% in the first quarter of 2021 compared to the same period in 2020. Other debt, which is comprised primarily of Federal Home Loan Bank (“FHLB”) advances, decreased by 129 basis points in the first quarter of 2021 compared to the same period in 2020. During the second quarter of 2020, we restructured two existing FHLB advances totaling $50.0 million. The restructuring of advances extended the maturity from December 2020 to May 2024 and lowered the weighted-average interest rate from 3.04% to 1.21%.</w:t>
      </w:r>
    </w:p>
    <w:p>
      <w:pPr>
        <w:spacing w:after="0" w:line="145"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Average balances of our earning assets increased by $2.9 billion or 17% in the first quarter of 2021 compared to the same period in 2020 primarily due to an increase in the average balances of our investment securities. Average balance of investment securities increased by $1.6 billion in the first quarter of 2021 compared to the same period in 2020. Average balances of our loan and lease portfolio increased by $891.9 million in the first quarter of 2021 compared to the same period in 2020. The average balance of funds sold increased by $397.8 million in the first quarter of 2021 compared to the same period in 2020. The average balance of our commercial and industrial portfolio increased by $495.2 million in the first quarter of 2021 compared to the same period in 2020 primarily due to origination of new loans under the Paycheck Protection Program, partially offset by payoff activity. The average balance of our commercial mortgage portfolio increased by $296.6 million in the first quarter of 2021 compared to the same period in 2020 as a result of continued demand from new and existing customers. The average balance in our residential mortgage portfolio increased by $251.2 million in the first quarter of 2021 compared to the same period in 2020 primarily due to higher loan originations partially offset by an increase in payoff activity. The average balance of our home equity portfolio decreased by $86.1 million in the first quarter of 2021 compared to the same period in 2020 as a result of elevated payoff activities and lower utilization levels on existing facilities.</w:t>
      </w:r>
    </w:p>
    <w:p>
      <w:pPr>
        <w:spacing w:after="0" w:line="14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Average balances of our interest-bearing liabilities increased by $1.4 billion or 12% in the first quarter of 2021 compared to the same period in 2020 primarily due to growth in our demand and savings products. Average balance in our core deposit products increased by $1.6 billion in the first quarter of 2021 compared to the same period in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9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provision for credit losses (the “Provision”) reflects our internal calculation and judgment of the appropriate amount to be added or released for the current period to produce the appropriate ending Allowance. We maintain the Allowance at levels we believe are appropriate to cover our estimate of expected credit losses over the life of loans and leases in the portfolio as of the end of the reporting period. The Allowance is determined through detailed quarterly analyses of the loan and lease portfolio. The Allowance is based on our loss experience, changes in the economic environment, reasonable and supportable forecasts, as well as an ongoing assessment of credit quality and environmental factors not reflective in historical loss rates. Additional factors that are considered in determining the amount of the Allowance are the level of net charge-offs, non-performing assets, risk-rating migration, as well as changes in our portfolio size and composition. We recorded a negative Provision of $14.3 million in the first quarter of 2021 compared to a $33.6 million Provision during the same period in 2020. This decrease was primarily due to management’s best estimate of losses over the life of loans and leases in our portfolio in accordance with the CECL approach, given the economic outlook, consumer delinquency rates, post deferral consumer payment trends, and forecasts for COVID-19 pandemic driven market changes, as well as the impact of unprecedented intervention of fiscal, monetary and regulatory programs. For further discussion on the Allowance, see “Corporate Risk Profile - Reserve for Credit Losses” in this Management’s Discussion and Analysis of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 decreased by $3.2 million or 7% in the first quarter of 2021 compared to the same period in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Noninterest Income</w:t>
            </w:r>
          </w:p>
        </w:tc>
        <w:tc>
          <w:tcPr>
            <w:tcW w:w="1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5</w:t>
            </w:r>
          </w:p>
        </w:tc>
      </w:tr>
      <w:tr>
        <w:trPr>
          <w:trHeight w:val="207"/>
        </w:trPr>
        <w:tc>
          <w:tcPr>
            <w:tcW w:w="47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940" w:type="dxa"/>
            <w:vAlign w:val="bottom"/>
            <w:tcBorders>
              <w:bottom w:val="single" w:sz="8" w:color="auto"/>
            </w:tcBorders>
          </w:tcPr>
          <w:p>
            <w:pPr>
              <w:spacing w:after="0"/>
              <w:rPr>
                <w:sz w:val="17"/>
                <w:szCs w:val="17"/>
                <w:color w:val="auto"/>
              </w:rPr>
            </w:pPr>
          </w:p>
        </w:tc>
      </w:tr>
      <w:tr>
        <w:trPr>
          <w:trHeight w:val="212"/>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2"/>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Trust and Asset Management</w:t>
            </w:r>
          </w:p>
        </w:tc>
        <w:tc>
          <w:tcPr>
            <w:tcW w:w="23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11,278</w:t>
            </w:r>
          </w:p>
        </w:tc>
        <w:tc>
          <w:tcPr>
            <w:tcW w:w="5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10,915</w:t>
            </w:r>
          </w:p>
        </w:tc>
        <w:tc>
          <w:tcPr>
            <w:tcW w:w="6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363</w:t>
            </w: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Mortgage Banking</w:t>
            </w: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5,862</w:t>
            </w:r>
          </w:p>
        </w:tc>
        <w:tc>
          <w:tcPr>
            <w:tcW w:w="5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2,695</w:t>
            </w:r>
          </w:p>
        </w:tc>
        <w:tc>
          <w:tcPr>
            <w:tcW w:w="6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3,167</w:t>
            </w:r>
          </w:p>
        </w:tc>
      </w:tr>
      <w:tr>
        <w:trPr>
          <w:trHeight w:val="21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Service Charges on Deposit Accounts</w:t>
            </w:r>
          </w:p>
        </w:tc>
        <w:tc>
          <w:tcPr>
            <w:tcW w:w="1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6,128</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7,451</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(1,323)</w:t>
            </w: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Fees, Exchange, and Other Service Charges</w:t>
            </w: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13,607</w:t>
            </w:r>
          </w:p>
        </w:tc>
        <w:tc>
          <w:tcPr>
            <w:tcW w:w="5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13,200</w:t>
            </w:r>
          </w:p>
        </w:tc>
        <w:tc>
          <w:tcPr>
            <w:tcW w:w="6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407</w:t>
            </w:r>
          </w:p>
        </w:tc>
      </w:tr>
      <w:tr>
        <w:trPr>
          <w:trHeight w:val="21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Gains (Losses), Net</w:t>
            </w:r>
          </w:p>
        </w:tc>
        <w:tc>
          <w:tcPr>
            <w:tcW w:w="1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(1,203)</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(970)</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r>
      <w:tr>
        <w:trPr>
          <w:trHeight w:val="213"/>
        </w:trPr>
        <w:tc>
          <w:tcPr>
            <w:tcW w:w="4760" w:type="dxa"/>
            <w:vAlign w:val="bottom"/>
          </w:tcPr>
          <w:p>
            <w:pPr>
              <w:spacing w:after="0"/>
              <w:rPr>
                <w:sz w:val="20"/>
                <w:szCs w:val="20"/>
                <w:color w:val="auto"/>
              </w:rPr>
            </w:pPr>
            <w:r>
              <w:rPr>
                <w:rFonts w:ascii="Arial" w:cs="Arial" w:eastAsia="Arial" w:hAnsi="Arial"/>
                <w:sz w:val="16"/>
                <w:szCs w:val="16"/>
                <w:color w:val="auto"/>
              </w:rPr>
              <w:t>Annuity and Insurance</w:t>
            </w: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702</w:t>
            </w:r>
          </w:p>
        </w:tc>
        <w:tc>
          <w:tcPr>
            <w:tcW w:w="5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928</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9"/>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Bank-Owned Life Insurance</w:t>
            </w:r>
          </w:p>
        </w:tc>
        <w:tc>
          <w:tcPr>
            <w:tcW w:w="1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1,917</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1,580</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337</w:t>
            </w:r>
          </w:p>
        </w:tc>
      </w:tr>
      <w:tr>
        <w:trPr>
          <w:trHeight w:val="213"/>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Income</w:t>
            </w:r>
          </w:p>
        </w:tc>
        <w:tc>
          <w:tcPr>
            <w:tcW w:w="1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4,679</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10,350</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(5,671)</w:t>
            </w:r>
          </w:p>
        </w:tc>
      </w:tr>
      <w:tr>
        <w:trPr>
          <w:trHeight w:val="210"/>
        </w:trPr>
        <w:tc>
          <w:tcPr>
            <w:tcW w:w="4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Noninterest Income</w:t>
            </w:r>
          </w:p>
        </w:tc>
        <w:tc>
          <w:tcPr>
            <w:tcW w:w="2360" w:type="dxa"/>
            <w:vAlign w:val="bottom"/>
            <w:tcBorders>
              <w:bottom w:val="single" w:sz="8" w:color="auto"/>
            </w:tcBorders>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42,970</w:t>
            </w:r>
          </w:p>
        </w:tc>
        <w:tc>
          <w:tcPr>
            <w:tcW w:w="5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46,149</w:t>
            </w:r>
          </w:p>
        </w:tc>
        <w:tc>
          <w:tcPr>
            <w:tcW w:w="6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(3,179)</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$10.7 billion and $9.6 billion as of March 31, 2021, and, March 31, 2020, respectively. Trust and asset management income increased by $0.4 million or 3% in the first quarter of 2021 compared to the same period in 2020 primarily due to increases in market value and trust fees.</w:t>
      </w:r>
    </w:p>
    <w:p>
      <w:pPr>
        <w:spacing w:after="0" w:line="130"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Mortgage banking income is highly influenced by mortgage interest rates, the housing market, the amount of our loan sales, and our valuation of mortgage servicing rights. Mortgage banking income increased by $3.2 million in the first quarter of 2021 compared to the same period in 2020. This increase was primarily due to valuation adjustments recorded for our mortgage servicing rights accounted for using the amortization method. During the first quarter of 2021, we recognized a $2.2 million valuation allowance recovery to our mortgage servicing rights compared to a $2.5 million valuation impairment to our mortgage servicing rights recorded in first quarter 2020. This increase was offset by slower sales of conforming saleable loans from current production.</w:t>
      </w:r>
    </w:p>
    <w:p>
      <w:pPr>
        <w:spacing w:after="0" w:line="12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Service charges on deposit accounts decreased by $1.3 million or 18% in the first quarter of 2021 compared to the same period in 2020. This decrease was primarily due to a decrease in overdraft fees.</w:t>
      </w:r>
    </w:p>
    <w:p>
      <w:pPr>
        <w:spacing w:after="0" w:line="13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Fees, exchange, and other service charges, which are primarily comprised of debit and credit card income, fees from ATMs, merchant service activity, and other loan fees and service charges, increased by $0.4 million or 3% in the first quarter of 2021 compared to the same period in 2020. This increase was primarily due to a $1.1 million increase in other loan fees which was partially offset by a $0.3 million decrease in merchant service income due to lower sales value and a $0.3 million decrease in credit card commissions due to lower transaction volume.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Investment securities gains (losses), net totaled ($1.2) million in the first quarter of 2021 compared to ($1.0) million during the same period in 2020. The net losses in the first three months of 2021 and 2020 were primarily due to fees paid to the counterparties of our prior Visa Class B share sale transactions.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certain sales of Visa Class B shares we entered into an agreement with the buyer that requires payment to the buyer in the event Visa further reduces the conversion ratio.</w:t>
      </w:r>
    </w:p>
    <w:p>
      <w:pPr>
        <w:spacing w:after="0" w:line="15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Annuity and insurance income decreased by $0.2 million or 24% in the first quarter of 2021 compared to the same period in 2020 primarily due to a decrease in annuity and life insurance products sold.</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Bank-owned life insurance increased by $0.3 million or 21% in the first quarter of 2021 compared to the same period in 2020 primarily due to an increase in death benefits received.</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Other noninterest income decreased by $5.7 million or 55% in the first quarter of 2021 compared to the same period in 2020 primarily due to a $5.2 million decrease in fees related to our customer interest rate swap derivatives coupled with a $0.4 million decrease in foreign currency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increased by $2.6 million or 3% in the first quarter of 2021 compared to the same period in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Noninterest Expense</w:t>
            </w:r>
          </w:p>
        </w:tc>
        <w:tc>
          <w:tcPr>
            <w:tcW w:w="1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6</w:t>
            </w:r>
          </w:p>
        </w:tc>
      </w:tr>
      <w:tr>
        <w:trPr>
          <w:trHeight w:val="207"/>
        </w:trPr>
        <w:tc>
          <w:tcPr>
            <w:tcW w:w="5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940" w:type="dxa"/>
            <w:vAlign w:val="bottom"/>
            <w:tcBorders>
              <w:bottom w:val="single" w:sz="8" w:color="auto"/>
            </w:tcBorders>
          </w:tcPr>
          <w:p>
            <w:pPr>
              <w:spacing w:after="0"/>
              <w:rPr>
                <w:sz w:val="17"/>
                <w:szCs w:val="17"/>
                <w:color w:val="auto"/>
              </w:rPr>
            </w:pPr>
          </w:p>
        </w:tc>
      </w:tr>
      <w:tr>
        <w:trPr>
          <w:trHeight w:val="212"/>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r>
      <w:tr>
        <w:trPr>
          <w:trHeight w:val="212"/>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Salaries</w:t>
            </w:r>
          </w:p>
        </w:tc>
        <w:tc>
          <w:tcPr>
            <w:tcW w:w="19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31,569</w:t>
            </w:r>
          </w:p>
        </w:tc>
        <w:tc>
          <w:tcPr>
            <w:tcW w:w="6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33,486</w:t>
            </w:r>
          </w:p>
        </w:tc>
        <w:tc>
          <w:tcPr>
            <w:tcW w:w="62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(1,917)</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Incentive Compensation</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5,914</w:t>
            </w:r>
          </w:p>
        </w:tc>
        <w:tc>
          <w:tcPr>
            <w:tcW w:w="6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245</w:t>
            </w:r>
          </w:p>
        </w:tc>
        <w:tc>
          <w:tcPr>
            <w:tcW w:w="6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5,669</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2,584</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1,291</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1,293</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Commission Expense</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2,436</w:t>
            </w:r>
          </w:p>
        </w:tc>
        <w:tc>
          <w:tcPr>
            <w:tcW w:w="6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1,374</w:t>
            </w:r>
          </w:p>
        </w:tc>
        <w:tc>
          <w:tcPr>
            <w:tcW w:w="6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1,062</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Retirement and Other Benefits</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5,517</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4,706</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811</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Payroll Taxes</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3,968</w:t>
            </w:r>
          </w:p>
        </w:tc>
        <w:tc>
          <w:tcPr>
            <w:tcW w:w="6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4,543</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Medical, Dental, and Life Insurance</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2,424</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4,142</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(1,718)</w:t>
            </w:r>
          </w:p>
        </w:tc>
      </w:tr>
      <w:tr>
        <w:trPr>
          <w:trHeight w:val="21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Separation Expense</w:t>
            </w:r>
          </w:p>
        </w:tc>
        <w:tc>
          <w:tcPr>
            <w:tcW w:w="1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1,839</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4,676</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Salaries and Benefits</w:t>
            </w:r>
          </w:p>
        </w:tc>
        <w:tc>
          <w:tcPr>
            <w:tcW w:w="14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56,251</w:t>
            </w:r>
          </w:p>
        </w:tc>
        <w:tc>
          <w:tcPr>
            <w:tcW w:w="6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54,463</w:t>
            </w:r>
          </w:p>
        </w:tc>
        <w:tc>
          <w:tcPr>
            <w:tcW w:w="6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1,788</w:t>
            </w:r>
          </w:p>
        </w:tc>
      </w:tr>
      <w:tr>
        <w:trPr>
          <w:trHeight w:val="209"/>
        </w:trPr>
        <w:tc>
          <w:tcPr>
            <w:tcW w:w="5220" w:type="dxa"/>
            <w:vAlign w:val="bottom"/>
          </w:tcPr>
          <w:p>
            <w:pPr>
              <w:spacing w:after="0"/>
              <w:rPr>
                <w:sz w:val="20"/>
                <w:szCs w:val="20"/>
                <w:color w:val="auto"/>
              </w:rPr>
            </w:pPr>
            <w:r>
              <w:rPr>
                <w:rFonts w:ascii="Arial" w:cs="Arial" w:eastAsia="Arial" w:hAnsi="Arial"/>
                <w:sz w:val="16"/>
                <w:szCs w:val="16"/>
                <w:color w:val="auto"/>
              </w:rPr>
              <w:t>Net Occupancy</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9,090</w:t>
            </w:r>
          </w:p>
        </w:tc>
        <w:tc>
          <w:tcPr>
            <w:tcW w:w="6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8,955</w:t>
            </w:r>
          </w:p>
        </w:tc>
        <w:tc>
          <w:tcPr>
            <w:tcW w:w="6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135</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Net Equipment</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8,878</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8,456</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Data Processing</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6,322</w:t>
            </w:r>
          </w:p>
        </w:tc>
        <w:tc>
          <w:tcPr>
            <w:tcW w:w="6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4,788</w:t>
            </w:r>
          </w:p>
        </w:tc>
        <w:tc>
          <w:tcPr>
            <w:tcW w:w="6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1,534</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Professional Fees</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3,406</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3,208</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w:t>
            </w:r>
          </w:p>
        </w:tc>
      </w:tr>
      <w:tr>
        <w:trPr>
          <w:trHeight w:val="213"/>
        </w:trPr>
        <w:tc>
          <w:tcPr>
            <w:tcW w:w="5220" w:type="dxa"/>
            <w:vAlign w:val="bottom"/>
          </w:tcPr>
          <w:p>
            <w:pPr>
              <w:spacing w:after="0"/>
              <w:rPr>
                <w:sz w:val="20"/>
                <w:szCs w:val="20"/>
                <w:color w:val="auto"/>
              </w:rPr>
            </w:pPr>
            <w:r>
              <w:rPr>
                <w:rFonts w:ascii="Arial" w:cs="Arial" w:eastAsia="Arial" w:hAnsi="Arial"/>
                <w:sz w:val="16"/>
                <w:szCs w:val="16"/>
                <w:color w:val="auto"/>
              </w:rPr>
              <w:t>FDIC Insurance</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1,654</w:t>
            </w:r>
          </w:p>
        </w:tc>
        <w:tc>
          <w:tcPr>
            <w:tcW w:w="6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1,456</w:t>
            </w:r>
          </w:p>
        </w:tc>
        <w:tc>
          <w:tcPr>
            <w:tcW w:w="6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198</w:t>
            </w:r>
          </w:p>
        </w:tc>
      </w:tr>
      <w:tr>
        <w:trPr>
          <w:trHeight w:val="21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Other Expense:</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Delivery and Postage Services</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1,648</w:t>
            </w:r>
          </w:p>
        </w:tc>
        <w:tc>
          <w:tcPr>
            <w:tcW w:w="6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1,979</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Mileage Program Travel</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1,160</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1,160</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Merchant Transaction and Card Processing Fees</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1,098</w:t>
            </w:r>
          </w:p>
        </w:tc>
        <w:tc>
          <w:tcPr>
            <w:tcW w:w="6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1,366</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Advertising</w:t>
            </w:r>
          </w:p>
        </w:tc>
        <w:tc>
          <w:tcPr>
            <w:tcW w:w="14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2,311</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1,959</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352</w:t>
            </w:r>
          </w:p>
        </w:tc>
      </w:tr>
      <w:tr>
        <w:trPr>
          <w:trHeight w:val="213"/>
        </w:trPr>
        <w:tc>
          <w:tcPr>
            <w:tcW w:w="5220" w:type="dxa"/>
            <w:vAlign w:val="bottom"/>
          </w:tcPr>
          <w:p>
            <w:pPr>
              <w:ind w:left="260"/>
              <w:spacing w:after="0"/>
              <w:rPr>
                <w:sz w:val="20"/>
                <w:szCs w:val="20"/>
                <w:color w:val="auto"/>
              </w:rPr>
            </w:pPr>
            <w:r>
              <w:rPr>
                <w:rFonts w:ascii="Arial" w:cs="Arial" w:eastAsia="Arial" w:hAnsi="Arial"/>
                <w:sz w:val="16"/>
                <w:szCs w:val="16"/>
                <w:color w:val="auto"/>
              </w:rPr>
              <w:t>Amortization of Solar Energy Partnership Investments</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512</w:t>
            </w:r>
          </w:p>
        </w:tc>
        <w:tc>
          <w:tcPr>
            <w:tcW w:w="6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716</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16"/>
        </w:trPr>
        <w:tc>
          <w:tcPr>
            <w:tcW w:w="52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4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6,535</w:t>
            </w:r>
          </w:p>
        </w:tc>
        <w:tc>
          <w:tcPr>
            <w:tcW w:w="6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7,806</w:t>
            </w:r>
          </w:p>
        </w:tc>
        <w:tc>
          <w:tcPr>
            <w:tcW w:w="6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(1,271)</w:t>
            </w:r>
          </w:p>
        </w:tc>
      </w:tr>
      <w:tr>
        <w:trPr>
          <w:trHeight w:val="210"/>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Other Expense</w:t>
            </w:r>
          </w:p>
        </w:tc>
        <w:tc>
          <w:tcPr>
            <w:tcW w:w="1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13,264</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14,986</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w:t>
            </w:r>
          </w:p>
        </w:tc>
      </w:tr>
      <w:tr>
        <w:trPr>
          <w:trHeight w:val="210"/>
        </w:trPr>
        <w:tc>
          <w:tcPr>
            <w:tcW w:w="5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Noninterest Expense</w:t>
            </w:r>
          </w:p>
        </w:tc>
        <w:tc>
          <w:tcPr>
            <w:tcW w:w="1900" w:type="dxa"/>
            <w:vAlign w:val="bottom"/>
            <w:tcBorders>
              <w:bottom w:val="single" w:sz="8" w:color="auto"/>
            </w:tcBorders>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98,865</w:t>
            </w:r>
          </w:p>
        </w:tc>
        <w:tc>
          <w:tcPr>
            <w:tcW w:w="6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96,312</w:t>
            </w:r>
          </w:p>
        </w:tc>
        <w:tc>
          <w:tcPr>
            <w:tcW w:w="62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2,553</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salaries and benefits expense increased by $1.8 million or 3% in the first quarter of 2021 compared to the same period in 2020 primarily due to a $5.7 million increase in incentive compensation coupled with a $1.3 million increase in share-based compensation due to a higher number of restricted stock units being amortized. These increases were partially offset by a $2.8 million decrease in separation expense. Medical, dental, and life insurance decreased by $1.7 million primarily due to lower medical insurance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Net occupancy expense increased by $0.1 million or 2% in the first quarter of 2021 compared to the same period in 2020. This increase was due to a $0.3 million increase in security guard services coupled with a $0.3 million increase in building operating expenses. These increases were partially offset by a $0.4 million decrease in net rental expense.</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equipment expense increased by $0.4 million or 5% in the first quarter of 2021 compared to the same period in 2020. This increase was due to higher depreciation expense.</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Data processing expense increased by $1.5 million or 32% in the first quarter of 2021 compared to the same period in 2020. This increase was due to the rollout of contactless cards in the first quarter of 2021.</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FDIC insurance expense increased by $0.2 million or 14% in the first quarter of 2021 compared to the same period in 2020 primarily due to an increase in assessment rates.</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Total other expense decreased by $1.7 million or 11% in the first quarter of 2021 compared to the same period in 2020. This decrease was due to decreases in broker’s charges ($0.5 million), insurance ($0.5 million), delivery and postage services ($0.3 million), merchant transaction and card processing fees ($0.3 million), and amortization of solar energy partnership investments ($0.2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1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207"/>
        </w:trPr>
        <w:tc>
          <w:tcPr>
            <w:tcW w:w="5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Three Months Ended March 31,</w:t>
            </w:r>
          </w:p>
        </w:tc>
        <w:tc>
          <w:tcPr>
            <w:tcW w:w="780" w:type="dxa"/>
            <w:vAlign w:val="bottom"/>
            <w:tcBorders>
              <w:bottom w:val="single" w:sz="8" w:color="auto"/>
            </w:tcBorders>
          </w:tcPr>
          <w:p>
            <w:pPr>
              <w:spacing w:after="0"/>
              <w:rPr>
                <w:sz w:val="17"/>
                <w:szCs w:val="17"/>
                <w:color w:val="auto"/>
              </w:rPr>
            </w:pPr>
          </w:p>
        </w:tc>
      </w:tr>
      <w:tr>
        <w:trPr>
          <w:trHeight w:val="212"/>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2"/>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3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19,025</w:t>
            </w:r>
          </w:p>
        </w:tc>
        <w:tc>
          <w:tcPr>
            <w:tcW w:w="116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7,461</w:t>
            </w:r>
          </w:p>
        </w:tc>
      </w:tr>
      <w:tr>
        <w:trPr>
          <w:trHeight w:val="210"/>
        </w:trPr>
        <w:tc>
          <w:tcPr>
            <w:tcW w:w="5460" w:type="dxa"/>
            <w:vAlign w:val="bottom"/>
          </w:tcPr>
          <w:p>
            <w:pPr>
              <w:spacing w:after="0"/>
              <w:rPr>
                <w:sz w:val="20"/>
                <w:szCs w:val="20"/>
                <w:color w:val="auto"/>
              </w:rPr>
            </w:pPr>
            <w:r>
              <w:rPr>
                <w:rFonts w:ascii="Arial" w:cs="Arial" w:eastAsia="Arial" w:hAnsi="Arial"/>
                <w:sz w:val="16"/>
                <w:szCs w:val="16"/>
                <w:color w:val="auto"/>
              </w:rPr>
              <w:t>Effective Tax Rates</w:t>
            </w: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24.09%</w:t>
            </w:r>
          </w:p>
        </w:tc>
        <w:tc>
          <w:tcPr>
            <w:tcW w:w="1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17.68%</w:t>
            </w:r>
          </w:p>
        </w:tc>
      </w:tr>
    </w:tbl>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 for income taxes was $19.0 million in the first quarter of 2021, an increase of $11.6 million compared to the same period in 2020. The effective tax rate for the first quarter of 2021 was 24.09%, up from 17.68% for the same period in 2020. The higher effective rate in the first quarter of 2021 compared to the same period in 2020 was primarily due to higher pretax book income while favorable book-tax differences and tax credits were relatively constant. Also the effective tax rate for the first quarter of 2020 was favorably impacted by a $0.6 million tax benefit from an early buyout of our equity interest in a leveraged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investment securities portfolio was $7.5 billion and $7.1 billion as of March 31, 2021, and December 31, 2020, respectively.</w:t>
      </w:r>
    </w:p>
    <w:p>
      <w:pPr>
        <w:spacing w:after="0" w:line="20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6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Mortgage-backed securities issued by Ginnie Mae, Fannie Mae, and Freddie Mac are the largest concentration in our portfolio. As of March 31, 2021, our portfolio of Ginnie Mae, Fannie Mae, and Freddie Mac mortgage-backed securities were primarily comprised of securities issued in 2008 or later. As of March 31, 2021, these mortgage-backed securities were all AAA-rated, with a low probability of a change in their credit ratings in the near future.</w:t>
      </w:r>
    </w:p>
    <w:p>
      <w:pPr>
        <w:spacing w:after="0" w:line="10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Gross unrealized gains in our investment securities portfolio were $109.9 million as of March 31, 2021, and $158.9 million as of December 31, 2020. Gross unrealized losses in our investment securities were $95.1 million as of March 31, 2021, and $2.9 million as of December 31, 2020. The overall increase in net unrealized losses was primarily due to the increase in interest rates during 2021. The gross unrealized losses were primarily related to mortgage-backed securities issued by Ginnie Mae, Fannie Mae, and Freddie Mac. See Note 3 to the Consolidated Financial Statements for more information.</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Loan and Lease Portfolio Balances</w:t>
            </w:r>
          </w:p>
        </w:tc>
        <w:tc>
          <w:tcPr>
            <w:tcW w:w="30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8</w:t>
            </w:r>
          </w:p>
        </w:tc>
      </w:tr>
      <w:tr>
        <w:trPr>
          <w:trHeight w:val="199"/>
        </w:trPr>
        <w:tc>
          <w:tcPr>
            <w:tcW w:w="48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0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2"/>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30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30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2,013,981</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1,875,293</w:t>
            </w:r>
          </w:p>
        </w:tc>
      </w:tr>
      <w:tr>
        <w:trPr>
          <w:trHeight w:val="219"/>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30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2,859,246</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2,854,829</w:t>
            </w: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Construction</w:t>
            </w:r>
          </w:p>
        </w:tc>
        <w:tc>
          <w:tcPr>
            <w:tcW w:w="30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281,164</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259,798</w:t>
            </w:r>
          </w:p>
        </w:tc>
      </w:tr>
      <w:tr>
        <w:trPr>
          <w:trHeight w:val="216"/>
        </w:trPr>
        <w:tc>
          <w:tcPr>
            <w:tcW w:w="48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Lease Financing</w:t>
            </w:r>
          </w:p>
        </w:tc>
        <w:tc>
          <w:tcPr>
            <w:tcW w:w="30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104,980</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110,766</w:t>
            </w:r>
          </w:p>
        </w:tc>
      </w:tr>
      <w:tr>
        <w:trPr>
          <w:trHeight w:val="209"/>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30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5,259,371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5,100,686</w:t>
            </w:r>
          </w:p>
        </w:tc>
      </w:tr>
      <w:tr>
        <w:trPr>
          <w:trHeight w:val="213"/>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30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30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4,216,976</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4,130,513</w:t>
            </w:r>
          </w:p>
        </w:tc>
      </w:tr>
      <w:tr>
        <w:trPr>
          <w:trHeight w:val="219"/>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30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1,577,500</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1,604,538</w:t>
            </w: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30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710,407</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708,800</w:t>
            </w:r>
          </w:p>
        </w:tc>
      </w:tr>
      <w:tr>
        <w:trPr>
          <w:trHeight w:val="219"/>
        </w:trPr>
        <w:tc>
          <w:tcPr>
            <w:tcW w:w="488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30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376,449</w:t>
            </w:r>
          </w:p>
        </w:tc>
        <w:tc>
          <w:tcPr>
            <w:tcW w:w="5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395,483</w:t>
            </w:r>
          </w:p>
        </w:tc>
      </w:tr>
      <w:tr>
        <w:trPr>
          <w:trHeight w:val="207"/>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30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6,881,332</w:t>
            </w:r>
          </w:p>
        </w:tc>
        <w:tc>
          <w:tcPr>
            <w:tcW w:w="5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6,839,334</w:t>
            </w:r>
          </w:p>
        </w:tc>
      </w:tr>
      <w:tr>
        <w:trPr>
          <w:trHeight w:val="210"/>
        </w:trPr>
        <w:tc>
          <w:tcPr>
            <w:tcW w:w="4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Loans and Leases</w:t>
            </w:r>
          </w:p>
        </w:tc>
        <w:tc>
          <w:tcPr>
            <w:tcW w:w="302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12,140,703</w:t>
            </w:r>
          </w:p>
        </w:tc>
        <w:tc>
          <w:tcPr>
            <w:tcW w:w="5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11,940,020</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loans and leases as of March 31, 2021, increased by $200.7 million, or 2%, from December 31, 2020, primarily due to growth in our commercial lending portfolio.</w:t>
      </w:r>
    </w:p>
    <w:p>
      <w:pPr>
        <w:spacing w:after="0" w:line="13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Commercial loans and leases as of March 31, 2021, increased by $158.7 million, or 3%, from December 31, 2020. Commercial and industrial loans increased by $138.7 million or 7% from December 31, 2020, primarily due to origination of new loans under the Paycheck Protection Program, partially offset by payoff activity. Commercial mortgage loans remained relatively unchanged from December 31, 2020. Construction loans increased by $21.4 million or 8% from December 31, 2020, primarily due to an increase in construction activity in our market. Lease financing decreased by $5.8 million or 5% from December 31, 2020, primarily due to paydowns.</w:t>
      </w:r>
    </w:p>
    <w:p>
      <w:pPr>
        <w:spacing w:after="0" w:line="161"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Consumer loans and leases as of March 31, 2021, increased by $42.0 million 1% from December 31, 2020. Residential mortgage loans increased by $86.5 million or 2% from December 31, 2020, primarily due to higher loan originations, partially offset by an increase in payoff activity. Home equity decreased by $27.0 million or 2% from December 31, 2020, as a result of a modest reduction in new production and lower utilization levels on existing</w:t>
      </w:r>
    </w:p>
    <w:p>
      <w:pPr>
        <w:spacing w:after="0" w:line="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facilities. Automobile loans remained relatively unchanged from December 31, 2020. Other consumer loans decreased by $19.0 million or 5% from December 31, 2020, primarily due to pay off activity in our installment loans.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Table 9 presents the composition of our loan and lease portfolio by geographic area and by major categories.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Geographic Distribution of Loan and Lease Portfolio</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9</w:t>
            </w:r>
          </w:p>
        </w:tc>
      </w:tr>
      <w:tr>
        <w:trPr>
          <w:trHeight w:val="199"/>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U.S.</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Pacific</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0"/>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Hawaii</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line="220" w:lineRule="exact"/>
              <w:rPr>
                <w:sz w:val="20"/>
                <w:szCs w:val="20"/>
                <w:color w:val="auto"/>
              </w:rPr>
            </w:pPr>
            <w:r>
              <w:rPr>
                <w:rFonts w:ascii="Arial" w:cs="Arial" w:eastAsia="Arial" w:hAnsi="Arial"/>
                <w:sz w:val="15"/>
                <w:szCs w:val="15"/>
                <w:b w:val="1"/>
                <w:bCs w:val="1"/>
                <w:color w:val="auto"/>
              </w:rPr>
              <w:t xml:space="preserve">Mainland </w:t>
            </w:r>
            <w:r>
              <w:rPr>
                <w:rFonts w:ascii="Arial" w:cs="Arial" w:eastAsia="Arial" w:hAnsi="Arial"/>
                <w:sz w:val="25"/>
                <w:szCs w:val="25"/>
                <w:b w:val="1"/>
                <w:bCs w:val="1"/>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Islands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r>
      <w:tr>
        <w:trPr>
          <w:trHeight w:val="209"/>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Commercial</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1,753,901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152,699</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93,169</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14,212</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2,013,981</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2,479,170</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136,748</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243,328</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2,859,246</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281,164</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281,164</w:t>
            </w:r>
          </w:p>
        </w:tc>
      </w:tr>
      <w:tr>
        <w:trPr>
          <w:trHeight w:val="213"/>
        </w:trPr>
        <w:tc>
          <w:tcPr>
            <w:tcW w:w="44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Lease Financing</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70,969</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32,740</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104,980</w:t>
            </w:r>
          </w:p>
        </w:tc>
      </w:tr>
      <w:tr>
        <w:trPr>
          <w:trHeight w:val="209"/>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9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4,585,204</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322,187</w:t>
            </w: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337,768</w:t>
            </w: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14,212</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5,259,371</w:t>
            </w:r>
          </w:p>
        </w:tc>
      </w:tr>
      <w:tr>
        <w:trPr>
          <w:trHeight w:val="209"/>
        </w:trPr>
        <w:tc>
          <w:tcPr>
            <w:tcW w:w="4440" w:type="dxa"/>
            <w:vAlign w:val="bottom"/>
          </w:tcPr>
          <w:p>
            <w:pPr>
              <w:spacing w:after="0"/>
              <w:rPr>
                <w:sz w:val="20"/>
                <w:szCs w:val="20"/>
                <w:color w:val="auto"/>
              </w:rPr>
            </w:pPr>
            <w:r>
              <w:rPr>
                <w:rFonts w:ascii="Arial" w:cs="Arial" w:eastAsia="Arial" w:hAnsi="Arial"/>
                <w:sz w:val="16"/>
                <w:szCs w:val="16"/>
                <w:color w:val="auto"/>
              </w:rPr>
              <w:t>Consumer</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4,137,207</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78,897</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4,216,976</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1,538,643</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38,707</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1,577,500</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541,590</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140,667</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28,150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710,407</w:t>
            </w:r>
          </w:p>
        </w:tc>
      </w:tr>
      <w:tr>
        <w:trPr>
          <w:trHeight w:val="216"/>
        </w:trPr>
        <w:tc>
          <w:tcPr>
            <w:tcW w:w="44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311,344</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45,139</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19,966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376,449</w:t>
            </w:r>
          </w:p>
        </w:tc>
      </w:tr>
      <w:tr>
        <w:trPr>
          <w:trHeight w:val="207"/>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9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6,528,784</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w:t>
            </w: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303,410</w:t>
            </w: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49,068</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6,881,332</w:t>
            </w:r>
          </w:p>
        </w:tc>
      </w:tr>
      <w:tr>
        <w:trPr>
          <w:trHeight w:val="250"/>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Loans and Leases</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11,113,988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322,257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641,178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63,280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12,140,703</w:t>
            </w:r>
          </w:p>
        </w:tc>
      </w:tr>
      <w:tr>
        <w:trPr>
          <w:trHeight w:val="199"/>
        </w:trPr>
        <w:tc>
          <w:tcPr>
            <w:tcW w:w="4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2020</w:t>
            </w:r>
          </w:p>
        </w:tc>
        <w:tc>
          <w:tcPr>
            <w:tcW w:w="9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Commercial</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and Industrial</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1,623,308</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145,121</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93,479</w:t>
            </w:r>
          </w:p>
        </w:tc>
        <w:tc>
          <w:tcPr>
            <w:tcW w:w="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13,385</w:t>
            </w: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1,875,293</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Commercial Mortgage</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2,470,031</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138,690</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246,108</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2,854,829</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259,798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259,798</w:t>
            </w:r>
          </w:p>
        </w:tc>
      </w:tr>
      <w:tr>
        <w:trPr>
          <w:trHeight w:val="213"/>
        </w:trPr>
        <w:tc>
          <w:tcPr>
            <w:tcW w:w="44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Lease Financing</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72,090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37,342</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1,334</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110,766</w:t>
            </w:r>
          </w:p>
        </w:tc>
      </w:tr>
      <w:tr>
        <w:trPr>
          <w:trHeight w:val="210"/>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Commercial</w:t>
            </w:r>
          </w:p>
        </w:tc>
        <w:tc>
          <w:tcPr>
            <w:tcW w:w="9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4,425,227</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321,153</w:t>
            </w: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340,921</w:t>
            </w:r>
          </w:p>
        </w:tc>
        <w:tc>
          <w:tcPr>
            <w:tcW w:w="4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13,385</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5,100,686</w:t>
            </w:r>
          </w:p>
        </w:tc>
      </w:tr>
      <w:tr>
        <w:trPr>
          <w:trHeight w:val="210"/>
        </w:trPr>
        <w:tc>
          <w:tcPr>
            <w:tcW w:w="4440" w:type="dxa"/>
            <w:vAlign w:val="bottom"/>
          </w:tcPr>
          <w:p>
            <w:pPr>
              <w:spacing w:after="0"/>
              <w:rPr>
                <w:sz w:val="20"/>
                <w:szCs w:val="20"/>
                <w:color w:val="auto"/>
              </w:rPr>
            </w:pPr>
            <w:r>
              <w:rPr>
                <w:rFonts w:ascii="Arial" w:cs="Arial" w:eastAsia="Arial" w:hAnsi="Arial"/>
                <w:sz w:val="16"/>
                <w:szCs w:val="16"/>
                <w:color w:val="auto"/>
              </w:rPr>
              <w:t>Consumer</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4,048,831</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80,774</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4,130,513</w:t>
            </w: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9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1,565,546</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3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38,823</w:t>
            </w:r>
          </w:p>
        </w:tc>
        <w:tc>
          <w:tcPr>
            <w:tcW w:w="4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1,604,538</w:t>
            </w: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9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542,056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140,740</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26,004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708,800</w:t>
            </w:r>
          </w:p>
        </w:tc>
      </w:tr>
      <w:tr>
        <w:trPr>
          <w:trHeight w:val="216"/>
        </w:trPr>
        <w:tc>
          <w:tcPr>
            <w:tcW w:w="444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2</w:t>
            </w:r>
          </w:p>
        </w:tc>
        <w:tc>
          <w:tcPr>
            <w:tcW w:w="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325,526</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48,316</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21,641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395,483</w:t>
            </w:r>
          </w:p>
        </w:tc>
      </w:tr>
      <w:tr>
        <w:trPr>
          <w:trHeight w:val="207"/>
        </w:trPr>
        <w:tc>
          <w:tcPr>
            <w:tcW w:w="4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9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6,481,959</w:t>
            </w: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w:t>
            </w:r>
          </w:p>
        </w:tc>
        <w:tc>
          <w:tcPr>
            <w:tcW w:w="3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308,653</w:t>
            </w:r>
          </w:p>
        </w:tc>
        <w:tc>
          <w:tcPr>
            <w:tcW w:w="4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48,633</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6,839,334</w:t>
            </w:r>
          </w:p>
        </w:tc>
      </w:tr>
      <w:tr>
        <w:trPr>
          <w:trHeight w:val="210"/>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Loans and Leases</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10,907,186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321,242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649,574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62,018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11,940,020</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right="180" w:hanging="172"/>
        <w:spacing w:after="0" w:line="230" w:lineRule="auto"/>
        <w:tabs>
          <w:tab w:leader="none" w:pos="180" w:val="left"/>
        </w:tabs>
        <w:numPr>
          <w:ilvl w:val="0"/>
          <w:numId w:val="38"/>
        </w:numPr>
        <w:rPr>
          <w:rFonts w:ascii="Arial" w:cs="Arial" w:eastAsia="Arial" w:hAnsi="Arial"/>
          <w:sz w:val="12"/>
          <w:szCs w:val="12"/>
          <w:color w:val="auto"/>
        </w:rPr>
      </w:pPr>
      <w:r>
        <w:rPr>
          <w:rFonts w:ascii="Arial" w:cs="Arial" w:eastAsia="Arial" w:hAnsi="Arial"/>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ind w:left="180" w:hanging="172"/>
        <w:spacing w:after="0"/>
        <w:tabs>
          <w:tab w:leader="none" w:pos="180" w:val="left"/>
        </w:tabs>
        <w:numPr>
          <w:ilvl w:val="0"/>
          <w:numId w:val="39"/>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6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legacy lease financing and participation in shared national credits for customers whose operations and assets extend beyond Hawaii.</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$206.8 million or 2% from December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Assets</w:t>
            </w:r>
          </w:p>
        </w:tc>
        <w:tc>
          <w:tcPr>
            <w:tcW w:w="2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10</w:t>
            </w:r>
          </w:p>
        </w:tc>
      </w:tr>
      <w:tr>
        <w:trPr>
          <w:trHeight w:val="199"/>
        </w:trPr>
        <w:tc>
          <w:tcPr>
            <w:tcW w:w="57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Federal Home Loan Bank and Federal Reserve Bank Stock</w:t>
            </w:r>
          </w:p>
        </w:tc>
        <w:tc>
          <w:tcPr>
            <w:tcW w:w="24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33,401</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33,340</w:t>
            </w: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2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46,977</w:t>
            </w:r>
          </w:p>
        </w:tc>
        <w:tc>
          <w:tcPr>
            <w:tcW w:w="50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96,167</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Low-Income Housing and Other Equity Investments</w:t>
            </w:r>
          </w:p>
        </w:tc>
        <w:tc>
          <w:tcPr>
            <w:tcW w:w="2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138,360</w:t>
            </w: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142,961</w:t>
            </w: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Deferred Compensation Plan Assets</w:t>
            </w:r>
          </w:p>
        </w:tc>
        <w:tc>
          <w:tcPr>
            <w:tcW w:w="2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54,612</w:t>
            </w:r>
          </w:p>
        </w:tc>
        <w:tc>
          <w:tcPr>
            <w:tcW w:w="50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53,410</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w:t>
            </w:r>
          </w:p>
        </w:tc>
        <w:tc>
          <w:tcPr>
            <w:tcW w:w="2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19,306</w:t>
            </w: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14,517</w:t>
            </w: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Accounts Receivable</w:t>
            </w:r>
          </w:p>
        </w:tc>
        <w:tc>
          <w:tcPr>
            <w:tcW w:w="2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16,985</w:t>
            </w:r>
          </w:p>
        </w:tc>
        <w:tc>
          <w:tcPr>
            <w:tcW w:w="50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12,380</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2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30,387</w:t>
            </w: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16,724</w:t>
            </w:r>
          </w:p>
        </w:tc>
      </w:tr>
      <w:tr>
        <w:trPr>
          <w:trHeight w:val="213"/>
        </w:trPr>
        <w:tc>
          <w:tcPr>
            <w:tcW w:w="5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2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72,879</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65,794</w:t>
            </w:r>
          </w:p>
        </w:tc>
      </w:tr>
      <w:tr>
        <w:trPr>
          <w:trHeight w:val="210"/>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Other Assets</w:t>
            </w:r>
          </w:p>
        </w:tc>
        <w:tc>
          <w:tcPr>
            <w:tcW w:w="24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412,907</w:t>
            </w:r>
          </w:p>
        </w:tc>
        <w:tc>
          <w:tcPr>
            <w:tcW w:w="5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435,293</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other assets decreased by $22.4 million or 5% from December 31, 2020. The decrease was primarily due to a $49.2 million decrease in derivative financial instruments, which was primarily due to fair value decreases of our interest rate swap agreement assets, which are impacted by prevailing interest rates. This decrease was partially offset by an increase in deferred taxes of $13.7 million, primarily due to temporary differences between financial reporting and income tax basis of unrealized losses on investment securities of $18.0 million which were partially offset by a reduction in the allowance for credit losses of $4.5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Deposits</w:t>
            </w:r>
          </w:p>
        </w:tc>
        <w:tc>
          <w:tcPr>
            <w:tcW w:w="3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11</w:t>
            </w:r>
          </w:p>
        </w:tc>
      </w:tr>
      <w:tr>
        <w:trPr>
          <w:trHeight w:val="199"/>
        </w:trPr>
        <w:tc>
          <w:tcPr>
            <w:tcW w:w="45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36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9,746,713</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9,347,725</w:t>
            </w: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Commercial</w:t>
            </w:r>
          </w:p>
        </w:tc>
        <w:tc>
          <w:tcPr>
            <w:tcW w:w="360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8,241,102</w:t>
            </w:r>
          </w:p>
        </w:tc>
        <w:tc>
          <w:tcPr>
            <w:tcW w:w="48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7,302,832</w:t>
            </w:r>
          </w:p>
        </w:tc>
      </w:tr>
      <w:tr>
        <w:trPr>
          <w:trHeight w:val="216"/>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Public and Other</w:t>
            </w:r>
          </w:p>
        </w:tc>
        <w:tc>
          <w:tcPr>
            <w:tcW w:w="36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1,568,836</w:t>
            </w:r>
          </w:p>
        </w:tc>
        <w:tc>
          <w:tcPr>
            <w:tcW w:w="4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1,561,064</w:t>
            </w:r>
          </w:p>
        </w:tc>
      </w:tr>
      <w:tr>
        <w:trPr>
          <w:trHeight w:val="210"/>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Deposits</w:t>
            </w:r>
          </w:p>
        </w:tc>
        <w:tc>
          <w:tcPr>
            <w:tcW w:w="36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19,556,651</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18,211,621</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Total deposits were $19.6 billion as of March 31, 2021, an increase of $1.3 billion or 7% from December 31, 2020. This increase was primarily due to an increase in commercial and consumer deposits. Commercial deposits increased by $938.3 million or 13% primarily due to a $914.2 million increase in core deposits and a $24.1 million decrease in time deposits. Consumer deposits increased by $399.0 million or 4% due to an increase in core deposits of $400.8 million offset by a $1.8 million decrease in time deposits. In addition, public and other deposits increased by $7.8 million or 1% due to an increase in public demand deposits of $216.7 million, partially offset by a decrease in time deposits of $208.9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Savings Deposits</w:t>
            </w:r>
          </w:p>
        </w:tc>
        <w:tc>
          <w:tcPr>
            <w:tcW w:w="3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12</w:t>
            </w:r>
          </w:p>
        </w:tc>
      </w:tr>
      <w:tr>
        <w:trPr>
          <w:trHeight w:val="199"/>
        </w:trPr>
        <w:tc>
          <w:tcPr>
            <w:tcW w:w="46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48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Money Market</w:t>
            </w:r>
          </w:p>
        </w:tc>
        <w:tc>
          <w:tcPr>
            <w:tcW w:w="35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3,004,079</w:t>
            </w:r>
          </w:p>
        </w:tc>
        <w:tc>
          <w:tcPr>
            <w:tcW w:w="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2,453,619</w:t>
            </w:r>
          </w:p>
        </w:tc>
      </w:tr>
      <w:tr>
        <w:trPr>
          <w:trHeight w:val="21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Regular Savings</w:t>
            </w:r>
          </w:p>
        </w:tc>
        <w:tc>
          <w:tcPr>
            <w:tcW w:w="3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4,470,501</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4,305,594</w:t>
            </w:r>
          </w:p>
        </w:tc>
      </w:tr>
      <w:tr>
        <w:trPr>
          <w:trHeight w:val="210"/>
        </w:trPr>
        <w:tc>
          <w:tcPr>
            <w:tcW w:w="4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Savings Deposits</w:t>
            </w:r>
          </w:p>
        </w:tc>
        <w:tc>
          <w:tcPr>
            <w:tcW w:w="354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7,474,580</w:t>
            </w:r>
          </w:p>
        </w:tc>
        <w:tc>
          <w:tcPr>
            <w:tcW w:w="4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6,759,213</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13</w:t>
            </w:r>
          </w:p>
        </w:tc>
      </w:tr>
      <w:tr>
        <w:trPr>
          <w:trHeight w:val="199"/>
        </w:trPr>
        <w:tc>
          <w:tcPr>
            <w:tcW w:w="5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Private Institutions</w:t>
            </w:r>
          </w:p>
        </w:tc>
        <w:tc>
          <w:tcPr>
            <w:tcW w:w="24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600,000</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600,000</w:t>
            </w: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Government Entities</w:t>
            </w:r>
          </w:p>
        </w:tc>
        <w:tc>
          <w:tcPr>
            <w:tcW w:w="2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490</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590</w:t>
            </w:r>
          </w:p>
        </w:tc>
      </w:tr>
      <w:tr>
        <w:trPr>
          <w:trHeight w:val="210"/>
        </w:trPr>
        <w:tc>
          <w:tcPr>
            <w:tcW w:w="5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42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600,490</w:t>
            </w:r>
          </w:p>
        </w:tc>
        <w:tc>
          <w:tcPr>
            <w:tcW w:w="5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600,590</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Securities sold under agreements to repurchase was $600.5 million as of March 31, 2021, relatively unchanged from December 31, 2020. As of March 31, 2021, the weighted-average maturity was 3.6 years for our repurchase agreements with government entities and 3.8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3.2 years. As of March 31, 2021, the weighted-average interest rate for outstanding agreements with government entities and private institutions was 1.55% and 2.39%, respectively, with all rates being fixed. Each of our repurchase agreements is accounted for as a collateralized financing arrangement (i.e., a secured borrowing) and not as a sale and subsequent repurchase of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Debt</w:t>
            </w:r>
          </w:p>
        </w:tc>
        <w:tc>
          <w:tcPr>
            <w:tcW w:w="3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14</w:t>
            </w:r>
          </w:p>
        </w:tc>
      </w:tr>
      <w:tr>
        <w:trPr>
          <w:trHeight w:val="199"/>
        </w:trPr>
        <w:tc>
          <w:tcPr>
            <w:tcW w:w="50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3"/>
        </w:trPr>
        <w:tc>
          <w:tcPr>
            <w:tcW w:w="5040" w:type="dxa"/>
            <w:vAlign w:val="bottom"/>
            <w:shd w:val="clear" w:color="auto" w:fill="CFF0FC"/>
          </w:tcPr>
          <w:p>
            <w:pPr>
              <w:spacing w:after="0"/>
              <w:rPr>
                <w:sz w:val="20"/>
                <w:szCs w:val="20"/>
                <w:color w:val="auto"/>
              </w:rPr>
            </w:pPr>
            <w:r>
              <w:rPr>
                <w:rFonts w:ascii="Arial" w:cs="Arial" w:eastAsia="Arial" w:hAnsi="Arial"/>
                <w:sz w:val="16"/>
                <w:szCs w:val="16"/>
                <w:color w:val="auto"/>
              </w:rPr>
              <w:t>Federal Home Loan Bank Advances</w:t>
            </w:r>
          </w:p>
        </w:tc>
        <w:tc>
          <w:tcPr>
            <w:tcW w:w="31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50,000</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50,000</w:t>
            </w:r>
          </w:p>
        </w:tc>
      </w:tr>
      <w:tr>
        <w:trPr>
          <w:trHeight w:val="213"/>
        </w:trPr>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Capital Lease Obligations</w:t>
            </w:r>
          </w:p>
        </w:tc>
        <w:tc>
          <w:tcPr>
            <w:tcW w:w="3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10,459</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10,481</w:t>
            </w:r>
          </w:p>
        </w:tc>
      </w:tr>
      <w:tr>
        <w:trPr>
          <w:trHeight w:val="210"/>
        </w:trPr>
        <w:tc>
          <w:tcPr>
            <w:tcW w:w="50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314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60,459</w:t>
            </w:r>
          </w:p>
        </w:tc>
        <w:tc>
          <w:tcPr>
            <w:tcW w:w="5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60,481</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Other debt was $60.5 million as of March 31, 2021, and December 31, 2020. As of March 31, 2021, our FHLB advances had a weighted-average interest rate of 1.19% with maturity dates during 2024. These advances were primarily for asset/liability management purposes. As of March 31, 2021, our remaining unused line of credit with the FHLB was $2.8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business segments are defined as Consumer Banking, Commercial Banking, and Treasury and Other.</w:t>
      </w:r>
    </w:p>
    <w:p>
      <w:pPr>
        <w:spacing w:after="0" w:line="19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Business Segment Net Income</w:t>
            </w:r>
          </w:p>
        </w:tc>
        <w:tc>
          <w:tcPr>
            <w:tcW w:w="3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Table 15</w:t>
            </w:r>
          </w:p>
        </w:tc>
      </w:tr>
      <w:tr>
        <w:trPr>
          <w:trHeight w:val="199"/>
        </w:trPr>
        <w:tc>
          <w:tcPr>
            <w:tcW w:w="49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1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tcPr>
          <w:p>
            <w:pPr>
              <w:spacing w:after="0"/>
              <w:rPr>
                <w:sz w:val="17"/>
                <w:szCs w:val="17"/>
                <w:color w:val="auto"/>
              </w:rPr>
            </w:pPr>
          </w:p>
        </w:tc>
      </w:tr>
      <w:tr>
        <w:trPr>
          <w:trHeight w:val="213"/>
        </w:trPr>
        <w:tc>
          <w:tcPr>
            <w:tcW w:w="49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18"/>
                <w:szCs w:val="18"/>
                <w:color w:val="auto"/>
              </w:rPr>
            </w:pPr>
          </w:p>
        </w:tc>
      </w:tr>
      <w:tr>
        <w:trPr>
          <w:trHeight w:val="210"/>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r>
      <w:tr>
        <w:trPr>
          <w:trHeight w:val="212"/>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Consumer Banking</w:t>
            </w:r>
          </w:p>
        </w:tc>
        <w:tc>
          <w:tcPr>
            <w:tcW w:w="33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16,939</w:t>
            </w:r>
          </w:p>
        </w:tc>
        <w:tc>
          <w:tcPr>
            <w:tcW w:w="92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24,191</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Commercial Banking</w:t>
            </w:r>
          </w:p>
        </w:tc>
        <w:tc>
          <w:tcPr>
            <w:tcW w:w="3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29,716</w:t>
            </w: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29,781</w:t>
            </w:r>
          </w:p>
        </w:tc>
      </w:tr>
      <w:tr>
        <w:trPr>
          <w:trHeight w:val="213"/>
        </w:trPr>
        <w:tc>
          <w:tcPr>
            <w:tcW w:w="4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3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46,655</w:t>
            </w:r>
          </w:p>
        </w:tc>
        <w:tc>
          <w:tcPr>
            <w:tcW w:w="9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53,972</w:t>
            </w:r>
          </w:p>
        </w:tc>
      </w:tr>
      <w:tr>
        <w:trPr>
          <w:trHeight w:val="213"/>
        </w:trPr>
        <w:tc>
          <w:tcPr>
            <w:tcW w:w="4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Treasury and Other</w:t>
            </w:r>
          </w:p>
        </w:tc>
        <w:tc>
          <w:tcPr>
            <w:tcW w:w="3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13,294</w:t>
            </w:r>
          </w:p>
        </w:tc>
        <w:tc>
          <w:tcPr>
            <w:tcW w:w="9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(19,230)</w:t>
            </w:r>
          </w:p>
        </w:tc>
      </w:tr>
      <w:tr>
        <w:trPr>
          <w:trHeight w:val="210"/>
        </w:trPr>
        <w:tc>
          <w:tcPr>
            <w:tcW w:w="4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Consolidated Total</w:t>
            </w:r>
          </w:p>
        </w:tc>
        <w:tc>
          <w:tcPr>
            <w:tcW w:w="334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59,949</w:t>
            </w:r>
          </w:p>
        </w:tc>
        <w:tc>
          <w:tcPr>
            <w:tcW w:w="92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34,742</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18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income decreased by $7.3 million in the first quarter of 2021 compared to the same period in 2020 primarily due to an increase in noninterest expense and a decrease in net interest income. This was partly offset by an increase in noninterest income. The increase in noninterest expense was primarily due to an increase in allocated incentive compensation expense. The decrease in net interest income was primarily due to lower average rates in the segment’s deposit portfolio, partly offset by higher average balances in the deposit portfolio, as well as higher average rates and higher average balances in the segment’s loan portfolio. The increase in noninterest income was primarily due to higher mortgage banking income as a result of valuation adjustments recorded for mortgage servicing rights accounted for using the amortization method.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Net income decreased by $0.1 million in the first quarter of 2021 compared to the same period in 2020 primarily due to a decrease in noninterest income, partially offset by an increase in net interest income and a decrease in noninterest expense. The decrease in noninterest income is primarily due to a decline in customer derivative program revenue. The increase in net interest income was due to growth in the segment’s loan and deposit portfolios, partially offset by lower deposit rates. Loan growth was primarily driven by increases in C&amp;I balances related to the Payroll Protection Program and commercial mortgages while deposit growth was primarily driven by increases in noninterest bearing and interest bearing demand deposits, partially offset by a decrease in time. The decrease in noninterest expense was primarily due to lower allocated expenses related to support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Net income increased by $32.5 million in the first quarter of 2021 compared to the same period in 2020 primarily due to a decrease in the Provision partially offset by a higher provision for income taxes. The decrease in the Provision was due to the changes in economic outlook and forecasts for COVID-19 pandemic driven market changes, and impacts of fiscal, monetary and regulatory programs. The provision for income taxes in this business segment represents the residual amount to arrive at the total tax expense for the Company. The overall effective tax rate increased to 24.09% in the first quarter of 2021 compared to 17.68% in the first quarter of 2020.</w:t>
      </w:r>
    </w:p>
    <w:p>
      <w:pPr>
        <w:spacing w:after="0" w:line="18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8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March 31, 2021, our overall credit risk profile was affected by the economic downturn resulting from the COVID-19 pandemic. Despite the current challenges facing the Hawaii economy, the underlying risk profile of our lending portfolio continued to remain strong during the first three months of 2021.</w:t>
      </w:r>
    </w:p>
    <w:p>
      <w:pPr>
        <w:spacing w:after="0" w:line="8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Non-Performing Assets and Accruing Loans and Leases Past Due 90 Days or More</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199"/>
        </w:trPr>
        <w:tc>
          <w:tcPr>
            <w:tcW w:w="6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2"/>
        </w:trPr>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Non-Performing Assets</w:t>
            </w:r>
          </w:p>
        </w:tc>
        <w:tc>
          <w:tcPr>
            <w:tcW w:w="1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color w:val="auto"/>
              </w:rPr>
              <w:t>Non-Accrual Loans and Leases</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w:t>
            </w:r>
          </w:p>
        </w:tc>
        <w:tc>
          <w:tcPr>
            <w:tcW w:w="1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3"/>
        </w:trPr>
        <w:tc>
          <w:tcPr>
            <w:tcW w:w="670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293</w:t>
            </w:r>
          </w:p>
        </w:tc>
        <w:tc>
          <w:tcPr>
            <w:tcW w:w="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441</w:t>
            </w:r>
          </w:p>
        </w:tc>
      </w:tr>
      <w:tr>
        <w:trPr>
          <w:trHeight w:val="216"/>
        </w:trPr>
        <w:tc>
          <w:tcPr>
            <w:tcW w:w="6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Commercial Mortgage</w:t>
            </w:r>
          </w:p>
        </w:tc>
        <w:tc>
          <w:tcPr>
            <w:tcW w:w="1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8,503</w:t>
            </w:r>
          </w:p>
        </w:tc>
        <w:tc>
          <w:tcPr>
            <w:tcW w:w="5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8,527</w:t>
            </w:r>
          </w:p>
        </w:tc>
      </w:tr>
      <w:tr>
        <w:trPr>
          <w:trHeight w:val="209"/>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Commercial</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8,796</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8,968</w:t>
            </w:r>
          </w:p>
        </w:tc>
      </w:tr>
      <w:tr>
        <w:trPr>
          <w:trHeight w:val="213"/>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Consumer</w:t>
            </w:r>
          </w:p>
        </w:tc>
        <w:tc>
          <w:tcPr>
            <w:tcW w:w="1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670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14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1,804</w:t>
            </w:r>
          </w:p>
        </w:tc>
        <w:tc>
          <w:tcPr>
            <w:tcW w:w="5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3,223</w:t>
            </w:r>
          </w:p>
        </w:tc>
      </w:tr>
      <w:tr>
        <w:trPr>
          <w:trHeight w:val="216"/>
        </w:trPr>
        <w:tc>
          <w:tcPr>
            <w:tcW w:w="6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Home Equity</w:t>
            </w:r>
          </w:p>
        </w:tc>
        <w:tc>
          <w:tcPr>
            <w:tcW w:w="1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4,951</w:t>
            </w:r>
          </w:p>
        </w:tc>
        <w:tc>
          <w:tcPr>
            <w:tcW w:w="5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3,958</w:t>
            </w:r>
          </w:p>
        </w:tc>
      </w:tr>
      <w:tr>
        <w:trPr>
          <w:trHeight w:val="209"/>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Total Consumer</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6,755</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7,181</w:t>
            </w:r>
          </w:p>
        </w:tc>
      </w:tr>
      <w:tr>
        <w:trPr>
          <w:trHeight w:val="209"/>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Non-Accrual Loans and Leases</w:t>
            </w:r>
          </w:p>
        </w:tc>
        <w:tc>
          <w:tcPr>
            <w:tcW w:w="1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15,551</w:t>
            </w:r>
          </w:p>
        </w:tc>
        <w:tc>
          <w:tcPr>
            <w:tcW w:w="5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16,149</w:t>
            </w:r>
          </w:p>
        </w:tc>
      </w:tr>
      <w:tr>
        <w:trPr>
          <w:trHeight w:val="209"/>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Foreclosed Real Estate</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2,332</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2,332</w:t>
            </w:r>
          </w:p>
        </w:tc>
      </w:tr>
      <w:tr>
        <w:trPr>
          <w:trHeight w:val="210"/>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Non-Performing Assets</w:t>
            </w:r>
          </w:p>
        </w:tc>
        <w:tc>
          <w:tcPr>
            <w:tcW w:w="14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17,883</w:t>
            </w:r>
          </w:p>
        </w:tc>
        <w:tc>
          <w:tcPr>
            <w:tcW w:w="5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18,481</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6700" w:type="dxa"/>
            <w:vAlign w:val="bottom"/>
          </w:tcPr>
          <w:p>
            <w:pPr>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1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3"/>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Commercial and Industrial</w:t>
            </w: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1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w:t>
            </w: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spacing w:after="0"/>
              <w:rPr>
                <w:sz w:val="20"/>
                <w:szCs w:val="20"/>
                <w:color w:val="auto"/>
              </w:rPr>
            </w:pPr>
            <w:r>
              <w:rPr>
                <w:rFonts w:ascii="Arial" w:cs="Arial" w:eastAsia="Arial" w:hAnsi="Arial"/>
                <w:sz w:val="16"/>
                <w:szCs w:val="16"/>
                <w:color w:val="auto"/>
              </w:rPr>
              <w:t>Consumer</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Residential Mortgage</w:t>
            </w:r>
          </w:p>
        </w:tc>
        <w:tc>
          <w:tcPr>
            <w:tcW w:w="14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4,069</w:t>
            </w:r>
          </w:p>
        </w:tc>
        <w:tc>
          <w:tcPr>
            <w:tcW w:w="5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5,274</w:t>
            </w: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Home Equity</w:t>
            </w:r>
          </w:p>
        </w:tc>
        <w:tc>
          <w:tcPr>
            <w:tcW w:w="14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4,906</w:t>
            </w:r>
          </w:p>
        </w:tc>
        <w:tc>
          <w:tcPr>
            <w:tcW w:w="52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3,187</w:t>
            </w: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Automobile</w:t>
            </w:r>
          </w:p>
        </w:tc>
        <w:tc>
          <w:tcPr>
            <w:tcW w:w="1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604</w:t>
            </w:r>
          </w:p>
        </w:tc>
        <w:tc>
          <w:tcPr>
            <w:tcW w:w="5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925</w:t>
            </w:r>
          </w:p>
        </w:tc>
      </w:tr>
      <w:tr>
        <w:trPr>
          <w:trHeight w:val="216"/>
        </w:trPr>
        <w:tc>
          <w:tcPr>
            <w:tcW w:w="670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828</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1,160</w:t>
            </w:r>
          </w:p>
        </w:tc>
      </w:tr>
      <w:tr>
        <w:trPr>
          <w:trHeight w:val="207"/>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Consumer</w:t>
            </w:r>
          </w:p>
        </w:tc>
        <w:tc>
          <w:tcPr>
            <w:tcW w:w="14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10,407</w:t>
            </w:r>
          </w:p>
        </w:tc>
        <w:tc>
          <w:tcPr>
            <w:tcW w:w="5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10,546</w:t>
            </w:r>
          </w:p>
        </w:tc>
      </w:tr>
      <w:tr>
        <w:trPr>
          <w:trHeight w:val="250"/>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10,416</w:t>
            </w:r>
          </w:p>
        </w:tc>
        <w:tc>
          <w:tcPr>
            <w:tcW w:w="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10,546</w:t>
            </w:r>
          </w:p>
        </w:tc>
      </w:tr>
      <w:tr>
        <w:trPr>
          <w:trHeight w:val="196"/>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4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74,216</w:t>
            </w:r>
          </w:p>
        </w:tc>
        <w:tc>
          <w:tcPr>
            <w:tcW w:w="5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68,065</w:t>
            </w: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Loans and Leases</w:t>
            </w: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12,140,703</w:t>
            </w:r>
          </w:p>
        </w:tc>
        <w:tc>
          <w:tcPr>
            <w:tcW w:w="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11,940,020</w:t>
            </w:r>
          </w:p>
        </w:tc>
      </w:tr>
      <w:tr>
        <w:trPr>
          <w:trHeight w:val="196"/>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Ratio of Non-Accrual Loans and Leases to Total Loans and Leases</w:t>
            </w:r>
          </w:p>
        </w:tc>
        <w:tc>
          <w:tcPr>
            <w:tcW w:w="14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0.13%</w:t>
            </w:r>
          </w:p>
        </w:tc>
        <w:tc>
          <w:tcPr>
            <w:tcW w:w="5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0.14%</w:t>
            </w:r>
          </w:p>
        </w:tc>
      </w:tr>
      <w:tr>
        <w:trPr>
          <w:trHeight w:val="210"/>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r>
      <w:tr>
        <w:trPr>
          <w:trHeight w:val="203"/>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9"/>
        </w:trPr>
        <w:tc>
          <w:tcPr>
            <w:tcW w:w="67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and Commercial Foreclosed Real Estate</w:t>
            </w:r>
          </w:p>
        </w:tc>
        <w:tc>
          <w:tcPr>
            <w:tcW w:w="1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0.17%</w:t>
            </w:r>
          </w:p>
        </w:tc>
        <w:tc>
          <w:tcPr>
            <w:tcW w:w="5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0.18%</w:t>
            </w:r>
          </w:p>
        </w:tc>
      </w:tr>
      <w:tr>
        <w:trPr>
          <w:trHeight w:val="203"/>
        </w:trPr>
        <w:tc>
          <w:tcPr>
            <w:tcW w:w="6700" w:type="dxa"/>
            <w:vAlign w:val="bottom"/>
          </w:tcPr>
          <w:p>
            <w:pPr>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67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and Consumer Foreclosed Real Estate</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r>
      <w:tr>
        <w:trPr>
          <w:trHeight w:val="203"/>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9"/>
        </w:trPr>
        <w:tc>
          <w:tcPr>
            <w:tcW w:w="67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or More to Total Loans and Leases and Foreclosed Real Estate</w:t>
            </w:r>
          </w:p>
        </w:tc>
        <w:tc>
          <w:tcPr>
            <w:tcW w:w="1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0.23%</w:t>
            </w:r>
          </w:p>
        </w:tc>
        <w:tc>
          <w:tcPr>
            <w:tcW w:w="5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0.24%</w:t>
            </w:r>
          </w:p>
        </w:tc>
      </w:tr>
      <w:tr>
        <w:trPr>
          <w:trHeight w:val="210"/>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Changes in Non-Performing Assets</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r>
      <w:tr>
        <w:trPr>
          <w:trHeight w:val="212"/>
        </w:trPr>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 2020</w:t>
            </w:r>
          </w:p>
        </w:tc>
        <w:tc>
          <w:tcPr>
            <w:tcW w:w="14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18,481</w:t>
            </w: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6700" w:type="dxa"/>
            <w:vAlign w:val="bottom"/>
          </w:tcPr>
          <w:p>
            <w:pPr>
              <w:spacing w:after="0"/>
              <w:rPr>
                <w:sz w:val="20"/>
                <w:szCs w:val="20"/>
                <w:color w:val="auto"/>
              </w:rPr>
            </w:pPr>
            <w:r>
              <w:rPr>
                <w:rFonts w:ascii="Arial" w:cs="Arial" w:eastAsia="Arial" w:hAnsi="Arial"/>
                <w:sz w:val="16"/>
                <w:szCs w:val="16"/>
                <w:color w:val="auto"/>
              </w:rPr>
              <w:t>Additions</w:t>
            </w:r>
          </w:p>
        </w:tc>
        <w:tc>
          <w:tcPr>
            <w:tcW w:w="14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2,992</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Reductions</w:t>
            </w:r>
          </w:p>
        </w:tc>
        <w:tc>
          <w:tcPr>
            <w:tcW w:w="1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3"/>
        </w:trPr>
        <w:tc>
          <w:tcPr>
            <w:tcW w:w="6700" w:type="dxa"/>
            <w:vAlign w:val="bottom"/>
          </w:tcPr>
          <w:p>
            <w:pPr>
              <w:ind w:left="260"/>
              <w:spacing w:after="0"/>
              <w:rPr>
                <w:sz w:val="20"/>
                <w:szCs w:val="20"/>
                <w:color w:val="auto"/>
              </w:rPr>
            </w:pPr>
            <w:r>
              <w:rPr>
                <w:rFonts w:ascii="Arial" w:cs="Arial" w:eastAsia="Arial" w:hAnsi="Arial"/>
                <w:sz w:val="16"/>
                <w:szCs w:val="16"/>
                <w:color w:val="auto"/>
              </w:rPr>
              <w:t>Payments</w:t>
            </w:r>
          </w:p>
        </w:tc>
        <w:tc>
          <w:tcPr>
            <w:tcW w:w="14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(2,481)</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6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Return to Accrual Status</w:t>
            </w:r>
          </w:p>
        </w:tc>
        <w:tc>
          <w:tcPr>
            <w:tcW w:w="1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(1,014)</w:t>
            </w:r>
          </w:p>
        </w:tc>
        <w:tc>
          <w:tcPr>
            <w:tcW w:w="5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13"/>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Charge-offs/Write-downs</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w:t>
            </w:r>
          </w:p>
        </w:tc>
        <w:tc>
          <w:tcPr>
            <w:tcW w:w="5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r>
      <w:tr>
        <w:trPr>
          <w:trHeight w:val="210"/>
        </w:trPr>
        <w:tc>
          <w:tcPr>
            <w:tcW w:w="6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Reductions</w:t>
            </w:r>
          </w:p>
        </w:tc>
        <w:tc>
          <w:tcPr>
            <w:tcW w:w="1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(3,590)</w:t>
            </w: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0"/>
        </w:trPr>
        <w:tc>
          <w:tcPr>
            <w:tcW w:w="6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March 31, 2021</w:t>
            </w: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17,883</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NPAs consist of non-accrual loans and leases, and foreclosed real estate. Changes in the level of non-accrual loans and leases typically represent additions for loans and leases that reach a specified past due status, offset by reductions for loans and leases that are charged-off, paid down, sold, transferred to Other Real Estate Owned (“OREO”), or are no longer classified as non-accrual because they have returned to accrual status.</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NPAs were $17.9 million as of March 31, 2021, a decrease of $0.6 million or 3% from December 31, 2020. The ratio of our NPAs to total loans and leases and foreclosed real estate was 0.15% as of March 31, 2021, and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Commercial mortgage non-accrual loans were $8.5 million as of March 31, 2021, relatively unchanged from December 31, 2020.</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Residential mortgage non-accrual loans were $1.8 million as of March 31, 2021, a decrease of $1.4 million or 44% from December 31, 2020, primarily due to returns to accrual status and payoffs. As of March 31, 2021, our residential mortgage non-accrual loans were comprised of six loans with a weighted average current loan-to-value ratio of 73%.</w:t>
      </w:r>
    </w:p>
    <w:p>
      <w:pPr>
        <w:spacing w:after="0" w:line="157"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was unchanged from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$10.4 million as of March 31, 2021, a $0.1 million or 1% decrease from December 31, 2020. The decrease was primarily in residential mortgage loans, which was partially offset by an increase in home equity.</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Table 17</w:t>
            </w:r>
          </w:p>
        </w:tc>
      </w:tr>
      <w:tr>
        <w:trPr>
          <w:trHeight w:val="199"/>
        </w:trPr>
        <w:tc>
          <w:tcPr>
            <w:tcW w:w="5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3"/>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Commercial</w:t>
            </w:r>
          </w:p>
        </w:tc>
        <w:tc>
          <w:tcPr>
            <w:tcW w:w="24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5420" w:type="dxa"/>
            <w:vAlign w:val="bottom"/>
          </w:tcPr>
          <w:p>
            <w:pPr>
              <w:ind w:left="260"/>
              <w:spacing w:after="0"/>
              <w:rPr>
                <w:sz w:val="20"/>
                <w:szCs w:val="20"/>
                <w:color w:val="auto"/>
              </w:rPr>
            </w:pPr>
            <w:r>
              <w:rPr>
                <w:rFonts w:ascii="Arial" w:cs="Arial" w:eastAsia="Arial" w:hAnsi="Arial"/>
                <w:sz w:val="16"/>
                <w:szCs w:val="16"/>
                <w:color w:val="auto"/>
              </w:rPr>
              <w:t>Commercial and Industrial</w:t>
            </w:r>
          </w:p>
        </w:tc>
        <w:tc>
          <w:tcPr>
            <w:tcW w:w="24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20,385</w:t>
            </w:r>
          </w:p>
        </w:tc>
        <w:tc>
          <w:tcPr>
            <w:tcW w:w="5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20,337</w:t>
            </w:r>
          </w:p>
        </w:tc>
      </w:tr>
      <w:tr>
        <w:trPr>
          <w:trHeight w:val="216"/>
        </w:trPr>
        <w:tc>
          <w:tcPr>
            <w:tcW w:w="54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Commercial Mortgage</w:t>
            </w:r>
          </w:p>
        </w:tc>
        <w:tc>
          <w:tcPr>
            <w:tcW w:w="24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12,467</w:t>
            </w:r>
          </w:p>
        </w:tc>
        <w:tc>
          <w:tcPr>
            <w:tcW w:w="5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7,605</w:t>
            </w:r>
          </w:p>
        </w:tc>
      </w:tr>
      <w:tr>
        <w:trPr>
          <w:trHeight w:val="209"/>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Commercial</w:t>
            </w:r>
          </w:p>
        </w:tc>
        <w:tc>
          <w:tcPr>
            <w:tcW w:w="2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32,852</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27,942</w:t>
            </w:r>
          </w:p>
        </w:tc>
      </w:tr>
      <w:tr>
        <w:trPr>
          <w:trHeight w:val="212"/>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Consumer</w:t>
            </w:r>
          </w:p>
        </w:tc>
        <w:tc>
          <w:tcPr>
            <w:tcW w:w="24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3"/>
        </w:trPr>
        <w:tc>
          <w:tcPr>
            <w:tcW w:w="5420" w:type="dxa"/>
            <w:vAlign w:val="bottom"/>
          </w:tcPr>
          <w:p>
            <w:pPr>
              <w:ind w:left="260"/>
              <w:spacing w:after="0"/>
              <w:rPr>
                <w:sz w:val="20"/>
                <w:szCs w:val="20"/>
                <w:color w:val="auto"/>
              </w:rPr>
            </w:pPr>
            <w:r>
              <w:rPr>
                <w:rFonts w:ascii="Arial" w:cs="Arial" w:eastAsia="Arial" w:hAnsi="Arial"/>
                <w:sz w:val="16"/>
                <w:szCs w:val="16"/>
                <w:color w:val="auto"/>
              </w:rPr>
              <w:t>Residential Mortgage</w:t>
            </w:r>
          </w:p>
        </w:tc>
        <w:tc>
          <w:tcPr>
            <w:tcW w:w="24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17,837</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18,503</w:t>
            </w:r>
          </w:p>
        </w:tc>
      </w:tr>
      <w:tr>
        <w:trPr>
          <w:trHeight w:val="219"/>
        </w:trPr>
        <w:tc>
          <w:tcPr>
            <w:tcW w:w="54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Home Equity</w:t>
            </w:r>
          </w:p>
        </w:tc>
        <w:tc>
          <w:tcPr>
            <w:tcW w:w="24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4,125</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4,070</w:t>
            </w:r>
          </w:p>
        </w:tc>
      </w:tr>
      <w:tr>
        <w:trPr>
          <w:trHeight w:val="213"/>
        </w:trPr>
        <w:tc>
          <w:tcPr>
            <w:tcW w:w="5420" w:type="dxa"/>
            <w:vAlign w:val="bottom"/>
          </w:tcPr>
          <w:p>
            <w:pPr>
              <w:ind w:left="260"/>
              <w:spacing w:after="0"/>
              <w:rPr>
                <w:sz w:val="20"/>
                <w:szCs w:val="20"/>
                <w:color w:val="auto"/>
              </w:rPr>
            </w:pPr>
            <w:r>
              <w:rPr>
                <w:rFonts w:ascii="Arial" w:cs="Arial" w:eastAsia="Arial" w:hAnsi="Arial"/>
                <w:sz w:val="16"/>
                <w:szCs w:val="16"/>
                <w:color w:val="auto"/>
              </w:rPr>
              <w:t>Automobile</w:t>
            </w:r>
          </w:p>
        </w:tc>
        <w:tc>
          <w:tcPr>
            <w:tcW w:w="24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24,803</w:t>
            </w:r>
          </w:p>
        </w:tc>
        <w:tc>
          <w:tcPr>
            <w:tcW w:w="58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19,155</w:t>
            </w:r>
          </w:p>
        </w:tc>
      </w:tr>
      <w:tr>
        <w:trPr>
          <w:trHeight w:val="219"/>
        </w:trPr>
        <w:tc>
          <w:tcPr>
            <w:tcW w:w="5420" w:type="dxa"/>
            <w:vAlign w:val="bottom"/>
            <w:tcBorders>
              <w:bottom w:val="single" w:sz="8" w:color="auto"/>
            </w:tcBorders>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24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4,458</w:t>
            </w:r>
          </w:p>
        </w:tc>
        <w:tc>
          <w:tcPr>
            <w:tcW w:w="5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2,809</w:t>
            </w:r>
          </w:p>
        </w:tc>
      </w:tr>
      <w:tr>
        <w:trPr>
          <w:trHeight w:val="207"/>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Consumer</w:t>
            </w:r>
          </w:p>
        </w:tc>
        <w:tc>
          <w:tcPr>
            <w:tcW w:w="2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51,223</w:t>
            </w:r>
          </w:p>
        </w:tc>
        <w:tc>
          <w:tcPr>
            <w:tcW w:w="5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44,537</w:t>
            </w:r>
          </w:p>
        </w:tc>
      </w:tr>
      <w:tr>
        <w:trPr>
          <w:trHeight w:val="210"/>
        </w:trPr>
        <w:tc>
          <w:tcPr>
            <w:tcW w:w="5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248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84,075</w:t>
            </w:r>
          </w:p>
        </w:tc>
        <w:tc>
          <w:tcPr>
            <w:tcW w:w="5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72,479</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Loans modified in a TDR increased by $11.6 million or 16% from December 31, 2020. The increase loan class was primarily due to an increase in Automobile and Commercial Mortgage. Automobile is our largest TDR loan class.</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began offering short-term loan and lease modifications to assist borrowers during the COVID-19 national emergency. These modifications generally involve principal and/or interest payment deferrals for up to six months. As the COVID-19 pandemic persists in negatively impacting the economy, the Company continues to offer additional loan modifications to borrowers struggling as a result of COVID-19. Similar to the initial modifications granted, the additional round of loan modifications were granted specifically under Section 4013 of the CARES Act and generally involve principal and/or interest payment deferrals for up to an additional six months for commercial and consumer loans, and principal-only deferrals for up to an additional 12 months for selected commercial loans. The CARES Act, along with a joint agency statement issued by banking regulatory agencies, provide that modifications made in response to COVID-19 are not required to be accounted for as a TDR. Accordingly, the Company does not account for such modifications as TDRs.</w:t>
      </w:r>
    </w:p>
    <w:p>
      <w:pPr>
        <w:spacing w:after="0" w:line="15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 xml:space="preserve">As of March 31, 2021, these COVID-19 related loan and lease modifications totaled $271.0 million (118 loans and leases) for the commercial segment and $51.1 million (419 loans and leases) for the consumer segment. 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Loans and Leases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Allowance for Credit Losses </w:t>
      </w:r>
      <w:r>
        <w:rPr>
          <w:rFonts w:ascii="Arial" w:cs="Arial" w:eastAsia="Arial" w:hAnsi="Arial"/>
          <w:sz w:val="18"/>
          <w:szCs w:val="18"/>
          <w:color w:val="auto"/>
        </w:rPr>
        <w:t>for more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Table 18 presents the activity in our reserve for credit losses.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Reserve for Credit Losses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18</w:t>
            </w:r>
          </w:p>
        </w:tc>
      </w:tr>
      <w:tr>
        <w:trPr>
          <w:trHeight w:val="210"/>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w w:val="99"/>
              </w:rPr>
              <w:t>Three Months Ended</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7"/>
        </w:trPr>
        <w:tc>
          <w:tcPr>
            <w:tcW w:w="6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7"/>
                <w:szCs w:val="17"/>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r>
      <w:tr>
        <w:trPr>
          <w:trHeight w:val="219"/>
        </w:trPr>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3"/>
        </w:trPr>
        <w:tc>
          <w:tcPr>
            <w:tcW w:w="6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Beginning of Period</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221,303</w:t>
            </w: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205,813</w:t>
            </w:r>
          </w:p>
        </w:tc>
        <w:tc>
          <w:tcPr>
            <w:tcW w:w="4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116,849</w:t>
            </w:r>
          </w:p>
        </w:tc>
      </w:tr>
      <w:tr>
        <w:trPr>
          <w:trHeight w:val="213"/>
        </w:trPr>
        <w:tc>
          <w:tcPr>
            <w:tcW w:w="6060" w:type="dxa"/>
            <w:vAlign w:val="bottom"/>
          </w:tcPr>
          <w:p>
            <w:pPr>
              <w:spacing w:after="0"/>
              <w:rPr>
                <w:sz w:val="20"/>
                <w:szCs w:val="20"/>
                <w:color w:val="auto"/>
              </w:rPr>
            </w:pPr>
            <w:r>
              <w:rPr>
                <w:rFonts w:ascii="Arial" w:cs="Arial" w:eastAsia="Arial" w:hAnsi="Arial"/>
                <w:sz w:val="16"/>
                <w:szCs w:val="16"/>
                <w:b w:val="1"/>
                <w:bCs w:val="1"/>
                <w:color w:val="auto"/>
              </w:rPr>
              <w:t>CECL Adoption (Day 1) Impact</w:t>
            </w:r>
          </w:p>
        </w:tc>
        <w:tc>
          <w:tcPr>
            <w:tcW w:w="38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(5,072)</w:t>
            </w:r>
          </w:p>
        </w:tc>
      </w:tr>
      <w:tr>
        <w:trPr>
          <w:trHeight w:val="21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Loans and Leases Charged-Off</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6060" w:type="dxa"/>
            <w:vAlign w:val="bottom"/>
          </w:tcPr>
          <w:p>
            <w:pPr>
              <w:ind w:left="260"/>
              <w:spacing w:after="0"/>
              <w:rPr>
                <w:sz w:val="20"/>
                <w:szCs w:val="20"/>
                <w:color w:val="auto"/>
              </w:rPr>
            </w:pPr>
            <w:r>
              <w:rPr>
                <w:rFonts w:ascii="Arial" w:cs="Arial" w:eastAsia="Arial" w:hAnsi="Arial"/>
                <w:sz w:val="16"/>
                <w:szCs w:val="16"/>
                <w:color w:val="auto"/>
              </w:rPr>
              <w:t>Commercial</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Commercial and Industrial</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(248)</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(177)</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(693)</w:t>
            </w:r>
          </w:p>
        </w:tc>
      </w:tr>
      <w:tr>
        <w:trPr>
          <w:trHeight w:val="213"/>
        </w:trPr>
        <w:tc>
          <w:tcPr>
            <w:tcW w:w="6060" w:type="dxa"/>
            <w:vAlign w:val="bottom"/>
          </w:tcPr>
          <w:p>
            <w:pPr>
              <w:ind w:left="260"/>
              <w:spacing w:after="0"/>
              <w:rPr>
                <w:sz w:val="20"/>
                <w:szCs w:val="20"/>
                <w:color w:val="auto"/>
              </w:rPr>
            </w:pPr>
            <w:r>
              <w:rPr>
                <w:rFonts w:ascii="Arial" w:cs="Arial" w:eastAsia="Arial" w:hAnsi="Arial"/>
                <w:sz w:val="16"/>
                <w:szCs w:val="16"/>
                <w:color w:val="auto"/>
              </w:rPr>
              <w:t>Consumer</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Mortgage</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(120)</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w:t>
            </w:r>
          </w:p>
        </w:tc>
      </w:tr>
      <w:tr>
        <w:trPr>
          <w:trHeight w:val="213"/>
        </w:trPr>
        <w:tc>
          <w:tcPr>
            <w:tcW w:w="6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(81)</w:t>
            </w:r>
          </w:p>
        </w:tc>
        <w:tc>
          <w:tcPr>
            <w:tcW w:w="4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9"/>
        </w:trPr>
        <w:tc>
          <w:tcPr>
            <w:tcW w:w="6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Automobile</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(2,109)</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(393)</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(2,500)</w:t>
            </w:r>
          </w:p>
        </w:tc>
      </w:tr>
      <w:tr>
        <w:trPr>
          <w:trHeight w:val="216"/>
        </w:trPr>
        <w:tc>
          <w:tcPr>
            <w:tcW w:w="6060" w:type="dxa"/>
            <w:vAlign w:val="bottom"/>
            <w:tcBorders>
              <w:bottom w:val="single" w:sz="8" w:color="auto"/>
            </w:tcBorders>
          </w:tcPr>
          <w:p>
            <w:pPr>
              <w:ind w:left="50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(3,914)</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(2,460)</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(3,964)</w:t>
            </w:r>
          </w:p>
        </w:tc>
      </w:tr>
      <w:tr>
        <w:trPr>
          <w:trHeight w:val="207"/>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Loans and Leases Charged-Off</w:t>
            </w: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(6,291)</w:t>
            </w:r>
          </w:p>
        </w:tc>
        <w:tc>
          <w:tcPr>
            <w:tcW w:w="4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(3,231)</w:t>
            </w:r>
          </w:p>
        </w:tc>
        <w:tc>
          <w:tcPr>
            <w:tcW w:w="4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(7,177)</w:t>
            </w:r>
          </w:p>
        </w:tc>
      </w:tr>
      <w:tr>
        <w:trPr>
          <w:trHeight w:val="209"/>
        </w:trPr>
        <w:tc>
          <w:tcPr>
            <w:tcW w:w="6060" w:type="dxa"/>
            <w:vAlign w:val="bottom"/>
          </w:tcPr>
          <w:p>
            <w:pPr>
              <w:spacing w:after="0"/>
              <w:rPr>
                <w:sz w:val="20"/>
                <w:szCs w:val="20"/>
                <w:color w:val="auto"/>
              </w:rPr>
            </w:pPr>
            <w:r>
              <w:rPr>
                <w:rFonts w:ascii="Arial" w:cs="Arial" w:eastAsia="Arial" w:hAnsi="Arial"/>
                <w:sz w:val="16"/>
                <w:szCs w:val="16"/>
                <w:color w:val="auto"/>
              </w:rPr>
              <w:t>Recoveries on Loans and Leases Previously Charged-Off</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606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8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112</w:t>
            </w:r>
          </w:p>
        </w:tc>
        <w:tc>
          <w:tcPr>
            <w:tcW w:w="400" w:type="dxa"/>
            <w:vAlign w:val="bottom"/>
          </w:tcPr>
          <w:p>
            <w:pPr>
              <w:spacing w:after="0"/>
              <w:rPr>
                <w:sz w:val="18"/>
                <w:szCs w:val="18"/>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244</w:t>
            </w:r>
          </w:p>
        </w:tc>
        <w:tc>
          <w:tcPr>
            <w:tcW w:w="4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289</w:t>
            </w:r>
          </w:p>
        </w:tc>
      </w:tr>
      <w:tr>
        <w:trPr>
          <w:trHeight w:val="219"/>
        </w:trPr>
        <w:tc>
          <w:tcPr>
            <w:tcW w:w="6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Commercial Mortgage</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w:t>
            </w:r>
          </w:p>
        </w:tc>
      </w:tr>
      <w:tr>
        <w:trPr>
          <w:trHeight w:val="213"/>
        </w:trPr>
        <w:tc>
          <w:tcPr>
            <w:tcW w:w="6060" w:type="dxa"/>
            <w:vAlign w:val="bottom"/>
          </w:tcPr>
          <w:p>
            <w:pPr>
              <w:ind w:left="260"/>
              <w:spacing w:after="0"/>
              <w:rPr>
                <w:sz w:val="20"/>
                <w:szCs w:val="20"/>
                <w:color w:val="auto"/>
              </w:rPr>
            </w:pPr>
            <w:r>
              <w:rPr>
                <w:rFonts w:ascii="Arial" w:cs="Arial" w:eastAsia="Arial" w:hAnsi="Arial"/>
                <w:sz w:val="16"/>
                <w:szCs w:val="16"/>
                <w:color w:val="auto"/>
              </w:rPr>
              <w:t>Consumer</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Residential Mortgage</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955</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497</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263</w:t>
            </w:r>
          </w:p>
        </w:tc>
      </w:tr>
      <w:tr>
        <w:trPr>
          <w:trHeight w:val="213"/>
        </w:trPr>
        <w:tc>
          <w:tcPr>
            <w:tcW w:w="606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38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533</w:t>
            </w:r>
          </w:p>
        </w:tc>
        <w:tc>
          <w:tcPr>
            <w:tcW w:w="400" w:type="dxa"/>
            <w:vAlign w:val="bottom"/>
          </w:tcPr>
          <w:p>
            <w:pPr>
              <w:spacing w:after="0"/>
              <w:rPr>
                <w:sz w:val="18"/>
                <w:szCs w:val="18"/>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868</w:t>
            </w:r>
          </w:p>
        </w:tc>
        <w:tc>
          <w:tcPr>
            <w:tcW w:w="4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976</w:t>
            </w:r>
          </w:p>
        </w:tc>
      </w:tr>
      <w:tr>
        <w:trPr>
          <w:trHeight w:val="219"/>
        </w:trPr>
        <w:tc>
          <w:tcPr>
            <w:tcW w:w="6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Automobile</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919</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910</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1,005</w:t>
            </w:r>
          </w:p>
        </w:tc>
      </w:tr>
      <w:tr>
        <w:trPr>
          <w:trHeight w:val="216"/>
        </w:trPr>
        <w:tc>
          <w:tcPr>
            <w:tcW w:w="6060" w:type="dxa"/>
            <w:vAlign w:val="bottom"/>
            <w:tcBorders>
              <w:bottom w:val="single" w:sz="8" w:color="auto"/>
            </w:tcBorders>
          </w:tcPr>
          <w:p>
            <w:pPr>
              <w:ind w:left="500"/>
              <w:spacing w:after="0" w:line="216" w:lineRule="exact"/>
              <w:rPr>
                <w:sz w:val="20"/>
                <w:szCs w:val="20"/>
                <w:color w:val="auto"/>
              </w:rPr>
            </w:pPr>
            <w:r>
              <w:rPr>
                <w:rFonts w:ascii="Arial" w:cs="Arial" w:eastAsia="Arial" w:hAnsi="Arial"/>
                <w:sz w:val="15"/>
                <w:szCs w:val="15"/>
                <w:color w:val="auto"/>
              </w:rPr>
              <w:t xml:space="preserve">Other </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856</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968</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864</w:t>
            </w:r>
          </w:p>
        </w:tc>
      </w:tr>
      <w:tr>
        <w:trPr>
          <w:trHeight w:val="196"/>
        </w:trPr>
        <w:tc>
          <w:tcPr>
            <w:tcW w:w="6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Recoveries on Loans and Leases Previously</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3"/>
        </w:trPr>
        <w:tc>
          <w:tcPr>
            <w:tcW w:w="60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Charged-Off</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3,375</w:t>
            </w: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3,487</w:t>
            </w: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3,437</w:t>
            </w:r>
          </w:p>
        </w:tc>
      </w:tr>
      <w:tr>
        <w:trPr>
          <w:trHeight w:val="210"/>
        </w:trPr>
        <w:tc>
          <w:tcPr>
            <w:tcW w:w="6060" w:type="dxa"/>
            <w:vAlign w:val="bottom"/>
          </w:tcPr>
          <w:p>
            <w:pPr>
              <w:spacing w:after="0"/>
              <w:rPr>
                <w:sz w:val="20"/>
                <w:szCs w:val="20"/>
                <w:color w:val="auto"/>
              </w:rPr>
            </w:pPr>
            <w:r>
              <w:rPr>
                <w:rFonts w:ascii="Arial" w:cs="Arial" w:eastAsia="Arial" w:hAnsi="Arial"/>
                <w:sz w:val="16"/>
                <w:szCs w:val="16"/>
                <w:color w:val="auto"/>
              </w:rPr>
              <w:t>Net Charged-Off - Loans and Leases</w:t>
            </w: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(2,916)</w:t>
            </w:r>
          </w:p>
        </w:tc>
        <w:tc>
          <w:tcPr>
            <w:tcW w:w="400" w:type="dxa"/>
            <w:vAlign w:val="bottom"/>
          </w:tcPr>
          <w:p>
            <w:pPr>
              <w:spacing w:after="0"/>
              <w:rPr>
                <w:sz w:val="18"/>
                <w:szCs w:val="18"/>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256</w:t>
            </w:r>
          </w:p>
        </w:tc>
        <w:tc>
          <w:tcPr>
            <w:tcW w:w="4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(3,740)</w:t>
            </w:r>
          </w:p>
        </w:tc>
      </w:tr>
      <w:tr>
        <w:trPr>
          <w:trHeight w:val="21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Net Charged-Off - Accrued Interest Receivable</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(308)</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3"/>
        </w:trPr>
        <w:tc>
          <w:tcPr>
            <w:tcW w:w="6060" w:type="dxa"/>
            <w:vAlign w:val="bottom"/>
          </w:tcPr>
          <w:p>
            <w:pPr>
              <w:spacing w:after="0"/>
              <w:rPr>
                <w:sz w:val="20"/>
                <w:szCs w:val="20"/>
                <w:color w:val="auto"/>
              </w:rPr>
            </w:pPr>
            <w:r>
              <w:rPr>
                <w:rFonts w:ascii="Arial" w:cs="Arial" w:eastAsia="Arial" w:hAnsi="Arial"/>
                <w:sz w:val="16"/>
                <w:szCs w:val="16"/>
                <w:color w:val="auto"/>
              </w:rPr>
              <w:t>Provision for Credit Losses: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Loans and Leases</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(14,993)</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12,500</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33,600</w:t>
            </w:r>
          </w:p>
        </w:tc>
      </w:tr>
      <w:tr>
        <w:trPr>
          <w:trHeight w:val="216"/>
        </w:trPr>
        <w:tc>
          <w:tcPr>
            <w:tcW w:w="606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Accrued Interest Receivable </w:t>
            </w:r>
            <w:r>
              <w:rPr>
                <w:rFonts w:ascii="Arial" w:cs="Arial" w:eastAsia="Arial" w:hAnsi="Arial"/>
                <w:sz w:val="25"/>
                <w:szCs w:val="25"/>
                <w:color w:val="auto"/>
                <w:vertAlign w:val="superscript"/>
              </w:rPr>
              <w:t>2</w:t>
            </w:r>
          </w:p>
        </w:tc>
        <w:tc>
          <w:tcPr>
            <w:tcW w:w="38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2,700</w:t>
            </w:r>
          </w:p>
        </w:tc>
        <w:tc>
          <w:tcPr>
            <w:tcW w:w="46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16"/>
        </w:trPr>
        <w:tc>
          <w:tcPr>
            <w:tcW w:w="6060" w:type="dxa"/>
            <w:vAlign w:val="bottom"/>
            <w:tcBorders>
              <w:bottom w:val="single" w:sz="8" w:color="auto"/>
            </w:tcBorders>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Unfunded Commitments </w:t>
            </w:r>
            <w:r>
              <w:rPr>
                <w:rFonts w:ascii="Arial" w:cs="Arial" w:eastAsia="Arial" w:hAnsi="Arial"/>
                <w:sz w:val="25"/>
                <w:szCs w:val="25"/>
                <w:color w:val="auto"/>
                <w:vertAlign w:val="superscript"/>
              </w:rPr>
              <w:t>3</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693</w:t>
            </w: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34</w:t>
            </w:r>
          </w:p>
        </w:tc>
        <w:tc>
          <w:tcPr>
            <w:tcW w:w="4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(170)</w:t>
            </w:r>
          </w:p>
        </w:tc>
      </w:tr>
      <w:tr>
        <w:trPr>
          <w:trHeight w:val="247"/>
        </w:trPr>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at End of Period</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203,779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221,303</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141,467</w:t>
            </w:r>
          </w:p>
        </w:tc>
      </w:tr>
      <w:tr>
        <w:trPr>
          <w:trHeight w:val="199"/>
        </w:trPr>
        <w:tc>
          <w:tcPr>
            <w:tcW w:w="6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Components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3"/>
        </w:trPr>
        <w:tc>
          <w:tcPr>
            <w:tcW w:w="6060" w:type="dxa"/>
            <w:vAlign w:val="bottom"/>
          </w:tcPr>
          <w:p>
            <w:pPr>
              <w:ind w:left="260"/>
              <w:spacing w:after="0"/>
              <w:rPr>
                <w:sz w:val="20"/>
                <w:szCs w:val="20"/>
                <w:color w:val="auto"/>
              </w:rPr>
            </w:pPr>
            <w:r>
              <w:rPr>
                <w:rFonts w:ascii="Arial" w:cs="Arial" w:eastAsia="Arial" w:hAnsi="Arial"/>
                <w:sz w:val="16"/>
                <w:szCs w:val="16"/>
                <w:color w:val="auto"/>
              </w:rPr>
              <w:t>Allowance for Credit Losses - Loans and Leases</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198,343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216,252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138,150</w:t>
            </w:r>
          </w:p>
        </w:tc>
      </w:tr>
      <w:tr>
        <w:trPr>
          <w:trHeight w:val="219"/>
        </w:trPr>
        <w:tc>
          <w:tcPr>
            <w:tcW w:w="606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Allowance for Credit Losses - Accrued Interest Receivable </w:t>
            </w:r>
            <w:r>
              <w:rPr>
                <w:rFonts w:ascii="Arial" w:cs="Arial" w:eastAsia="Arial" w:hAnsi="Arial"/>
                <w:sz w:val="25"/>
                <w:szCs w:val="25"/>
                <w:color w:val="auto"/>
                <w:vertAlign w:val="superscript"/>
              </w:rPr>
              <w:t>2</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2,392</w:t>
            </w: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2,700</w:t>
            </w: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16"/>
        </w:trPr>
        <w:tc>
          <w:tcPr>
            <w:tcW w:w="6060" w:type="dxa"/>
            <w:vAlign w:val="bottom"/>
            <w:tcBorders>
              <w:bottom w:val="single" w:sz="8" w:color="auto"/>
            </w:tcBorders>
          </w:tcPr>
          <w:p>
            <w:pPr>
              <w:ind w:left="260"/>
              <w:spacing w:after="0" w:line="216" w:lineRule="exact"/>
              <w:rPr>
                <w:sz w:val="20"/>
                <w:szCs w:val="20"/>
                <w:color w:val="auto"/>
              </w:rPr>
            </w:pPr>
            <w:r>
              <w:rPr>
                <w:rFonts w:ascii="Arial" w:cs="Arial" w:eastAsia="Arial" w:hAnsi="Arial"/>
                <w:sz w:val="15"/>
                <w:szCs w:val="15"/>
                <w:color w:val="auto"/>
              </w:rPr>
              <w:t xml:space="preserve">Reserve for Unfunded Commitments </w:t>
            </w:r>
            <w:r>
              <w:rPr>
                <w:rFonts w:ascii="Arial" w:cs="Arial" w:eastAsia="Arial" w:hAnsi="Arial"/>
                <w:sz w:val="25"/>
                <w:szCs w:val="25"/>
                <w:color w:val="auto"/>
                <w:vertAlign w:val="superscript"/>
              </w:rPr>
              <w:t>3</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3,044</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2,351</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3,317</w:t>
            </w:r>
          </w:p>
        </w:tc>
      </w:tr>
      <w:tr>
        <w:trPr>
          <w:trHeight w:val="207"/>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Total Reserve for Credit Losses</w:t>
            </w:r>
          </w:p>
        </w:tc>
        <w:tc>
          <w:tcPr>
            <w:tcW w:w="380" w:type="dxa"/>
            <w:vAlign w:val="bottom"/>
            <w:tcBorders>
              <w:bottom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203,779</w:t>
            </w:r>
          </w:p>
        </w:tc>
        <w:tc>
          <w:tcPr>
            <w:tcW w:w="4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221,303</w:t>
            </w:r>
          </w:p>
        </w:tc>
        <w:tc>
          <w:tcPr>
            <w:tcW w:w="46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141,467</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6"/>
        </w:trPr>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Average Loans and Leases Outstanding</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11,952,587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11,835,929</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11,060,707</w:t>
            </w: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Ratio of Net Loans and Leases Charged-Off (Recovered) to</w:t>
            </w: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212"/>
        </w:trPr>
        <w:tc>
          <w:tcPr>
            <w:tcW w:w="6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Average Loans and Leases Outstanding (annualized)</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(0.01)%</w:t>
            </w:r>
          </w:p>
        </w:tc>
        <w:tc>
          <w:tcPr>
            <w:tcW w:w="4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r>
      <w:tr>
        <w:trPr>
          <w:trHeight w:val="206"/>
        </w:trPr>
        <w:tc>
          <w:tcPr>
            <w:tcW w:w="6060" w:type="dxa"/>
            <w:vAlign w:val="bottom"/>
          </w:tcPr>
          <w:p>
            <w:pPr>
              <w:spacing w:after="0"/>
              <w:rPr>
                <w:sz w:val="20"/>
                <w:szCs w:val="20"/>
                <w:color w:val="auto"/>
              </w:rPr>
            </w:pPr>
            <w:r>
              <w:rPr>
                <w:rFonts w:ascii="Arial" w:cs="Arial" w:eastAsia="Arial" w:hAnsi="Arial"/>
                <w:sz w:val="16"/>
                <w:szCs w:val="16"/>
                <w:color w:val="auto"/>
              </w:rPr>
              <w:t>Ratio of Allowance for Credit Losses to</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6060" w:type="dxa"/>
            <w:vAlign w:val="bottom"/>
          </w:tcPr>
          <w:p>
            <w:pPr>
              <w:ind w:left="120"/>
              <w:spacing w:after="0"/>
              <w:rPr>
                <w:sz w:val="20"/>
                <w:szCs w:val="20"/>
                <w:color w:val="auto"/>
              </w:rPr>
            </w:pPr>
            <w:r>
              <w:rPr>
                <w:rFonts w:ascii="Arial" w:cs="Arial" w:eastAsia="Arial" w:hAnsi="Arial"/>
                <w:sz w:val="16"/>
                <w:szCs w:val="16"/>
                <w:color w:val="auto"/>
              </w:rPr>
              <w:t>Loans and Leases Outstanding</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w:t>
            </w:r>
          </w:p>
        </w:tc>
        <w:tc>
          <w:tcPr>
            <w:tcW w:w="400" w:type="dxa"/>
            <w:vAlign w:val="bottom"/>
          </w:tcPr>
          <w:p>
            <w:pPr>
              <w:spacing w:after="0"/>
              <w:rPr>
                <w:sz w:val="17"/>
                <w:szCs w:val="17"/>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1.81%</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w:t>
            </w:r>
          </w:p>
        </w:tc>
      </w:tr>
    </w:tbl>
    <w:p>
      <w:pPr>
        <w:spacing w:after="0" w:line="54"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2"/>
          <w:szCs w:val="12"/>
          <w:color w:val="auto"/>
        </w:rPr>
      </w:pPr>
      <w:r>
        <w:rPr>
          <w:rFonts w:ascii="Arial" w:cs="Arial" w:eastAsia="Arial" w:hAnsi="Arial"/>
          <w:sz w:val="14"/>
          <w:szCs w:val="14"/>
          <w:color w:val="auto"/>
        </w:rPr>
        <w:t>Comprised of other revolving credit, installment, and lease financing.</w:t>
      </w:r>
    </w:p>
    <w:p>
      <w:pPr>
        <w:ind w:left="180" w:right="140" w:hanging="172"/>
        <w:spacing w:after="0" w:line="221" w:lineRule="auto"/>
        <w:tabs>
          <w:tab w:leader="none" w:pos="180" w:val="left"/>
        </w:tabs>
        <w:numPr>
          <w:ilvl w:val="0"/>
          <w:numId w:val="43"/>
        </w:numPr>
        <w:rPr>
          <w:rFonts w:ascii="Arial" w:cs="Arial" w:eastAsia="Arial" w:hAnsi="Arial"/>
          <w:sz w:val="12"/>
          <w:szCs w:val="12"/>
          <w:color w:val="auto"/>
        </w:rPr>
      </w:pPr>
      <w:r>
        <w:rPr>
          <w:rFonts w:ascii="Arial" w:cs="Arial" w:eastAsia="Arial" w:hAnsi="Arial"/>
          <w:sz w:val="14"/>
          <w:szCs w:val="14"/>
          <w:color w:val="auto"/>
        </w:rPr>
        <w:t>Beginning December 31, 2020, the Company established a reserve on accrued interest receivable related to loans in which interest payment forbearances were granted to borrowers impacted by the COVID-19 pandemic. The reserve was recorded as a contra-asset against accrued interest receivable with the offset to provision for credit losses.</w:t>
      </w:r>
    </w:p>
    <w:p>
      <w:pPr>
        <w:spacing w:after="0" w:line="1" w:lineRule="exact"/>
        <w:rPr>
          <w:sz w:val="20"/>
          <w:szCs w:val="20"/>
          <w:color w:val="auto"/>
        </w:rPr>
      </w:pPr>
    </w:p>
    <w:p>
      <w:pPr>
        <w:jc w:val="both"/>
        <w:ind w:left="180" w:right="480" w:hanging="172"/>
        <w:spacing w:after="0" w:line="278" w:lineRule="auto"/>
        <w:tabs>
          <w:tab w:leader="none" w:pos="180" w:val="left"/>
        </w:tabs>
        <w:numPr>
          <w:ilvl w:val="0"/>
          <w:numId w:val="44"/>
        </w:numPr>
        <w:rPr>
          <w:rFonts w:ascii="Arial" w:cs="Arial" w:eastAsia="Arial" w:hAnsi="Arial"/>
          <w:sz w:val="12"/>
          <w:szCs w:val="12"/>
          <w:color w:val="auto"/>
        </w:rPr>
      </w:pPr>
      <w:r>
        <w:rPr>
          <w:rFonts w:ascii="Arial" w:cs="Arial" w:eastAsia="Arial" w:hAnsi="Arial"/>
          <w:sz w:val="14"/>
          <w:szCs w:val="14"/>
          <w:color w:val="auto"/>
        </w:rPr>
        <w:t>The reserve for unfunded commitments is separately recorded in other liabilities in the consolidated statements of condition. For the three months ended March 31, 2021, the offsetting provision was recorded in provision for credit losses in the consolidated statements of income. In previous reporting periods, the offsetting provision was recorded in other noninterest expense.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a reserve for credit losses that consists of the Allowance and a reserve for unfunded commitments (the “Unfunded Reserve”). As of December 31, 2020, the reserve for credit losses also includes a reserve for accrued interest receivable related to loans in which interest payment forbearances were granted to borrowers impacted by the COVID-19 pandemic. The reserve for credit losses provides for the risk of credit losses expected in the loan and lease portfolio and is based on loss estimates derived from a comprehensive quarterly evaluation. The evaluation reflects analyses of individual borrowers for impairment coupled with analysis of historical loss experience in various loan pools that have been grouped based on similar risk characteristics, supplemented as necessary by credit judgment that considers observable trends, conditions, reasonable and supportable forecasts, and other relevant environmental and economic factors. The level of the Allowance is adjusted by recording an expense or recovery through the Provision. The level of the Unfunded Reserve is adjusted by recording an expense or recovery in the Provision. See Note 1 to the Consolidated Financial Statements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Loans and Leases</w:t>
      </w:r>
    </w:p>
    <w:p>
      <w:pPr>
        <w:spacing w:after="0" w:line="19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of March 31, 2021, the Allowance was $198.3 million or 1.63% of total loans and leases outstanding (1.77% excluding PPP loans), compared with an Allowance of $216.3 million or 1.81% of total loans and leases outstanding (1.89% excluding PPP loans) as of December 31, 2020. The decrease in the Allowance and the ratio of Allowance to loans and leases outstanding was primarily due to management’s best estimate of losses over the life of loans and leases in our portfolio in accordance with the CECL approach, given the economic outlook and forecasts for COVID-19 pandemic driven market changes, as well as the impact of unprecedented intervention of fiscal, monetary and regulatory programs.</w:t>
      </w:r>
    </w:p>
    <w:p>
      <w:pPr>
        <w:spacing w:after="0" w:line="136"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Net charge-off on loans and leases were $2.9 million or 0.10% of total average loans and leases, on an annualized basis, in the first quarter of 2021 compared to net charge-offs of $3.7 million or 0.14% of total average loans and leases, on an annualized basis, in the first quarter of 2020.</w:t>
      </w:r>
    </w:p>
    <w:p>
      <w:pPr>
        <w:spacing w:after="0" w:line="8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March 31, 2021, based on our ongoing analysis of expected credit losses, credit risk profiles, economic conditions, coverage ratios, and other relevant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Accrued Interest Receivable</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mentioned above, this allowance was first established on December 31, 2020 for accrued interest receivable related to loans in which interest payment forbearances were granted to borrowers impacted by the COVID-19 pandemic. The allowance for accrued interest receivable was $2.4 million as of March 31, 2021, a decrease of $0.3 million or 11% from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Unfunded Reserve was $3.0 million as of March 31, 2021, an increase of $0.7 million or 29% from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4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57" w:lineRule="exact"/>
        <w:rPr>
          <w:sz w:val="20"/>
          <w:szCs w:val="20"/>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18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3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prepayment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We utilize net interest income simulations to analyze income sensitivities to changes in interest rates. Table 19 presents, as of March 31, 2021, and December 31, 2020, an estimate of the change in net interest income that would result from a gradual and immediate change in interest rates, moving in a parallel shock over the entire yield curve, relative to the measured base case scenario. The base case scenario assumes the statement of condition and interest rates are generally unchanged. Based on our net interest income simulation as of March 31, 2021, net interest income is expected to increase as interest rates rise.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March 31, 2021, net interest income sensitivity to changes in interest rates as of March 31, 2021, was slightly more sensitive in comparison to the sensitivity profile as of December 31,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Interest Income Sensitivity Profile</w:t>
            </w:r>
          </w:p>
        </w:tc>
        <w:tc>
          <w:tcPr>
            <w:tcW w:w="4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Table 19</w:t>
            </w:r>
          </w:p>
        </w:tc>
      </w:tr>
      <w:tr>
        <w:trPr>
          <w:trHeight w:val="207"/>
        </w:trPr>
        <w:tc>
          <w:tcPr>
            <w:tcW w:w="5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Impact on Future Annual Net Interest Income</w:t>
            </w:r>
          </w:p>
        </w:tc>
        <w:tc>
          <w:tcPr>
            <w:tcW w:w="800" w:type="dxa"/>
            <w:vAlign w:val="bottom"/>
            <w:tcBorders>
              <w:bottom w:val="single" w:sz="8" w:color="auto"/>
            </w:tcBorders>
          </w:tcPr>
          <w:p>
            <w:pPr>
              <w:spacing w:after="0"/>
              <w:rPr>
                <w:sz w:val="17"/>
                <w:szCs w:val="17"/>
                <w:color w:val="auto"/>
              </w:rPr>
            </w:pPr>
          </w:p>
        </w:tc>
      </w:tr>
      <w:tr>
        <w:trPr>
          <w:trHeight w:val="212"/>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4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2021</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c>
          <w:tcPr>
            <w:tcW w:w="800" w:type="dxa"/>
            <w:vAlign w:val="bottom"/>
            <w:tcBorders>
              <w:bottom w:val="single" w:sz="8" w:color="auto"/>
            </w:tcBorders>
          </w:tcPr>
          <w:p>
            <w:pPr>
              <w:spacing w:after="0"/>
              <w:rPr>
                <w:sz w:val="18"/>
                <w:szCs w:val="18"/>
                <w:color w:val="auto"/>
              </w:rPr>
            </w:pPr>
          </w:p>
        </w:tc>
      </w:tr>
      <w:tr>
        <w:trPr>
          <w:trHeight w:val="212"/>
        </w:trPr>
        <w:tc>
          <w:tcPr>
            <w:tcW w:w="5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+200</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839"/>
              <w:spacing w:after="0"/>
              <w:rPr>
                <w:sz w:val="20"/>
                <w:szCs w:val="20"/>
                <w:color w:val="auto"/>
              </w:rPr>
            </w:pPr>
            <w:r>
              <w:rPr>
                <w:rFonts w:ascii="Arial" w:cs="Arial" w:eastAsia="Arial" w:hAnsi="Arial"/>
                <w:sz w:val="16"/>
                <w:szCs w:val="16"/>
                <w:color w:val="auto"/>
              </w:rPr>
              <w:t>24,987</w:t>
            </w: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21,584</w:t>
            </w: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839"/>
              <w:spacing w:after="0"/>
              <w:rPr>
                <w:sz w:val="20"/>
                <w:szCs w:val="20"/>
                <w:color w:val="auto"/>
              </w:rPr>
            </w:pPr>
            <w:r>
              <w:rPr>
                <w:rFonts w:ascii="Arial" w:cs="Arial" w:eastAsia="Arial" w:hAnsi="Arial"/>
                <w:sz w:val="16"/>
                <w:szCs w:val="16"/>
                <w:color w:val="auto"/>
              </w:rPr>
              <w:t>12,777</w:t>
            </w:r>
          </w:p>
        </w:tc>
        <w:tc>
          <w:tcPr>
            <w:tcW w:w="7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2.7</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10,776</w:t>
            </w: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2.3</w:t>
            </w: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-100</w:t>
            </w:r>
          </w:p>
        </w:tc>
        <w:tc>
          <w:tcPr>
            <w:tcW w:w="400" w:type="dxa"/>
            <w:vAlign w:val="bottom"/>
          </w:tcPr>
          <w:p>
            <w:pPr>
              <w:spacing w:after="0"/>
              <w:rPr>
                <w:sz w:val="18"/>
                <w:szCs w:val="18"/>
                <w:color w:val="auto"/>
              </w:rPr>
            </w:pPr>
          </w:p>
        </w:tc>
        <w:tc>
          <w:tcPr>
            <w:tcW w:w="1740" w:type="dxa"/>
            <w:vAlign w:val="bottom"/>
          </w:tcPr>
          <w:p>
            <w:pPr>
              <w:jc w:val="right"/>
              <w:ind w:right="779"/>
              <w:spacing w:after="0"/>
              <w:rPr>
                <w:sz w:val="20"/>
                <w:szCs w:val="20"/>
                <w:color w:val="auto"/>
              </w:rPr>
            </w:pPr>
            <w:r>
              <w:rPr>
                <w:rFonts w:ascii="Arial" w:cs="Arial" w:eastAsia="Arial" w:hAnsi="Arial"/>
                <w:sz w:val="16"/>
                <w:szCs w:val="16"/>
                <w:color w:val="auto"/>
              </w:rPr>
              <w:t>(5,844)</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8"/>
                <w:szCs w:val="18"/>
                <w:color w:val="auto"/>
              </w:rPr>
            </w:pPr>
          </w:p>
        </w:tc>
        <w:tc>
          <w:tcPr>
            <w:tcW w:w="1680" w:type="dxa"/>
            <w:vAlign w:val="bottom"/>
          </w:tcPr>
          <w:p>
            <w:pPr>
              <w:jc w:val="right"/>
              <w:ind w:right="699"/>
              <w:spacing w:after="0"/>
              <w:rPr>
                <w:sz w:val="20"/>
                <w:szCs w:val="20"/>
                <w:color w:val="auto"/>
              </w:rPr>
            </w:pPr>
            <w:r>
              <w:rPr>
                <w:rFonts w:ascii="Arial" w:cs="Arial" w:eastAsia="Arial" w:hAnsi="Arial"/>
                <w:sz w:val="16"/>
                <w:szCs w:val="16"/>
                <w:color w:val="auto"/>
              </w:rPr>
              <w:t>(3,547)</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6"/>
                <w:szCs w:val="16"/>
                <w:color w:val="auto"/>
              </w:rPr>
              <w:t>+200</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839"/>
              <w:spacing w:after="0"/>
              <w:rPr>
                <w:sz w:val="20"/>
                <w:szCs w:val="20"/>
                <w:color w:val="auto"/>
              </w:rPr>
            </w:pPr>
            <w:r>
              <w:rPr>
                <w:rFonts w:ascii="Arial" w:cs="Arial" w:eastAsia="Arial" w:hAnsi="Arial"/>
                <w:sz w:val="16"/>
                <w:szCs w:val="16"/>
                <w:color w:val="auto"/>
              </w:rPr>
              <w:t>59,946</w:t>
            </w: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759"/>
              <w:spacing w:after="0"/>
              <w:rPr>
                <w:sz w:val="20"/>
                <w:szCs w:val="20"/>
                <w:color w:val="auto"/>
              </w:rPr>
            </w:pPr>
            <w:r>
              <w:rPr>
                <w:rFonts w:ascii="Arial" w:cs="Arial" w:eastAsia="Arial" w:hAnsi="Arial"/>
                <w:sz w:val="16"/>
                <w:szCs w:val="16"/>
                <w:color w:val="auto"/>
              </w:rPr>
              <w:t>56,113</w:t>
            </w:r>
          </w:p>
        </w:tc>
        <w:tc>
          <w:tcPr>
            <w:tcW w:w="8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9"/>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839"/>
              <w:spacing w:after="0"/>
              <w:rPr>
                <w:sz w:val="20"/>
                <w:szCs w:val="20"/>
                <w:color w:val="auto"/>
              </w:rPr>
            </w:pPr>
            <w:r>
              <w:rPr>
                <w:rFonts w:ascii="Arial" w:cs="Arial" w:eastAsia="Arial" w:hAnsi="Arial"/>
                <w:sz w:val="16"/>
                <w:szCs w:val="16"/>
                <w:color w:val="auto"/>
              </w:rPr>
              <w:t>33,278</w:t>
            </w:r>
          </w:p>
        </w:tc>
        <w:tc>
          <w:tcPr>
            <w:tcW w:w="7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7.0</w:t>
            </w:r>
          </w:p>
        </w:tc>
        <w:tc>
          <w:tcPr>
            <w:tcW w:w="4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759"/>
              <w:spacing w:after="0"/>
              <w:rPr>
                <w:sz w:val="20"/>
                <w:szCs w:val="20"/>
                <w:color w:val="auto"/>
              </w:rPr>
            </w:pPr>
            <w:r>
              <w:rPr>
                <w:rFonts w:ascii="Arial" w:cs="Arial" w:eastAsia="Arial" w:hAnsi="Arial"/>
                <w:sz w:val="16"/>
                <w:szCs w:val="16"/>
                <w:color w:val="auto"/>
              </w:rPr>
              <w:t>30,439</w:t>
            </w:r>
          </w:p>
        </w:tc>
        <w:tc>
          <w:tcPr>
            <w:tcW w:w="8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6.5</w:t>
            </w:r>
          </w:p>
        </w:tc>
      </w:tr>
      <w:tr>
        <w:trPr>
          <w:trHeight w:val="210"/>
        </w:trPr>
        <w:tc>
          <w:tcPr>
            <w:tcW w:w="5380" w:type="dxa"/>
            <w:vAlign w:val="bottom"/>
          </w:tcPr>
          <w:p>
            <w:pPr>
              <w:spacing w:after="0"/>
              <w:rPr>
                <w:sz w:val="20"/>
                <w:szCs w:val="20"/>
                <w:color w:val="auto"/>
              </w:rPr>
            </w:pPr>
            <w:r>
              <w:rPr>
                <w:rFonts w:ascii="Arial" w:cs="Arial" w:eastAsia="Arial" w:hAnsi="Arial"/>
                <w:sz w:val="16"/>
                <w:szCs w:val="16"/>
                <w:color w:val="auto"/>
              </w:rPr>
              <w:t>-100</w:t>
            </w:r>
          </w:p>
        </w:tc>
        <w:tc>
          <w:tcPr>
            <w:tcW w:w="400" w:type="dxa"/>
            <w:vAlign w:val="bottom"/>
          </w:tcPr>
          <w:p>
            <w:pPr>
              <w:spacing w:after="0"/>
              <w:rPr>
                <w:sz w:val="18"/>
                <w:szCs w:val="18"/>
                <w:color w:val="auto"/>
              </w:rPr>
            </w:pPr>
          </w:p>
        </w:tc>
        <w:tc>
          <w:tcPr>
            <w:tcW w:w="1740" w:type="dxa"/>
            <w:vAlign w:val="bottom"/>
          </w:tcPr>
          <w:p>
            <w:pPr>
              <w:jc w:val="right"/>
              <w:ind w:right="779"/>
              <w:spacing w:after="0"/>
              <w:rPr>
                <w:sz w:val="20"/>
                <w:szCs w:val="20"/>
                <w:color w:val="auto"/>
              </w:rPr>
            </w:pPr>
            <w:r>
              <w:rPr>
                <w:rFonts w:ascii="Arial" w:cs="Arial" w:eastAsia="Arial" w:hAnsi="Arial"/>
                <w:sz w:val="16"/>
                <w:szCs w:val="16"/>
                <w:color w:val="auto"/>
              </w:rPr>
              <w:t>(20,684)</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460" w:type="dxa"/>
            <w:vAlign w:val="bottom"/>
          </w:tcPr>
          <w:p>
            <w:pPr>
              <w:spacing w:after="0"/>
              <w:rPr>
                <w:sz w:val="18"/>
                <w:szCs w:val="18"/>
                <w:color w:val="auto"/>
              </w:rPr>
            </w:pPr>
          </w:p>
        </w:tc>
        <w:tc>
          <w:tcPr>
            <w:tcW w:w="1680" w:type="dxa"/>
            <w:vAlign w:val="bottom"/>
          </w:tcPr>
          <w:p>
            <w:pPr>
              <w:jc w:val="right"/>
              <w:ind w:right="699"/>
              <w:spacing w:after="0"/>
              <w:rPr>
                <w:sz w:val="20"/>
                <w:szCs w:val="20"/>
                <w:color w:val="auto"/>
              </w:rPr>
            </w:pPr>
            <w:r>
              <w:rPr>
                <w:rFonts w:ascii="Arial" w:cs="Arial" w:eastAsia="Arial" w:hAnsi="Arial"/>
                <w:sz w:val="16"/>
                <w:szCs w:val="16"/>
                <w:color w:val="auto"/>
              </w:rPr>
              <w:t>(13,517)</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r>
    </w:tbl>
    <w:p>
      <w:pPr>
        <w:spacing w:after="0" w:line="20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0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and our ability to sell loans in the secondary market.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March 31, 2021, we had additional borrowing capacity of $2.8 billion from the FHLB and $1.1 billion from the FRB based on the amount of collateral pledged.</w:t>
      </w:r>
    </w:p>
    <w:p>
      <w:pPr>
        <w:spacing w:after="0" w:line="14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continued our focus on maintaining a strong liquidity position throughout the first three months of 2021. As of March 31, 2021, cash and cash equivalents were $1.4 billion, the carrying value of our available-for-sale investment securities was $4.0 billion, and total deposits were $19.6 billion.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0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4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March 31, 2021, the Company and the Bank were considered “well-capitalized” under this regulatory framework. The Company’s regulatory capital ratios are presented in Table 20 below. There have been no conditions or events since March 31, 2021, that management believes have changed either the Company’s or the Bank’s capital classifications.</w:t>
      </w:r>
    </w:p>
    <w:p>
      <w:pPr>
        <w:spacing w:after="0" w:line="13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March 31, 2021, shareholders’ equity was $1.4 billion, a decrease of $14.3 million or 1% from December 31, 2020. For the first three months of 2021, net income of $136.7 million, common stock issuances of $6.4 million, and share-based compensation of $6.6 million were partially offset by other comprehensive loss of $49.6 million, cash dividends paid of $80.7 million and common stock repurchased of $3.5 million. All repurchased stock was related to income tax withholdings on vesting of restricted stock. In the first three months of 2021, there were no repurchases under our share repurchase program. From the beginning of our share repurchase program in July 2001 through March 31, 2021, we repurchased a total of 57.1 million shares of common stock and returned a total of $2.3 billion to our shareholders at an average cost of $40.51 per share.</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Remaining buyback authority under our share repurchase program was $113.1 million as of March 31, 2021. In March 2020, we suspended share repurchases in light of the COVID-19 pandemic. We believe the suspension, while conservative, is prudent given uncertainty regarding the length and severity of the COVID-19 pandemic. The actual amount and timing of future share repurchases, if any, will depend on market and economic conditions, regulatory rules, applicable SEC rules, and various other factors.</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April 2021, the Parent’s Board of Directors declared a quarterly cash dividend of $0.67 per share on the Parent’s outstanding shares. The dividend will be payable on June 14, 2021, to shareholders of record at the close of business on May 28, 2021.</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March 31, 2021, and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Regulatory Capital and Ratios</w:t>
            </w:r>
          </w:p>
        </w:tc>
        <w:tc>
          <w:tcPr>
            <w:tcW w:w="2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Table 20</w:t>
            </w:r>
          </w:p>
        </w:tc>
      </w:tr>
      <w:tr>
        <w:trPr>
          <w:trHeight w:val="199"/>
        </w:trPr>
        <w:tc>
          <w:tcPr>
            <w:tcW w:w="21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(dollars in thousands)</w:t>
            </w:r>
          </w:p>
        </w:tc>
        <w:tc>
          <w:tcPr>
            <w:tcW w:w="2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r>
      <w:tr>
        <w:trPr>
          <w:trHeight w:val="212"/>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Regulatory Capital</w:t>
            </w:r>
          </w:p>
        </w:tc>
        <w:tc>
          <w:tcPr>
            <w:tcW w:w="2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21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1,360,221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1,374,507</w:t>
            </w: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CECL Transitional Amount</w:t>
            </w:r>
          </w:p>
        </w:tc>
        <w:tc>
          <w:tcPr>
            <w:tcW w:w="2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19,369</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23,750</w:t>
            </w:r>
          </w:p>
        </w:tc>
      </w:tr>
      <w:tr>
        <w:trPr>
          <w:trHeight w:val="216"/>
        </w:trPr>
        <w:tc>
          <w:tcPr>
            <w:tcW w:w="596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Less: Goodwill </w:t>
            </w:r>
            <w:r>
              <w:rPr>
                <w:rFonts w:ascii="Arial" w:cs="Arial" w:eastAsia="Arial" w:hAnsi="Arial"/>
                <w:sz w:val="25"/>
                <w:szCs w:val="25"/>
                <w:color w:val="auto"/>
                <w:vertAlign w:val="superscript"/>
              </w:rPr>
              <w:t>1</w:t>
            </w:r>
          </w:p>
        </w:tc>
        <w:tc>
          <w:tcPr>
            <w:tcW w:w="21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28,718</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28,718</w:t>
            </w:r>
          </w:p>
        </w:tc>
      </w:tr>
      <w:tr>
        <w:trPr>
          <w:trHeight w:val="216"/>
        </w:trPr>
        <w:tc>
          <w:tcPr>
            <w:tcW w:w="59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Postretirement Benefit Liability Adjustments</w:t>
            </w:r>
          </w:p>
        </w:tc>
        <w:tc>
          <w:tcPr>
            <w:tcW w:w="2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(42,809)</w:t>
            </w: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(43,250)</w:t>
            </w:r>
          </w:p>
        </w:tc>
      </w:tr>
      <w:tr>
        <w:trPr>
          <w:trHeight w:val="216"/>
        </w:trPr>
        <w:tc>
          <w:tcPr>
            <w:tcW w:w="5960" w:type="dxa"/>
            <w:vAlign w:val="bottom"/>
            <w:gridSpan w:val="2"/>
          </w:tcPr>
          <w:p>
            <w:pPr>
              <w:ind w:left="500"/>
              <w:spacing w:after="0" w:line="216" w:lineRule="exact"/>
              <w:rPr>
                <w:sz w:val="20"/>
                <w:szCs w:val="20"/>
                <w:color w:val="auto"/>
              </w:rPr>
            </w:pPr>
            <w:r>
              <w:rPr>
                <w:rFonts w:ascii="Arial" w:cs="Arial" w:eastAsia="Arial" w:hAnsi="Arial"/>
                <w:sz w:val="15"/>
                <w:szCs w:val="15"/>
                <w:color w:val="auto"/>
              </w:rPr>
              <w:t xml:space="preserve">Net Unrealized Gains (Losses) on Investment Securities </w:t>
            </w:r>
            <w:r>
              <w:rPr>
                <w:rFonts w:ascii="Arial" w:cs="Arial" w:eastAsia="Arial" w:hAnsi="Arial"/>
                <w:sz w:val="25"/>
                <w:szCs w:val="25"/>
                <w:color w:val="auto"/>
                <w:vertAlign w:val="superscript"/>
              </w:rPr>
              <w:t>2</w:t>
            </w:r>
          </w:p>
        </w:tc>
        <w:tc>
          <w:tcPr>
            <w:tcW w:w="21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1,022</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51,072</w:t>
            </w:r>
          </w:p>
        </w:tc>
      </w:tr>
      <w:tr>
        <w:trPr>
          <w:trHeight w:val="213"/>
        </w:trPr>
        <w:tc>
          <w:tcPr>
            <w:tcW w:w="5960" w:type="dxa"/>
            <w:vAlign w:val="bottom"/>
            <w:tcBorders>
              <w:bottom w:val="single" w:sz="8" w:color="auto"/>
            </w:tcBorders>
            <w:gridSpan w:val="2"/>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2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(198)</w:t>
            </w:r>
          </w:p>
        </w:tc>
        <w:tc>
          <w:tcPr>
            <w:tcW w:w="4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(198)</w:t>
            </w:r>
          </w:p>
        </w:tc>
      </w:tr>
      <w:tr>
        <w:trPr>
          <w:trHeight w:val="210"/>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Common Equity Tier 1 Capital</w:t>
            </w:r>
          </w:p>
        </w:tc>
        <w:tc>
          <w:tcPr>
            <w:tcW w:w="2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1,392,857</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1,361,915</w:t>
            </w:r>
          </w:p>
        </w:tc>
      </w:tr>
      <w:tr>
        <w:trPr>
          <w:trHeight w:val="212"/>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Tier 1 Capital</w:t>
            </w:r>
          </w:p>
        </w:tc>
        <w:tc>
          <w:tcPr>
            <w:tcW w:w="2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1,392,857</w:t>
            </w:r>
          </w:p>
        </w:tc>
        <w:tc>
          <w:tcPr>
            <w:tcW w:w="4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1,361,915</w:t>
            </w:r>
          </w:p>
        </w:tc>
      </w:tr>
      <w:tr>
        <w:trPr>
          <w:trHeight w:val="213"/>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Allowable Reserve for Credit Losses</w:t>
            </w:r>
          </w:p>
        </w:tc>
        <w:tc>
          <w:tcPr>
            <w:tcW w:w="2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141,499</w:t>
            </w: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141,869</w:t>
            </w:r>
          </w:p>
        </w:tc>
      </w:tr>
      <w:tr>
        <w:trPr>
          <w:trHeight w:val="210"/>
        </w:trPr>
        <w:tc>
          <w:tcPr>
            <w:tcW w:w="59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Total Regulatory Capital</w:t>
            </w:r>
          </w:p>
        </w:tc>
        <w:tc>
          <w:tcPr>
            <w:tcW w:w="216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1,534,356</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1,503,784</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6"/>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Risk-Weighted Assets</w:t>
            </w:r>
          </w:p>
        </w:tc>
        <w:tc>
          <w:tcPr>
            <w:tcW w:w="2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11,275,565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11,295,077</w:t>
            </w:r>
          </w:p>
        </w:tc>
      </w:tr>
      <w:tr>
        <w:trPr>
          <w:trHeight w:val="179"/>
        </w:trPr>
        <w:tc>
          <w:tcPr>
            <w:tcW w:w="2140" w:type="dxa"/>
            <w:vAlign w:val="bottom"/>
            <w:tcBorders>
              <w:bottom w:val="single" w:sz="8" w:color="auto"/>
            </w:tcBorders>
            <w:shd w:val="clear" w:color="auto" w:fill="CFF0FC"/>
          </w:tcPr>
          <w:p>
            <w:pPr>
              <w:spacing w:after="0" w:line="159" w:lineRule="exact"/>
              <w:rPr>
                <w:sz w:val="20"/>
                <w:szCs w:val="20"/>
                <w:color w:val="auto"/>
              </w:rPr>
            </w:pPr>
            <w:r>
              <w:rPr>
                <w:rFonts w:ascii="Arial" w:cs="Arial" w:eastAsia="Arial" w:hAnsi="Arial"/>
                <w:sz w:val="16"/>
                <w:szCs w:val="16"/>
                <w:b w:val="1"/>
                <w:bCs w:val="1"/>
                <w:color w:val="auto"/>
                <w:w w:val="92"/>
              </w:rPr>
              <w:t>Key Regulatory Capital Ratios</w:t>
            </w:r>
          </w:p>
        </w:tc>
        <w:tc>
          <w:tcPr>
            <w:tcW w:w="3820" w:type="dxa"/>
            <w:vAlign w:val="bottom"/>
            <w:tcBorders>
              <w:bottom w:val="single" w:sz="8" w:color="CFF0FC"/>
            </w:tcBorders>
            <w:shd w:val="clear" w:color="auto" w:fill="CFF0FC"/>
          </w:tcPr>
          <w:p>
            <w:pPr>
              <w:spacing w:after="0"/>
              <w:rPr>
                <w:sz w:val="15"/>
                <w:szCs w:val="15"/>
                <w:color w:val="auto"/>
              </w:rPr>
            </w:pPr>
          </w:p>
        </w:tc>
        <w:tc>
          <w:tcPr>
            <w:tcW w:w="21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spacing w:after="0"/>
              <w:rPr>
                <w:sz w:val="15"/>
                <w:szCs w:val="15"/>
                <w:color w:val="auto"/>
              </w:rPr>
            </w:pP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Common Equity Tier 1 Capital Ratio</w:t>
            </w:r>
          </w:p>
        </w:tc>
        <w:tc>
          <w:tcPr>
            <w:tcW w:w="2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12.35%</w:t>
            </w: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12.06%</w:t>
            </w: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Tier 1 Capital Ratio</w:t>
            </w:r>
          </w:p>
        </w:tc>
        <w:tc>
          <w:tcPr>
            <w:tcW w:w="2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12.35</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12.06</w:t>
            </w:r>
          </w:p>
        </w:tc>
      </w:tr>
      <w:tr>
        <w:trPr>
          <w:trHeight w:val="213"/>
        </w:trPr>
        <w:tc>
          <w:tcPr>
            <w:tcW w:w="5960" w:type="dxa"/>
            <w:vAlign w:val="bottom"/>
            <w:gridSpan w:val="2"/>
          </w:tcPr>
          <w:p>
            <w:pPr>
              <w:spacing w:after="0"/>
              <w:rPr>
                <w:sz w:val="20"/>
                <w:szCs w:val="20"/>
                <w:color w:val="auto"/>
              </w:rPr>
            </w:pPr>
            <w:r>
              <w:rPr>
                <w:rFonts w:ascii="Arial" w:cs="Arial" w:eastAsia="Arial" w:hAnsi="Arial"/>
                <w:sz w:val="16"/>
                <w:szCs w:val="16"/>
                <w:color w:val="auto"/>
              </w:rPr>
              <w:t>Total Capital Ratio</w:t>
            </w:r>
          </w:p>
        </w:tc>
        <w:tc>
          <w:tcPr>
            <w:tcW w:w="21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13.61</w:t>
            </w:r>
          </w:p>
        </w:tc>
        <w:tc>
          <w:tcPr>
            <w:tcW w:w="44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13.31</w:t>
            </w: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Tier 1 Leverage Ratio</w:t>
            </w:r>
          </w:p>
        </w:tc>
        <w:tc>
          <w:tcPr>
            <w:tcW w:w="2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6.61</w:t>
            </w:r>
          </w:p>
        </w:tc>
        <w:tc>
          <w:tcPr>
            <w:tcW w:w="4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6.71</w:t>
            </w:r>
          </w:p>
        </w:tc>
      </w:tr>
    </w:tbl>
    <w:p>
      <w:pPr>
        <w:spacing w:after="0" w:line="48"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2"/>
          <w:szCs w:val="12"/>
          <w:color w:val="auto"/>
        </w:rPr>
      </w:pPr>
      <w:r>
        <w:rPr>
          <w:rFonts w:ascii="Arial" w:cs="Arial" w:eastAsia="Arial" w:hAnsi="Arial"/>
          <w:sz w:val="14"/>
          <w:szCs w:val="14"/>
          <w:color w:val="auto"/>
        </w:rPr>
        <w:t>Calculated net of deferred tax liabilities.</w:t>
      </w:r>
    </w:p>
    <w:p>
      <w:pPr>
        <w:ind w:left="180" w:hanging="172"/>
        <w:spacing w:after="0"/>
        <w:tabs>
          <w:tab w:leader="none" w:pos="1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have elected to apply the modified transition provision related to the impact of the CECL accounting standard on regulatory capital, as provided by the US banking agencies’ March 2020 interim final rule that was finalized on September 30, 2020. Under the modified CECL transition provision, the regulatory capital impact of the Day 1 adjustment to the allowance for credit losses (after-tax), upon the January 1, 2020, CECL adoption date, has been deferred, and will phase in to regulatory capital at 25% per year commencing January 1, 2022. For the ongoing impact of CECL, we are allowed to defer the regulatory capital impact of the allowance for credit losses in an amount equal to 25% of the change in the allowance for credit losses (pre-tax) recognized through earnings for each period between January 1, 2020, and December 31, 2021. The cumulative adjustment to the allowance for credit losses between January 1, 2020, and December 31, 2021, will also phase in to regulatory capital at 25% per year commencing January 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Relief Programs in Response to COVID-19</w:t>
      </w:r>
    </w:p>
    <w:p>
      <w:pPr>
        <w:spacing w:after="0" w:line="198"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established several new temporary U.S. Small Business Administration (“SBA”) loan programs to assist U.S. small businesses through the COVID-19 pandemic. One of the new loan programs is the Paycheck Protection Program, an expansion of the SBA’s 7(a) loan program and the Economic Injury Disaster Loan Program. The</w:t>
      </w:r>
    </w:p>
    <w:p>
      <w:pPr>
        <w:spacing w:after="0" w:line="2" w:lineRule="exact"/>
        <w:rPr>
          <w:sz w:val="20"/>
          <w:szCs w:val="20"/>
          <w:color w:val="auto"/>
        </w:rPr>
      </w:pPr>
    </w:p>
    <w:p>
      <w:pPr>
        <w:ind w:right="140" w:firstLine="8"/>
        <w:spacing w:after="0" w:line="286" w:lineRule="auto"/>
        <w:tabs>
          <w:tab w:leader="none" w:pos="3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provides loans to small businesses who were affected by economic conditions as a result of COVID-19 to provide cash-flow assistance to employers who maintain their payroll (including healthcare and certain related expenses), mortgage interest, rent, leases, utilities and interest on existing debt during this emergency. Eligible borrowers need to make a good faith certification that the uncertainty of current economic conditions make requesting assistance necessary to support ongoing operations. Pursuant to the provisions of Section 1106 of the CARES Act, borrowers may apply to the Bank for loan forgiveness of all or a portion of the loan, subject to certain eligibility requirements and conditions. On December 27, 2020, the Consolidated Appropriations Act, 2021 (“CAA”) was signed into law. The CAA provides several amendments to the PPP, including additional funding for first and second draws of PPP loans through March 31, 2021. On March 30, 2021, the PPP Extension Act of 2021was signed into law, which extends the program to May 31, 2021. The Bank is an SBA lender and began accepting applications under the CARES Act via its online application process on April 3, 2020. As of March 31, 2021, the Bank had 6,911 PPP loans totaling $744.8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March 11, 2021, the American Rescue Plan Act of 2021 (“ARP”) was signed into law. Chief among the $1.9 trillion stimulus act is additional support for individuals, including $1,400 checks to many Americans, extended unemployment benefits, and expanded tax credits. In addition, ARP provides funding for state and local governments and support for businesses continuing to struggle as a result of the pandemic, including a modest increase to PPP, expanded eligibility to more non-profits, a grant program for restaurants that have suffered pandemic-related losses, and extended payroll support for the airline industry.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6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04" w:lineRule="exact"/>
        <w:rPr>
          <w:sz w:val="20"/>
          <w:szCs w:val="20"/>
          <w:color w:val="auto"/>
        </w:rPr>
      </w:pPr>
    </w:p>
    <w:p>
      <w:pPr>
        <w:ind w:right="4680"/>
        <w:spacing w:after="0" w:line="464" w:lineRule="auto"/>
        <w:rPr>
          <w:sz w:val="20"/>
          <w:szCs w:val="20"/>
          <w:color w:val="auto"/>
        </w:rPr>
      </w:pPr>
      <w:r>
        <w:rPr>
          <w:rFonts w:ascii="Arial" w:cs="Arial" w:eastAsia="Arial" w:hAnsi="Arial"/>
          <w:sz w:val="18"/>
          <w:szCs w:val="18"/>
          <w:b w:val="1"/>
          <w:bCs w:val="1"/>
          <w:color w:val="auto"/>
        </w:rPr>
        <w:t xml:space="preserve">Off-Balance Sheet Arrangements, Credit Commitments, and Contractual Obligations </w:t>
      </w:r>
      <w:r>
        <w:rPr>
          <w:rFonts w:ascii="Arial" w:cs="Arial" w:eastAsia="Arial" w:hAnsi="Arial"/>
          <w:sz w:val="18"/>
          <w:szCs w:val="18"/>
          <w:i w:val="1"/>
          <w:iCs w:val="1"/>
          <w:color w:val="auto"/>
        </w:rPr>
        <w:t>Off-Balance Sheet Arrangements</w:t>
      </w:r>
    </w:p>
    <w:p>
      <w:pPr>
        <w:ind w:right="180"/>
        <w:spacing w:after="0" w:line="257" w:lineRule="auto"/>
        <w:rPr>
          <w:sz w:val="20"/>
          <w:szCs w:val="20"/>
          <w:color w:val="auto"/>
        </w:rPr>
      </w:pPr>
      <w:r>
        <w:rPr>
          <w:rFonts w:ascii="Arial" w:cs="Arial" w:eastAsia="Arial" w:hAnsi="Arial"/>
          <w:sz w:val="18"/>
          <w:szCs w:val="18"/>
          <w:color w:val="auto"/>
        </w:rPr>
        <w:t>We hold interests in several unconsolidated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 See Note 1 to the Consolidated Financial Statements for more information. See Note 1 to the Consolidated Financial Statements for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2020.</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March 31, 2021.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March 31,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March 31, 2021, that have materially affected or are reasonably likely to materially affect the Company’s internal control over financial reporting.</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“Contingencies” in Note 13 to our Consolidated Financial Statements (unaudited) set forth in Part I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2020, except as described below.</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Adverse changes in business and economic conditions, in particular those of Hawaii, Guam and other Pacific Islands, could lead to lower revenue, lower asset quality, and lower earnings.</w:t>
      </w:r>
    </w:p>
    <w:p>
      <w:pPr>
        <w:spacing w:after="0" w:line="14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business and earnings are closely tied to the economies of Hawaii and the Pacific Islands. These local economies rely heavily on tourism, the U.S. military, real estate, construction, government, and other service-based industries. Lower visitor arrivals or spending, real or threatened acts of war or terrorism, public unrest, increases in energy costs, the availability of affordable air transportation, climate change, natural disasters and adverse weather, public health issues including Asian air pollution and the spread of the COVID-19 pandemic, and Federal, State of Hawaii and local government budget issues may impact consumer and corporate spending.</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impacts of various travel restrictions, stay-at-home orders and quarantine requirements for visitors to Hawaii has had a dramatic negative impact on tourism. These events have contributed to a significant deterioration in general economic conditions in our markets which has impacted and will continue to adversely impact us and our customers’ operations. Though there has been an increase in tourism recently, many of the impacts in Hawaii and the Pacific Islands still linger.</w:t>
      </w:r>
    </w:p>
    <w:p>
      <w:pPr>
        <w:spacing w:after="0" w:line="1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Recent deterioration of economic conditions, locally, nationally, and internationally could adversely affect the quality of our assets, credit losses, and the demand for our products and services, which could lead to lower revenues, higher expenses, and lower earnings. In response to this deterioration, several government stimulus programs were initiated, including the Coronavirus Aid, Relief, and Economic Security (“CARES”) Act and the Paycheck Protection Program (“PPP”). The level of visitor arrivals and spending, housing prices, and unemployment rates are some of the metrics that we continually monitor. We also monitor the value of collateral, such as real estate, that secures the loans we have made. The borrowing power of our customers could also be negatively impacted by a decline in the value of collateral.</w:t>
      </w:r>
    </w:p>
    <w:p>
      <w:pPr>
        <w:spacing w:after="0" w:line="1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COVID-19 pandemic has disrupted the Hawaii economy and our business, and the extent and severity of the impact on our business and our financial results are highly uncertain and cannot be predicted.</w:t>
      </w:r>
    </w:p>
    <w:p>
      <w:pPr>
        <w:spacing w:after="0" w:line="13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COVID-19 pandemic has had and is expected to continue to have a material adverse effect on our operations and financial performance. The duration of the COVID-19 pandemic and its effects still cannot be determined with a reasonable level of certainty. We have experienced unprecedented levels of government stimulus in response to COVID-19 in the current economic cycle, the lasting impacts of which are unknown.</w:t>
      </w:r>
    </w:p>
    <w:p>
      <w:pPr>
        <w:spacing w:after="0" w:line="1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Novel viruses such as COVID-19 increase concerns related to illness when traveling and gathering in large numbers. In response, the majority of the nation’s state and local jurisdictions imposed stay-at-home and/or shelter-in-place orders, quarantines, executive orders or similar government orders and restrictions in order to control the spread of COVID-19.</w:t>
      </w:r>
    </w:p>
    <w:p>
      <w:pPr>
        <w:spacing w:after="0" w:line="1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stay-at-home and safer-at-home orders, along with the mandatory 10-day self-quarantine travel restrictions, have resulted in a dramatic decline in tourism in Hawaii. Additionally, tourism has declined as various public events, attractions and venues were closed or cancelled. We cannot predict when these closures and cancellations will diminish or when tourism levels in Hawaii will recover. This decline in tourism has, and is expected to continue to have, a negative impact to the Hawaii economy and our financial results.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Though some of the original restrictions have been relaxed, the mandatory self-quarantine travel restriction has been extended indefinitely. Beginning October 15, 2020, arriving passengers and interisland travelers may avoid the self-quarantine requirements by providing proof of a recent negative test result for COVID-19 prior to boarding. Though there has been an increase in visitor arrivals the tourism industry in Hawaii is not near the level it was prior to the COVID-19 pandemic. In addition, there remains the possibility that the current requirements may be changed by the government as the infection rates of COVID-19 in Hawaii change, causing uncertainty and deterring travel to Hawaii.</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Even as more and more individuals become vaccinated, prior travel restrictions and mandatory quarantines related to the COVID-19 pandemic may have a lasting impact on tourism in Hawaii. Because many of our customers, both commercial and consumer, derive 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least some of their income from tourism, this dramatic drop in tourism affects them directly, as well as the Hawaii economy as a whole. A downturn in the Hawaii economy and widespread impact to our customers’ income have a negative impact on our operations. We are unable to predict the extent to which the pandemic and related impacts will continue to adversely affect our business, results of operations, financial condition, regulatory capital and liquidity ratios.</w:t>
      </w:r>
    </w:p>
    <w:p>
      <w:pPr>
        <w:spacing w:after="0" w:line="16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COVID-19 pandemic, the institution of physical distancing, and shelter-in-place requirements resulted in both temporary and permanent closures of many businesses. As a result, the demand for our products and services has been and may continue to be significantly impacted. The COVID-19 pandemic could prompt credit losses in our loan portfolios and increase our allowance for credit losses, particularly as businesses remain closed and as more customers draw on lines of credit or seek additional loans to help finance their businesses. Our operations may also be disrupted if significant portions of our workforce are unable to work effectively, due to illness, quarantines, government actions, or other restrictions in connection with the COVID-19 pandemic. We temporarily or permanently closed certain of our branches and offices and many employees are still working remotely. Though we have re-opened some of our branches, others remain closed. It is anticipated that staffing levels at our headquarters will remain lower than pre-pandemic levels for some time.</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response to the COVID-19 pandemic, we temporarily suspended residential property foreclosure sales, evictions, and involuntary automobile repossessions. Foreclosures and evictions remain suspended. We offered other expanded assistance to customers such as fee waivers, payment deferrals or forbearances on automobile loans and leases, mortgages, home equity loans and lines, as well as commercial, small business and personal loans. We continue to work with our customers as many of the initial assistance programs have been extended or renewed. The extent to which the COVID-19 pandemic impacts our business, results of operations, financial condition, regulatory capital, and liquidity ratios, will depend on the scope and duration of the COVID-19 pandemic, actions taken by governmental authorities, the availability of federal, state, or local funding programs, actions taken by other third parties in response to the COVID-19 pandemic, and the pace of recovery when the COVID-19 pandemic subsides, all of which are highly uncertain.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anticipated end of LIBOR on June 30, 2023, may adversely affect our financial instruments that are directly or indirectly tied to LIBOR.</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July 27, 2017, the United Kingdom’s Financial Conduct Authority, which regulates LIBOR announced that after December 31, 2021, it would no longer compel banks to submit the rates required to calculate LIBOR. For the most common tenors of LIBOR this date has been extended to June 30, 2023. With this announcement there is uncertainty about the continued availability of LIBOR after June 30, 2023. If LIBOR ceases to be available or the methods of calculating LIBOR change from the current methods, financial products with interest rates tied to LIBOR may be adversely affected. Even if LIBOR remains available it is uncertain whether it will continue to be viewed as an acceptable market benchmark, what rate or rates may become accepted alternatives to LIBOR or what the effect of any such changes in views or alternatives may be on the markets for LIBOR-indexed financial instruments. We have loans, derivative contracts, and other financial instruments with rates that are either directly or indirectly tied to LIBOR. If any of the foregoing were to occur, the interest rates on these instruments, as well as the revenue and expenses associated with the same, may be adversely affected. Furthermore, failure to adequately manage this transition process with our customers could adversely impact our reputation.</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has formed an enterprise-wide, cross-functional project team to oversee the transition. The project team reports to a steering committee as well as Management and the Board on a periodic basis. The project team is organized around key work streams, which cover the products, systems, and operational processes impacted by the transition as well as client communication. In addition, the project team has completed an inventory of existing LIBOR-indexed products, which is monitored on an ongoing basis, LIBOR fallback language has been added to new loans, and LIBOR-based mortgage ARMs have been removed from our product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first quarter of 2021 were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2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Approximate Dollar</w:t>
            </w:r>
          </w:p>
        </w:tc>
      </w:tr>
      <w:tr>
        <w:trPr>
          <w:trHeight w:val="203"/>
        </w:trPr>
        <w:tc>
          <w:tcPr>
            <w:tcW w:w="33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Number of</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Value of Shares</w:t>
            </w:r>
          </w:p>
        </w:tc>
      </w:tr>
      <w:tr>
        <w:trPr>
          <w:trHeight w:val="203"/>
        </w:trPr>
        <w:tc>
          <w:tcPr>
            <w:tcW w:w="33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Shares Purchased</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that May Yet Be</w:t>
            </w:r>
          </w:p>
        </w:tc>
      </w:tr>
      <w:tr>
        <w:trPr>
          <w:trHeight w:val="203"/>
        </w:trPr>
        <w:tc>
          <w:tcPr>
            <w:tcW w:w="3320" w:type="dxa"/>
            <w:vAlign w:val="bottom"/>
          </w:tcPr>
          <w:p>
            <w:pPr>
              <w:spacing w:after="0"/>
              <w:rPr>
                <w:sz w:val="17"/>
                <w:szCs w:val="17"/>
                <w:color w:val="auto"/>
              </w:rPr>
            </w:pPr>
          </w:p>
        </w:tc>
        <w:tc>
          <w:tcPr>
            <w:tcW w:w="302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 Number</w:t>
            </w:r>
          </w:p>
        </w:tc>
        <w:tc>
          <w:tcPr>
            <w:tcW w:w="3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Average Price</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as Part of</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w w:val="93"/>
              </w:rPr>
              <w:t>Purchased Under</w:t>
            </w:r>
          </w:p>
        </w:tc>
      </w:tr>
      <w:tr>
        <w:trPr>
          <w:trHeight w:val="199"/>
        </w:trPr>
        <w:tc>
          <w:tcPr>
            <w:tcW w:w="3320" w:type="dxa"/>
            <w:vAlign w:val="bottom"/>
          </w:tcPr>
          <w:p>
            <w:pPr>
              <w:spacing w:after="0"/>
              <w:rPr>
                <w:sz w:val="17"/>
                <w:szCs w:val="17"/>
                <w:color w:val="auto"/>
              </w:rPr>
            </w:pPr>
          </w:p>
        </w:tc>
        <w:tc>
          <w:tcPr>
            <w:tcW w:w="3020" w:type="dxa"/>
            <w:vAlign w:val="bottom"/>
          </w:tcPr>
          <w:p>
            <w:pPr>
              <w:jc w:val="right"/>
              <w:ind w:right="59"/>
              <w:spacing w:after="0"/>
              <w:rPr>
                <w:sz w:val="20"/>
                <w:szCs w:val="20"/>
                <w:color w:val="auto"/>
              </w:rPr>
            </w:pPr>
            <w:r>
              <w:rPr>
                <w:rFonts w:ascii="Arial" w:cs="Arial" w:eastAsia="Arial" w:hAnsi="Arial"/>
                <w:sz w:val="16"/>
                <w:szCs w:val="16"/>
                <w:b w:val="1"/>
                <w:bCs w:val="1"/>
                <w:color w:val="auto"/>
              </w:rPr>
              <w:t>of Shares</w:t>
            </w:r>
          </w:p>
        </w:tc>
        <w:tc>
          <w:tcPr>
            <w:tcW w:w="36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Paid Per</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Publicly Announced</w:t>
            </w:r>
          </w:p>
        </w:tc>
        <w:tc>
          <w:tcPr>
            <w:tcW w:w="28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the Plans or</w:t>
            </w:r>
          </w:p>
        </w:tc>
      </w:tr>
      <w:tr>
        <w:trPr>
          <w:trHeight w:val="220"/>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Period</w:t>
            </w:r>
          </w:p>
        </w:tc>
        <w:tc>
          <w:tcPr>
            <w:tcW w:w="3020" w:type="dxa"/>
            <w:vAlign w:val="bottom"/>
            <w:tcBorders>
              <w:bottom w:val="single" w:sz="8" w:color="auto"/>
            </w:tcBorders>
          </w:tcPr>
          <w:p>
            <w:pPr>
              <w:jc w:val="right"/>
              <w:ind w:right="59"/>
              <w:spacing w:after="0" w:line="220"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b w:val="1"/>
                <w:bCs w:val="1"/>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Share</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Plans or Programs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0"/>
              <w:spacing w:after="0" w:line="220" w:lineRule="exact"/>
              <w:rPr>
                <w:sz w:val="20"/>
                <w:szCs w:val="20"/>
                <w:color w:val="auto"/>
              </w:rPr>
            </w:pPr>
            <w:r>
              <w:rPr>
                <w:rFonts w:ascii="Arial" w:cs="Arial" w:eastAsia="Arial" w:hAnsi="Arial"/>
                <w:sz w:val="15"/>
                <w:szCs w:val="15"/>
                <w:b w:val="1"/>
                <w:bCs w:val="1"/>
                <w:color w:val="auto"/>
              </w:rPr>
              <w:t xml:space="preserve">Programs </w:t>
            </w:r>
            <w:r>
              <w:rPr>
                <w:rFonts w:ascii="Arial" w:cs="Arial" w:eastAsia="Arial" w:hAnsi="Arial"/>
                <w:sz w:val="25"/>
                <w:szCs w:val="25"/>
                <w:b w:val="1"/>
                <w:bCs w:val="1"/>
                <w:color w:val="auto"/>
                <w:vertAlign w:val="superscript"/>
              </w:rPr>
              <w:t>2</w:t>
            </w:r>
          </w:p>
        </w:tc>
      </w:tr>
      <w:tr>
        <w:trPr>
          <w:trHeight w:val="20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January 1 - 31, 2021</w:t>
            </w:r>
          </w:p>
        </w:tc>
        <w:tc>
          <w:tcPr>
            <w:tcW w:w="3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1,370</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76.93</w:t>
            </w:r>
          </w:p>
        </w:tc>
        <w:tc>
          <w:tcPr>
            <w:tcW w:w="1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113,073,521</w:t>
            </w:r>
          </w:p>
        </w:tc>
      </w:tr>
      <w:tr>
        <w:trPr>
          <w:trHeight w:val="213"/>
        </w:trPr>
        <w:tc>
          <w:tcPr>
            <w:tcW w:w="3320" w:type="dxa"/>
            <w:vAlign w:val="bottom"/>
          </w:tcPr>
          <w:p>
            <w:pPr>
              <w:spacing w:after="0"/>
              <w:rPr>
                <w:sz w:val="20"/>
                <w:szCs w:val="20"/>
                <w:color w:val="auto"/>
              </w:rPr>
            </w:pPr>
            <w:r>
              <w:rPr>
                <w:rFonts w:ascii="Arial" w:cs="Arial" w:eastAsia="Arial" w:hAnsi="Arial"/>
                <w:sz w:val="16"/>
                <w:szCs w:val="16"/>
                <w:color w:val="auto"/>
              </w:rPr>
              <w:t>February 1 - 28, 2021</w:t>
            </w:r>
          </w:p>
        </w:tc>
        <w:tc>
          <w:tcPr>
            <w:tcW w:w="3020" w:type="dxa"/>
            <w:vAlign w:val="bottom"/>
          </w:tcPr>
          <w:p>
            <w:pPr>
              <w:jc w:val="right"/>
              <w:ind w:right="59"/>
              <w:spacing w:after="0"/>
              <w:rPr>
                <w:sz w:val="20"/>
                <w:szCs w:val="20"/>
                <w:color w:val="auto"/>
              </w:rPr>
            </w:pPr>
            <w:r>
              <w:rPr>
                <w:rFonts w:ascii="Arial" w:cs="Arial" w:eastAsia="Arial" w:hAnsi="Arial"/>
                <w:sz w:val="16"/>
                <w:szCs w:val="16"/>
                <w:color w:val="auto"/>
              </w:rPr>
              <w:t>34,500</w:t>
            </w:r>
          </w:p>
        </w:tc>
        <w:tc>
          <w:tcPr>
            <w:tcW w:w="36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89.10</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113,073,521</w:t>
            </w:r>
          </w:p>
        </w:tc>
      </w:tr>
      <w:tr>
        <w:trPr>
          <w:trHeight w:val="216"/>
        </w:trPr>
        <w:tc>
          <w:tcPr>
            <w:tcW w:w="3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March 1 - 31, 2021</w:t>
            </w:r>
          </w:p>
        </w:tc>
        <w:tc>
          <w:tcPr>
            <w:tcW w:w="30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113</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89.77</w:t>
            </w: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113,073,521</w:t>
            </w:r>
          </w:p>
        </w:tc>
      </w:tr>
      <w:tr>
        <w:trPr>
          <w:trHeight w:val="209"/>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3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35,983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88.64</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49" w:lineRule="exact"/>
        <w:rPr>
          <w:sz w:val="20"/>
          <w:szCs w:val="20"/>
          <w:color w:val="auto"/>
        </w:rPr>
      </w:pPr>
    </w:p>
    <w:p>
      <w:pPr>
        <w:ind w:left="180" w:right="100" w:hanging="172"/>
        <w:spacing w:after="0" w:line="243" w:lineRule="auto"/>
        <w:tabs>
          <w:tab w:leader="none" w:pos="180" w:val="left"/>
        </w:tabs>
        <w:numPr>
          <w:ilvl w:val="0"/>
          <w:numId w:val="49"/>
        </w:numPr>
        <w:rPr>
          <w:rFonts w:ascii="Arial" w:cs="Arial" w:eastAsia="Arial" w:hAnsi="Arial"/>
          <w:sz w:val="11"/>
          <w:szCs w:val="11"/>
          <w:color w:val="auto"/>
        </w:rPr>
      </w:pPr>
      <w:r>
        <w:rPr>
          <w:rFonts w:ascii="Arial" w:cs="Arial" w:eastAsia="Arial" w:hAnsi="Arial"/>
          <w:sz w:val="13"/>
          <w:szCs w:val="13"/>
          <w:color w:val="auto"/>
        </w:rPr>
        <w:t>During the first quarter of 2021, 35,983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4(a)(2) thereof. The trustee under the trust and the participants under the DDCP are “Accredited Investors”, as defined in Rule 501(a) under the Securities</w:t>
      </w:r>
    </w:p>
    <w:p>
      <w:pPr>
        <w:ind w:left="180"/>
        <w:spacing w:after="0"/>
        <w:rPr>
          <w:rFonts w:ascii="Arial" w:cs="Arial" w:eastAsia="Arial" w:hAnsi="Arial"/>
          <w:sz w:val="11"/>
          <w:szCs w:val="11"/>
          <w:color w:val="auto"/>
        </w:rPr>
      </w:pPr>
      <w:r>
        <w:rPr>
          <w:rFonts w:ascii="Arial" w:cs="Arial" w:eastAsia="Arial" w:hAnsi="Arial"/>
          <w:sz w:val="13"/>
          <w:szCs w:val="13"/>
          <w:color w:val="auto"/>
        </w:rPr>
        <w:t>Act. These transactions did not involve a public offering and occurred without general solicitation or advertising. The shares were purchased at the closing price of the Parent’s common stock</w:t>
      </w:r>
    </w:p>
    <w:p>
      <w:pPr>
        <w:ind w:left="180"/>
        <w:spacing w:after="0" w:line="221" w:lineRule="auto"/>
        <w:rPr>
          <w:sz w:val="20"/>
          <w:szCs w:val="20"/>
          <w:color w:val="auto"/>
        </w:rPr>
      </w:pPr>
      <w:r>
        <w:rPr>
          <w:rFonts w:ascii="Arial" w:cs="Arial" w:eastAsia="Arial" w:hAnsi="Arial"/>
          <w:sz w:val="14"/>
          <w:szCs w:val="14"/>
          <w:color w:val="auto"/>
        </w:rPr>
        <w:t>on the dates of purchase.</w:t>
      </w:r>
    </w:p>
    <w:p>
      <w:pPr>
        <w:ind w:left="180" w:right="60" w:hanging="172"/>
        <w:spacing w:after="0" w:line="232" w:lineRule="auto"/>
        <w:tabs>
          <w:tab w:leader="none" w:pos="180" w:val="left"/>
        </w:tabs>
        <w:numPr>
          <w:ilvl w:val="0"/>
          <w:numId w:val="50"/>
        </w:numPr>
        <w:rPr>
          <w:rFonts w:ascii="Arial" w:cs="Arial" w:eastAsia="Arial" w:hAnsi="Arial"/>
          <w:sz w:val="12"/>
          <w:szCs w:val="12"/>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 On March 17, 2020, we suspended share repurchases in light of the COVID-19 pandemic.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31.1</w:t>
            </w:r>
          </w:p>
        </w:tc>
        <w:tc>
          <w:tcPr>
            <w:tcW w:w="102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Certification of Chief Executive Officer Pursuant to Rule 13a-14(a) of the Securities Exchange Act of 1934, as Amended, Adopted Pursuant to</w:t>
              </w:r>
            </w:hyperlink>
          </w:p>
        </w:tc>
      </w:tr>
      <w:tr>
        <w:trPr>
          <w:trHeight w:val="196"/>
        </w:trPr>
        <w:tc>
          <w:tcPr>
            <w:tcW w:w="920" w:type="dxa"/>
            <w:vAlign w:val="bottom"/>
          </w:tcPr>
          <w:p>
            <w:pPr>
              <w:spacing w:after="0"/>
              <w:rPr>
                <w:sz w:val="17"/>
                <w:szCs w:val="17"/>
                <w:color w:val="auto"/>
              </w:rPr>
            </w:pPr>
          </w:p>
        </w:tc>
        <w:tc>
          <w:tcPr>
            <w:tcW w:w="34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Section 302 of the Sarbanes Oxley Act of 2002</w:t>
              </w:r>
            </w:hyperlink>
          </w:p>
        </w:tc>
        <w:tc>
          <w:tcPr>
            <w:tcW w:w="6880" w:type="dxa"/>
            <w:vAlign w:val="bottom"/>
            <w:gridSpan w:val="2"/>
          </w:tcPr>
          <w:p>
            <w:pPr>
              <w:spacing w:after="0"/>
              <w:rPr>
                <w:sz w:val="17"/>
                <w:szCs w:val="17"/>
                <w:color w:val="auto"/>
              </w:rPr>
            </w:pPr>
          </w:p>
        </w:tc>
      </w:tr>
      <w:tr>
        <w:trPr>
          <w:trHeight w:val="318"/>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31.2</w:t>
            </w:r>
          </w:p>
        </w:tc>
        <w:tc>
          <w:tcPr>
            <w:tcW w:w="102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Certification of Chief Financial Officer Pursuant to Rule 13a-14(a) of the Securities Exchange Act of 1934, as Amended, Adopted Pursuant to</w:t>
              </w:r>
            </w:hyperlink>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4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Section 302 of the Sarbanes Oxley Act of 2002</w:t>
              </w:r>
            </w:hyperlink>
          </w:p>
        </w:tc>
        <w:tc>
          <w:tcPr>
            <w:tcW w:w="6880" w:type="dxa"/>
            <w:vAlign w:val="bottom"/>
            <w:gridSpan w:val="2"/>
          </w:tcPr>
          <w:p>
            <w:pPr>
              <w:spacing w:after="0"/>
              <w:rPr>
                <w:sz w:val="17"/>
                <w:szCs w:val="17"/>
                <w:color w:val="auto"/>
              </w:rPr>
            </w:pPr>
          </w:p>
        </w:tc>
      </w:tr>
    </w:tbl>
    <w:p>
      <w:pPr>
        <w:spacing w:after="0" w:line="134" w:lineRule="exact"/>
        <w:rPr>
          <w:sz w:val="20"/>
          <w:szCs w:val="20"/>
          <w:color w:val="auto"/>
        </w:rPr>
      </w:pPr>
    </w:p>
    <w:p>
      <w:pPr>
        <w:ind w:left="920" w:right="120" w:hanging="912"/>
        <w:spacing w:after="0" w:line="277" w:lineRule="auto"/>
        <w:tabs>
          <w:tab w:leader="none" w:pos="920" w:val="left"/>
        </w:tabs>
        <w:numPr>
          <w:ilvl w:val="0"/>
          <w:numId w:val="51"/>
        </w:numPr>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87">
        <w:r>
          <w:rPr>
            <w:rFonts w:ascii="Arial" w:cs="Arial" w:eastAsia="Arial" w:hAnsi="Arial"/>
            <w:sz w:val="18"/>
            <w:szCs w:val="18"/>
            <w:u w:val="single" w:color="auto"/>
            <w:color w:val="0000EE"/>
          </w:rPr>
          <w:t>of the Sarbanes-Oxley Act of 2002</w:t>
        </w:r>
      </w:hyperlink>
    </w:p>
    <w:p>
      <w:pPr>
        <w:spacing w:after="0" w:line="76"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140" w:type="dxa"/>
            <w:vAlign w:val="bottom"/>
          </w:tcPr>
          <w:p>
            <w:pPr>
              <w:ind w:left="1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800" w:type="dxa"/>
            <w:vAlign w:val="bottom"/>
          </w:tcPr>
          <w:p>
            <w:pPr>
              <w:spacing w:after="0"/>
              <w:rPr>
                <w:sz w:val="20"/>
                <w:szCs w:val="20"/>
                <w:color w:val="auto"/>
              </w:rPr>
            </w:pPr>
          </w:p>
        </w:tc>
        <w:tc>
          <w:tcPr>
            <w:tcW w:w="10140" w:type="dxa"/>
            <w:vAlign w:val="bottom"/>
          </w:tcPr>
          <w:p>
            <w:pPr>
              <w:ind w:left="12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14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rFonts w:ascii="Arial" w:cs="Arial" w:eastAsia="Arial" w:hAnsi="Arial"/>
          <w:sz w:val="18"/>
          <w:szCs w:val="18"/>
          <w:color w:val="auto"/>
        </w:rPr>
      </w:pPr>
    </w:p>
    <w:p>
      <w:pPr>
        <w:jc w:val="center"/>
        <w:ind w:left="5540" w:right="480" w:hanging="5532"/>
        <w:spacing w:after="0" w:line="778" w:lineRule="auto"/>
        <w:tabs>
          <w:tab w:leader="none" w:pos="9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the Form 10-Q has been formatted in Inline XBRL and contained in Exhibit 101 82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140"/>
              <w:spacing w:after="0"/>
              <w:rPr>
                <w:sz w:val="20"/>
                <w:szCs w:val="20"/>
                <w:color w:val="auto"/>
              </w:rPr>
            </w:pPr>
            <w:r>
              <w:rPr>
                <w:rFonts w:ascii="Arial" w:cs="Arial" w:eastAsia="Arial" w:hAnsi="Arial"/>
                <w:sz w:val="18"/>
                <w:szCs w:val="18"/>
                <w:color w:val="auto"/>
              </w:rPr>
              <w:t>April 26, 2021</w:t>
            </w:r>
          </w:p>
        </w:tc>
        <w:tc>
          <w:tcPr>
            <w:tcW w:w="4940" w:type="dxa"/>
            <w:vAlign w:val="bottom"/>
          </w:tcPr>
          <w:p>
            <w:pPr>
              <w:ind w:left="60"/>
              <w:spacing w:after="0"/>
              <w:rPr>
                <w:sz w:val="20"/>
                <w:szCs w:val="20"/>
                <w:color w:val="auto"/>
              </w:rPr>
            </w:pPr>
            <w:r>
              <w:rPr>
                <w:rFonts w:ascii="Arial" w:cs="Arial" w:eastAsia="Arial" w:hAnsi="Arial"/>
                <w:sz w:val="18"/>
                <w:szCs w:val="18"/>
                <w:color w:val="auto"/>
              </w:rPr>
              <w:t>Bank of Hawaii Corporation</w:t>
            </w:r>
          </w:p>
        </w:tc>
      </w:tr>
      <w:tr>
        <w:trPr>
          <w:trHeight w:val="432"/>
        </w:trPr>
        <w:tc>
          <w:tcPr>
            <w:tcW w:w="540" w:type="dxa"/>
            <w:vAlign w:val="bottom"/>
          </w:tcPr>
          <w:p>
            <w:pPr>
              <w:spacing w:after="0"/>
              <w:rPr>
                <w:sz w:val="24"/>
                <w:szCs w:val="24"/>
                <w:color w:val="auto"/>
              </w:rPr>
            </w:pPr>
          </w:p>
        </w:tc>
        <w:tc>
          <w:tcPr>
            <w:tcW w:w="5700" w:type="dxa"/>
            <w:vAlign w:val="bottom"/>
          </w:tcPr>
          <w:p>
            <w:pPr>
              <w:ind w:left="5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Peter S. Ho</w:t>
            </w:r>
          </w:p>
        </w:tc>
      </w:tr>
      <w:tr>
        <w:trPr>
          <w:trHeight w:val="195"/>
        </w:trPr>
        <w:tc>
          <w:tcPr>
            <w:tcW w:w="5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940" w:type="dxa"/>
            <w:vAlign w:val="bottom"/>
          </w:tcPr>
          <w:p>
            <w:pPr>
              <w:ind w:left="380"/>
              <w:spacing w:after="0" w:line="195" w:lineRule="exact"/>
              <w:rPr>
                <w:sz w:val="20"/>
                <w:szCs w:val="20"/>
                <w:color w:val="auto"/>
              </w:rPr>
            </w:pPr>
            <w:r>
              <w:rPr>
                <w:rFonts w:ascii="Arial" w:cs="Arial" w:eastAsia="Arial" w:hAnsi="Arial"/>
                <w:sz w:val="18"/>
                <w:szCs w:val="18"/>
                <w:color w:val="auto"/>
              </w:rPr>
              <w:t>Peter S. Ho</w:t>
            </w:r>
          </w:p>
        </w:tc>
      </w:tr>
      <w:tr>
        <w:trPr>
          <w:trHeight w:val="216"/>
        </w:trPr>
        <w:tc>
          <w:tcPr>
            <w:tcW w:w="5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16"/>
        </w:trPr>
        <w:tc>
          <w:tcPr>
            <w:tcW w:w="5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30"/>
        </w:trPr>
        <w:tc>
          <w:tcPr>
            <w:tcW w:w="5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432"/>
        </w:trPr>
        <w:tc>
          <w:tcPr>
            <w:tcW w:w="540" w:type="dxa"/>
            <w:vAlign w:val="bottom"/>
          </w:tcPr>
          <w:p>
            <w:pPr>
              <w:spacing w:after="0"/>
              <w:rPr>
                <w:sz w:val="24"/>
                <w:szCs w:val="24"/>
                <w:color w:val="auto"/>
              </w:rPr>
            </w:pPr>
          </w:p>
        </w:tc>
        <w:tc>
          <w:tcPr>
            <w:tcW w:w="5700" w:type="dxa"/>
            <w:vAlign w:val="bottom"/>
          </w:tcPr>
          <w:p>
            <w:pPr>
              <w:ind w:left="5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Dean Y. Shigemura</w:t>
            </w:r>
          </w:p>
        </w:tc>
      </w:tr>
      <w:tr>
        <w:trPr>
          <w:trHeight w:val="195"/>
        </w:trPr>
        <w:tc>
          <w:tcPr>
            <w:tcW w:w="5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4940" w:type="dxa"/>
            <w:vAlign w:val="bottom"/>
          </w:tcPr>
          <w:p>
            <w:pPr>
              <w:ind w:left="380"/>
              <w:spacing w:after="0" w:line="195" w:lineRule="exact"/>
              <w:rPr>
                <w:sz w:val="20"/>
                <w:szCs w:val="20"/>
                <w:color w:val="auto"/>
              </w:rPr>
            </w:pPr>
            <w:r>
              <w:rPr>
                <w:rFonts w:ascii="Arial" w:cs="Arial" w:eastAsia="Arial" w:hAnsi="Arial"/>
                <w:sz w:val="18"/>
                <w:szCs w:val="18"/>
                <w:color w:val="auto"/>
              </w:rPr>
              <w:t>Dean Y. Shigemura</w:t>
            </w:r>
          </w:p>
        </w:tc>
      </w:tr>
      <w:tr>
        <w:trPr>
          <w:trHeight w:val="230"/>
        </w:trPr>
        <w:tc>
          <w:tcPr>
            <w:tcW w:w="5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r>
        <w:trPr>
          <w:trHeight w:val="648"/>
        </w:trPr>
        <w:tc>
          <w:tcPr>
            <w:tcW w:w="540" w:type="dxa"/>
            <w:vAlign w:val="bottom"/>
          </w:tcPr>
          <w:p>
            <w:pPr>
              <w:spacing w:after="0"/>
              <w:rPr>
                <w:sz w:val="24"/>
                <w:szCs w:val="24"/>
                <w:color w:val="auto"/>
              </w:rPr>
            </w:pPr>
          </w:p>
        </w:tc>
        <w:tc>
          <w:tcPr>
            <w:tcW w:w="5700" w:type="dxa"/>
            <w:vAlign w:val="bottom"/>
          </w:tcPr>
          <w:p>
            <w:pPr>
              <w:jc w:val="right"/>
              <w:ind w:right="490"/>
              <w:spacing w:after="0"/>
              <w:rPr>
                <w:sz w:val="20"/>
                <w:szCs w:val="20"/>
                <w:color w:val="auto"/>
              </w:rPr>
            </w:pPr>
            <w:r>
              <w:rPr>
                <w:rFonts w:ascii="Arial" w:cs="Arial" w:eastAsia="Arial" w:hAnsi="Arial"/>
                <w:sz w:val="18"/>
                <w:szCs w:val="18"/>
                <w:color w:val="auto"/>
              </w:rPr>
              <w:t>83</w:t>
            </w:r>
          </w:p>
        </w:tc>
        <w:tc>
          <w:tcPr>
            <w:tcW w:w="4940" w:type="dxa"/>
            <w:vAlign w:val="bottom"/>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58"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57"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00" w:right="360" w:hanging="392"/>
        <w:spacing w:after="0" w:line="263" w:lineRule="auto"/>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400" w:right="260" w:hanging="392"/>
        <w:spacing w:after="0" w:line="277" w:lineRule="auto"/>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02" w:lineRule="exact"/>
        <w:rPr>
          <w:rFonts w:ascii="Arial" w:cs="Arial" w:eastAsia="Arial" w:hAnsi="Arial"/>
          <w:sz w:val="18"/>
          <w:szCs w:val="18"/>
          <w:color w:val="auto"/>
        </w:rPr>
      </w:pPr>
    </w:p>
    <w:p>
      <w:pPr>
        <w:ind w:left="800" w:right="140" w:hanging="401"/>
        <w:spacing w:after="0" w:line="277"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April 26, 2021</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40640</wp:posOffset>
            </wp:positionV>
            <wp:extent cx="3566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Peter S. Ho</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 and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240"/>
          </w:cols>
          <w:pgMar w:left="320" w:top="33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58"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57"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00" w:right="360" w:hanging="392"/>
        <w:spacing w:after="0" w:line="263"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400" w:right="260" w:hanging="392"/>
        <w:spacing w:after="0" w:line="277" w:lineRule="auto"/>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102" w:lineRule="exact"/>
        <w:rPr>
          <w:rFonts w:ascii="Arial" w:cs="Arial" w:eastAsia="Arial" w:hAnsi="Arial"/>
          <w:sz w:val="18"/>
          <w:szCs w:val="18"/>
          <w:color w:val="auto"/>
        </w:rPr>
      </w:pPr>
    </w:p>
    <w:p>
      <w:pPr>
        <w:ind w:left="800" w:right="140" w:hanging="401"/>
        <w:spacing w:after="0" w:line="277"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April 26, 2021</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40640</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Dean Y. Shigemura</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March 31, 2021 (the “Report”):</w:t>
      </w:r>
    </w:p>
    <w:p>
      <w:pPr>
        <w:spacing w:after="0" w:line="103" w:lineRule="exact"/>
        <w:rPr>
          <w:sz w:val="20"/>
          <w:szCs w:val="20"/>
          <w:color w:val="auto"/>
        </w:rPr>
      </w:pPr>
    </w:p>
    <w:p>
      <w:pPr>
        <w:ind w:left="800" w:hanging="401"/>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fully complies with the requirements of Section 13(a) or 15(d), as applicable, of the Securities Exchange Act of 1934, as amended; and</w:t>
      </w:r>
    </w:p>
    <w:p>
      <w:pPr>
        <w:spacing w:after="0" w:line="128" w:lineRule="exact"/>
        <w:rPr>
          <w:rFonts w:ascii="Arial" w:cs="Arial" w:eastAsia="Arial" w:hAnsi="Arial"/>
          <w:sz w:val="17"/>
          <w:szCs w:val="17"/>
          <w:color w:val="auto"/>
        </w:rPr>
      </w:pPr>
    </w:p>
    <w:p>
      <w:pPr>
        <w:ind w:left="800" w:hanging="401"/>
        <w:spacing w:after="0"/>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0"/>
        <w:spacing w:after="0"/>
        <w:tabs>
          <w:tab w:leader="none" w:pos="600" w:val="left"/>
          <w:tab w:leader="none" w:pos="5660" w:val="left"/>
        </w:tabs>
        <w:rPr>
          <w:sz w:val="20"/>
          <w:szCs w:val="20"/>
          <w:color w:val="auto"/>
        </w:rPr>
      </w:pPr>
      <w:r>
        <w:rPr>
          <w:rFonts w:ascii="Arial" w:cs="Arial" w:eastAsia="Arial" w:hAnsi="Arial"/>
          <w:sz w:val="18"/>
          <w:szCs w:val="18"/>
          <w:color w:val="auto"/>
        </w:rPr>
        <w:t>Date:</w:t>
        <w:tab/>
        <w:t>April 26, 2021</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Peter S. Ho</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 and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Dean Y. Shigemura</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19"/>
    </w:lvl>
  </w:abstractNum>
  <w:abstractNum w:abstractNumId="7">
    <w:nsid w:val="737B8DDC"/>
    <w:multiLevelType w:val="hybridMultilevel"/>
    <w:lvl w:ilvl="0">
      <w:lvlJc w:val="left"/>
      <w:lvlText w:val="%1."/>
      <w:numFmt w:val="decimal"/>
      <w:start w:val="848"/>
    </w:lvl>
  </w:abstractNum>
  <w:abstractNum w:abstractNumId="8">
    <w:nsid w:val="6CEAF087"/>
    <w:multiLevelType w:val="hybridMultilevel"/>
    <w:lvl w:ilvl="0">
      <w:lvlJc w:val="left"/>
      <w:lvlText w:val="1"/>
      <w:numFmt w:val="bullet"/>
      <w:start w:val="1"/>
    </w:lvl>
  </w:abstractNum>
  <w:abstractNum w:abstractNumId="9">
    <w:nsid w:val="22221A70"/>
    <w:multiLevelType w:val="hybridMultilevel"/>
    <w:lvl w:ilvl="0">
      <w:lvlJc w:val="left"/>
      <w:lvlText w:val="1"/>
      <w:numFmt w:val="bullet"/>
      <w:start w:val="1"/>
    </w:lvl>
  </w:abstractNum>
  <w:abstractNum w:abstractNumId="10">
    <w:nsid w:val="4516DDE9"/>
    <w:multiLevelType w:val="hybridMultilevel"/>
    <w:lvl w:ilvl="0">
      <w:lvlJc w:val="left"/>
      <w:lvlText w:val="%1"/>
      <w:numFmt w:val="upperLetter"/>
      <w:start w:val="68"/>
    </w:lvl>
  </w:abstractNum>
  <w:abstractNum w:abstractNumId="11">
    <w:nsid w:val="3006C83E"/>
    <w:multiLevelType w:val="hybridMultilevel"/>
    <w:lvl w:ilvl="0">
      <w:lvlJc w:val="left"/>
      <w:lvlText w:val="1"/>
      <w:numFmt w:val="bullet"/>
      <w:start w:val="1"/>
    </w:lvl>
  </w:abstractNum>
  <w:abstractNum w:abstractNumId="12">
    <w:nsid w:val="614FD4A1"/>
    <w:multiLevelType w:val="hybridMultilevel"/>
    <w:lvl w:ilvl="0">
      <w:lvlJc w:val="left"/>
      <w:lvlText w:val="1"/>
      <w:numFmt w:val="bullet"/>
      <w:start w:val="1"/>
    </w:lvl>
  </w:abstractNum>
  <w:abstractNum w:abstractNumId="13">
    <w:nsid w:val="419AC241"/>
    <w:multiLevelType w:val="hybridMultilevel"/>
    <w:lvl w:ilvl="0">
      <w:lvlJc w:val="left"/>
      <w:lvlText w:val="1"/>
      <w:numFmt w:val="bullet"/>
      <w:start w:val="1"/>
    </w:lvl>
  </w:abstractNum>
  <w:abstractNum w:abstractNumId="14">
    <w:nsid w:val="5577F8E1"/>
    <w:multiLevelType w:val="hybridMultilevel"/>
    <w:lvl w:ilvl="0">
      <w:lvlJc w:val="left"/>
      <w:lvlText w:val="2"/>
      <w:numFmt w:val="bullet"/>
      <w:start w:val="1"/>
    </w:lvl>
  </w:abstractNum>
  <w:abstractNum w:abstractNumId="15">
    <w:nsid w:val="440BADFC"/>
    <w:multiLevelType w:val="hybridMultilevel"/>
    <w:lvl w:ilvl="0">
      <w:lvlJc w:val="left"/>
      <w:lvlText w:val="1"/>
      <w:numFmt w:val="bullet"/>
      <w:start w:val="1"/>
    </w:lvl>
  </w:abstractNum>
  <w:abstractNum w:abstractNumId="16">
    <w:nsid w:val="5072367"/>
    <w:multiLevelType w:val="hybridMultilevel"/>
    <w:lvl w:ilvl="0">
      <w:lvlJc w:val="left"/>
      <w:lvlText w:val="1"/>
      <w:numFmt w:val="bullet"/>
      <w:start w:val="1"/>
    </w:lvl>
  </w:abstractNum>
  <w:abstractNum w:abstractNumId="17">
    <w:nsid w:val="3804823E"/>
    <w:multiLevelType w:val="hybridMultilevel"/>
    <w:lvl w:ilvl="0">
      <w:lvlJc w:val="left"/>
      <w:lvlText w:val="1"/>
      <w:numFmt w:val="bullet"/>
      <w:start w:val="1"/>
    </w:lvl>
  </w:abstractNum>
  <w:abstractNum w:abstractNumId="18">
    <w:nsid w:val="77465F01"/>
    <w:multiLevelType w:val="hybridMultilevel"/>
    <w:lvl w:ilvl="0">
      <w:lvlJc w:val="left"/>
      <w:lvlText w:val="2"/>
      <w:numFmt w:val="bullet"/>
      <w:start w:val="1"/>
    </w:lvl>
  </w:abstractNum>
  <w:abstractNum w:abstractNumId="19">
    <w:nsid w:val="7724C67E"/>
    <w:multiLevelType w:val="hybridMultilevel"/>
    <w:lvl w:ilvl="0">
      <w:lvlJc w:val="left"/>
      <w:lvlText w:val="1"/>
      <w:numFmt w:val="bullet"/>
      <w:start w:val="1"/>
    </w:lvl>
  </w:abstractNum>
  <w:abstractNum w:abstractNumId="20">
    <w:nsid w:val="5C482A97"/>
    <w:multiLevelType w:val="hybridMultilevel"/>
    <w:lvl w:ilvl="0">
      <w:lvlJc w:val="left"/>
      <w:lvlText w:val="1"/>
      <w:numFmt w:val="bullet"/>
      <w:start w:val="1"/>
    </w:lvl>
  </w:abstractNum>
  <w:abstractNum w:abstractNumId="21">
    <w:nsid w:val="2463B9EA"/>
    <w:multiLevelType w:val="hybridMultilevel"/>
    <w:lvl w:ilvl="0">
      <w:lvlJc w:val="left"/>
      <w:lvlText w:val="1"/>
      <w:numFmt w:val="bullet"/>
      <w:start w:val="1"/>
    </w:lvl>
  </w:abstractNum>
  <w:abstractNum w:abstractNumId="22">
    <w:nsid w:val="5E884ADC"/>
    <w:multiLevelType w:val="hybridMultilevel"/>
    <w:lvl w:ilvl="0">
      <w:lvlJc w:val="left"/>
      <w:lvlText w:val="2"/>
      <w:numFmt w:val="bullet"/>
      <w:start w:val="1"/>
    </w:lvl>
  </w:abstractNum>
  <w:abstractNum w:abstractNumId="23">
    <w:nsid w:val="51EAD36B"/>
    <w:multiLevelType w:val="hybridMultilevel"/>
    <w:lvl w:ilvl="0">
      <w:lvlJc w:val="left"/>
      <w:lvlText w:val="1"/>
      <w:numFmt w:val="bullet"/>
      <w:start w:val="1"/>
    </w:lvl>
  </w:abstractNum>
  <w:abstractNum w:abstractNumId="24">
    <w:nsid w:val="2D517796"/>
    <w:multiLevelType w:val="hybridMultilevel"/>
    <w:lvl w:ilvl="0">
      <w:lvlJc w:val="left"/>
      <w:lvlText w:val="1"/>
      <w:numFmt w:val="bullet"/>
      <w:start w:val="1"/>
    </w:lvl>
  </w:abstractNum>
  <w:abstractNum w:abstractNumId="25">
    <w:nsid w:val="580BD78F"/>
    <w:multiLevelType w:val="hybridMultilevel"/>
    <w:lvl w:ilvl="0">
      <w:lvlJc w:val="left"/>
      <w:lvlText w:val="1"/>
      <w:numFmt w:val="bullet"/>
      <w:start w:val="1"/>
    </w:lvl>
  </w:abstractNum>
  <w:abstractNum w:abstractNumId="26">
    <w:nsid w:val="153EA438"/>
    <w:multiLevelType w:val="hybridMultilevel"/>
    <w:lvl w:ilvl="0">
      <w:lvlJc w:val="left"/>
      <w:lvlText w:val="1"/>
      <w:numFmt w:val="bullet"/>
      <w:start w:val="1"/>
    </w:lvl>
  </w:abstractNum>
  <w:abstractNum w:abstractNumId="27">
    <w:nsid w:val="3855585C"/>
    <w:multiLevelType w:val="hybridMultilevel"/>
    <w:lvl w:ilvl="0">
      <w:lvlJc w:val="left"/>
      <w:lvlText w:val="1"/>
      <w:numFmt w:val="bullet"/>
      <w:start w:val="1"/>
    </w:lvl>
  </w:abstractNum>
  <w:abstractNum w:abstractNumId="28">
    <w:nsid w:val="70A64E2A"/>
    <w:multiLevelType w:val="hybridMultilevel"/>
    <w:lvl w:ilvl="0">
      <w:lvlJc w:val="left"/>
      <w:lvlText w:val="1"/>
      <w:numFmt w:val="bullet"/>
      <w:start w:val="1"/>
    </w:lvl>
  </w:abstractNum>
  <w:abstractNum w:abstractNumId="29">
    <w:nsid w:val="6A2342EC"/>
    <w:multiLevelType w:val="hybridMultilevel"/>
    <w:lvl w:ilvl="0">
      <w:lvlJc w:val="left"/>
      <w:lvlText w:val="%1)"/>
      <w:numFmt w:val="decimal"/>
      <w:start w:val="1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bullet"/>
      <w:start w:val="1"/>
    </w:lvl>
  </w:abstractNum>
  <w:abstractNum w:abstractNumId="34">
    <w:nsid w:val="57E4CCAF"/>
    <w:multiLevelType w:val="hybridMultilevel"/>
    <w:lvl w:ilvl="0">
      <w:lvlJc w:val="left"/>
      <w:lvlText w:val="1"/>
      <w:numFmt w:val="bullet"/>
      <w:start w:val="1"/>
    </w:lvl>
  </w:abstractNum>
  <w:abstractNum w:abstractNumId="35">
    <w:nsid w:val="7A6D8D3C"/>
    <w:multiLevelType w:val="hybridMultilevel"/>
    <w:lvl w:ilvl="0">
      <w:lvlJc w:val="left"/>
      <w:lvlText w:val="1"/>
      <w:numFmt w:val="bullet"/>
      <w:start w:val="1"/>
    </w:lvl>
  </w:abstractNum>
  <w:abstractNum w:abstractNumId="36">
    <w:nsid w:val="4B588F54"/>
    <w:multiLevelType w:val="hybridMultilevel"/>
    <w:lvl w:ilvl="0">
      <w:lvlJc w:val="left"/>
      <w:lvlText w:val="1"/>
      <w:numFmt w:val="bullet"/>
      <w:start w:val="1"/>
    </w:lvl>
  </w:abstractNum>
  <w:abstractNum w:abstractNumId="37">
    <w:nsid w:val="542289EC"/>
    <w:multiLevelType w:val="hybridMultilevel"/>
    <w:lvl w:ilvl="0">
      <w:lvlJc w:val="left"/>
      <w:lvlText w:val="1"/>
      <w:numFmt w:val="bullet"/>
      <w:start w:val="1"/>
    </w:lvl>
  </w:abstractNum>
  <w:abstractNum w:abstractNumId="38">
    <w:nsid w:val="6DE91B18"/>
    <w:multiLevelType w:val="hybridMultilevel"/>
    <w:lvl w:ilvl="0">
      <w:lvlJc w:val="left"/>
      <w:lvlText w:val="2"/>
      <w:numFmt w:val="bullet"/>
      <w:start w:val="1"/>
    </w:lvl>
  </w:abstractNum>
  <w:abstractNum w:abstractNumId="39">
    <w:nsid w:val="38437FDB"/>
    <w:multiLevelType w:val="hybridMultilevel"/>
    <w:lvl w:ilvl="0">
      <w:lvlJc w:val="left"/>
      <w:lvlText w:val="1"/>
      <w:numFmt w:val="bullet"/>
      <w:start w:val="1"/>
    </w:lvl>
  </w:abstractNum>
  <w:abstractNum w:abstractNumId="40">
    <w:nsid w:val="7644A45C"/>
    <w:multiLevelType w:val="hybridMultilevel"/>
    <w:lvl w:ilvl="0">
      <w:lvlJc w:val="left"/>
      <w:lvlText w:val="1"/>
      <w:numFmt w:val="bullet"/>
      <w:start w:val="1"/>
    </w:lvl>
  </w:abstractNum>
  <w:abstractNum w:abstractNumId="41">
    <w:nsid w:val="32FFF902"/>
    <w:multiLevelType w:val="hybridMultilevel"/>
    <w:lvl w:ilvl="0">
      <w:lvlJc w:val="left"/>
      <w:lvlText w:val="1"/>
      <w:numFmt w:val="bullet"/>
      <w:start w:val="1"/>
    </w:lvl>
  </w:abstractNum>
  <w:abstractNum w:abstractNumId="42">
    <w:nsid w:val="684A481A"/>
    <w:multiLevelType w:val="hybridMultilevel"/>
    <w:lvl w:ilvl="0">
      <w:lvlJc w:val="left"/>
      <w:lvlText w:val="2"/>
      <w:numFmt w:val="bullet"/>
      <w:start w:val="1"/>
    </w:lvl>
  </w:abstractNum>
  <w:abstractNum w:abstractNumId="43">
    <w:nsid w:val="579478FE"/>
    <w:multiLevelType w:val="hybridMultilevel"/>
    <w:lvl w:ilvl="0">
      <w:lvlJc w:val="left"/>
      <w:lvlText w:val="3"/>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bullet"/>
      <w:start w:val="1"/>
    </w:lvl>
  </w:abstractNum>
  <w:abstractNum w:abstractNumId="46">
    <w:nsid w:val="1BA026FA"/>
    <w:multiLevelType w:val="hybridMultilevel"/>
    <w:lvl w:ilvl="0">
      <w:lvlJc w:val="left"/>
      <w:lvlText w:val="2"/>
      <w:numFmt w:val="bullet"/>
      <w:start w:val="1"/>
    </w:lvl>
  </w:abstractNum>
  <w:abstractNum w:abstractNumId="47">
    <w:nsid w:val="79A1DEAA"/>
    <w:multiLevelType w:val="hybridMultilevel"/>
    <w:lvl w:ilvl="0">
      <w:lvlJc w:val="left"/>
      <w:lvlText w:val="%1"/>
      <w:numFmt w:val="upperLetter"/>
      <w:start w:val="68"/>
    </w:lvl>
  </w:abstractNum>
  <w:abstractNum w:abstractNumId="48">
    <w:nsid w:val="75C6C33A"/>
    <w:multiLevelType w:val="hybridMultilevel"/>
    <w:lvl w:ilvl="0">
      <w:lvlJc w:val="left"/>
      <w:lvlText w:val="1"/>
      <w:numFmt w:val="bullet"/>
      <w:start w:val="1"/>
    </w:lvl>
  </w:abstractNum>
  <w:abstractNum w:abstractNumId="49">
    <w:nsid w:val="12E685FB"/>
    <w:multiLevelType w:val="hybridMultilevel"/>
    <w:lvl w:ilvl="0">
      <w:lvlJc w:val="left"/>
      <w:lvlText w:val="2"/>
      <w:numFmt w:val="bullet"/>
      <w:start w:val="1"/>
    </w:lvl>
  </w:abstractNum>
  <w:abstractNum w:abstractNumId="50">
    <w:nsid w:val="70C6A529"/>
    <w:multiLevelType w:val="hybridMultilevel"/>
    <w:lvl w:ilvl="0">
      <w:lvlJc w:val="left"/>
      <w:lvlText w:val="%1"/>
      <w:numFmt w:val="decimal"/>
      <w:start w:val="32"/>
    </w:lvl>
  </w:abstractNum>
  <w:abstractNum w:abstractNumId="51">
    <w:nsid w:val="520EEDD1"/>
    <w:multiLevelType w:val="hybridMultilevel"/>
    <w:lvl w:ilvl="0">
      <w:lvlJc w:val="left"/>
      <w:lvlText w:val="%1"/>
      <w:numFmt w:val="decimal"/>
      <w:start w:val="104"/>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2021-04-26T16:37:10Z</dcterms:created>
  <dcterms:modified xsi:type="dcterms:W3CDTF">2021-04-26T16:37:10Z</dcterms:modified>
</cp:coreProperties>
</file>