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ectPr>
          <w:pgSz w:w="11900" w:h="16838" w:orient="portrait"/>
          <w:cols w:equalWidth="0" w:num="1">
            <w:col w:w="11080"/>
          </w:cols>
          <w:pgMar w:left="320" w:top="1440" w:right="499" w:bottom="1440" w:gutter="0" w:footer="0" w:header="0"/>
        </w:sectPr>
      </w:pPr>
    </w:p>
    <w:p>
      <w:pPr>
        <w:spacing w:after="0" w:line="146"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7"/>
          <w:szCs w:val="17"/>
          <w:color w:val="auto"/>
        </w:rPr>
        <w:t>Date of Report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24, 2026</w:t>
      </w:r>
    </w:p>
    <w:p>
      <w:pPr>
        <w:spacing w:after="0" w:line="67" w:lineRule="exact"/>
        <w:rPr>
          <w:sz w:val="24"/>
          <w:szCs w:val="24"/>
          <w:color w:val="auto"/>
        </w:rPr>
      </w:pPr>
    </w:p>
    <w:p>
      <w:pPr>
        <w:sectPr>
          <w:pgSz w:w="11900" w:h="16838" w:orient="portrait"/>
          <w:cols w:equalWidth="0" w:num="2">
            <w:col w:w="6900" w:space="720"/>
            <w:col w:w="3460"/>
          </w:cols>
          <w:pgMar w:left="320" w:top="1440" w:right="49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8"/>
          <w:szCs w:val="18"/>
          <w:color w:val="auto"/>
        </w:rPr>
        <w:t>(Date of earliest event reported)</w:t>
      </w:r>
    </w:p>
    <w:p>
      <w:pPr>
        <w:sectPr>
          <w:pgSz w:w="11900" w:h="16838" w:orient="portrait"/>
          <w:cols w:equalWidth="0" w:num="1">
            <w:col w:w="11080"/>
          </w:cols>
          <w:pgMar w:left="320" w:top="1440" w:right="499" w:bottom="1440" w:gutter="0" w:footer="0" w:header="0"/>
          <w:type w:val="continuous"/>
        </w:sectPr>
      </w:pPr>
    </w:p>
    <w:p>
      <w:pPr>
        <w:spacing w:after="0" w:line="1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BANK OF HAWAII CORPORATION</w:t>
      </w:r>
    </w:p>
    <w:p>
      <w:pPr>
        <w:spacing w:after="0" w:line="1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080"/>
          </w:cols>
          <w:pgMar w:left="320" w:top="1440" w:right="499" w:bottom="1440" w:gutter="0" w:footer="0" w:header="0"/>
          <w:type w:val="continuous"/>
        </w:sectPr>
      </w:pPr>
    </w:p>
    <w:p>
      <w:pPr>
        <w:spacing w:after="0" w:line="11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b w:val="1"/>
          <w:bCs w:val="1"/>
          <w:color w:val="auto"/>
        </w:rPr>
        <w:t>1-6887</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99-0148992</w:t>
      </w:r>
    </w:p>
    <w:p>
      <w:pPr>
        <w:spacing w:after="0" w:line="74" w:lineRule="exact"/>
        <w:rPr>
          <w:sz w:val="24"/>
          <w:szCs w:val="24"/>
          <w:color w:val="auto"/>
        </w:rPr>
      </w:pPr>
    </w:p>
    <w:p>
      <w:pPr>
        <w:sectPr>
          <w:pgSz w:w="11900" w:h="16838" w:orient="portrait"/>
          <w:cols w:equalWidth="0" w:num="3">
            <w:col w:w="4660" w:space="720"/>
            <w:col w:w="2860" w:space="720"/>
            <w:col w:w="2120"/>
          </w:cols>
          <w:pgMar w:left="320" w:top="1440" w:right="4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20" w:space="720"/>
            <w:col w:w="2840" w:space="720"/>
            <w:col w:w="2680"/>
          </w:cols>
          <w:pgMar w:left="320" w:top="1440" w:right="499" w:bottom="1440" w:gutter="0" w:footer="0" w:header="0"/>
          <w:type w:val="continuous"/>
        </w:sectPr>
      </w:pPr>
    </w:p>
    <w:p>
      <w:pPr>
        <w:spacing w:after="0" w:line="58"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130 Merchant Street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b w:val="1"/>
          <w:bCs w:val="1"/>
          <w:color w:val="auto"/>
        </w:rPr>
        <w:t>Honolulu</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b w:val="1"/>
          <w:bCs w:val="1"/>
          <w:color w:val="auto"/>
        </w:rPr>
        <w:t>Hawaii</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96813</w:t>
      </w:r>
    </w:p>
    <w:p>
      <w:pPr>
        <w:spacing w:after="0" w:line="63" w:lineRule="exact"/>
        <w:rPr>
          <w:sz w:val="24"/>
          <w:szCs w:val="24"/>
          <w:color w:val="auto"/>
        </w:rPr>
      </w:pPr>
    </w:p>
    <w:p>
      <w:pPr>
        <w:sectPr>
          <w:pgSz w:w="11900" w:h="16838" w:orient="portrait"/>
          <w:cols w:equalWidth="0" w:num="4">
            <w:col w:w="3580" w:space="720"/>
            <w:col w:w="1980" w:space="720"/>
            <w:col w:w="1940" w:space="720"/>
            <w:col w:w="1420"/>
          </w:cols>
          <w:pgMar w:left="320" w:top="1440"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(City)</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Times New Roman" w:cs="Times New Roman" w:eastAsia="Times New Roman" w:hAnsi="Times New Roman"/>
          <w:sz w:val="14"/>
          <w:szCs w:val="14"/>
          <w:color w:val="auto"/>
        </w:rPr>
        <w:t>(State)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4">
            <w:col w:w="3760" w:space="720"/>
            <w:col w:w="1880" w:space="720"/>
            <w:col w:w="1780" w:space="720"/>
            <w:col w:w="1500"/>
          </w:cols>
          <w:pgMar w:left="320" w:top="1440" w:right="499" w:bottom="1440" w:gutter="0" w:footer="0" w:header="0"/>
          <w:type w:val="continuous"/>
        </w:sectPr>
      </w:pP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(888) 643-3888</w:t>
      </w:r>
    </w:p>
    <w:p>
      <w:pPr>
        <w:spacing w:after="0" w:line="9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 of each class</w:t>
            </w: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Trading Symbol(s)</w:t>
            </w:r>
          </w:p>
        </w:tc>
        <w:tc>
          <w:tcPr>
            <w:tcW w:w="2640" w:type="dxa"/>
            <w:vAlign w:val="bottom"/>
            <w:gridSpan w:val="5"/>
          </w:tcPr>
          <w:p>
            <w:pPr>
              <w:jc w:val="center"/>
              <w:ind w:left="339"/>
              <w:spacing w:after="0"/>
              <w:rPr>
                <w:sz w:val="20"/>
                <w:szCs w:val="20"/>
                <w:color w:val="auto"/>
              </w:rPr>
            </w:pPr>
            <w:r>
              <w:rPr>
                <w:rFonts w:ascii="Times New Roman" w:cs="Times New Roman" w:eastAsia="Times New Roman" w:hAnsi="Times New Roman"/>
                <w:sz w:val="16"/>
                <w:szCs w:val="16"/>
                <w:color w:val="auto"/>
              </w:rPr>
              <w:t>Name of each exchange on which</w:t>
            </w:r>
          </w:p>
        </w:tc>
      </w:tr>
      <w:tr>
        <w:trPr>
          <w:trHeight w:val="169"/>
        </w:trPr>
        <w:tc>
          <w:tcPr>
            <w:tcW w:w="1180" w:type="dxa"/>
            <w:vAlign w:val="bottom"/>
            <w:tcBorders>
              <w:top w:val="single" w:sz="8" w:color="auto"/>
            </w:tcBorders>
          </w:tcPr>
          <w:p>
            <w:pPr>
              <w:spacing w:after="0"/>
              <w:rPr>
                <w:sz w:val="14"/>
                <w:szCs w:val="14"/>
                <w:color w:val="auto"/>
              </w:rPr>
            </w:pPr>
          </w:p>
        </w:tc>
        <w:tc>
          <w:tcPr>
            <w:tcW w:w="55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registered</w:t>
            </w: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71"/>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BOH</w:t>
            </w:r>
          </w:p>
        </w:tc>
        <w:tc>
          <w:tcPr>
            <w:tcW w:w="440" w:type="dxa"/>
            <w:vAlign w:val="bottom"/>
          </w:tcPr>
          <w:p>
            <w:pPr>
              <w:spacing w:after="0"/>
              <w:rPr>
                <w:sz w:val="23"/>
                <w:szCs w:val="23"/>
                <w:color w:val="auto"/>
              </w:rPr>
            </w:pPr>
          </w:p>
        </w:tc>
        <w:tc>
          <w:tcPr>
            <w:tcW w:w="22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r>
        <w:trPr>
          <w:trHeight w:val="220"/>
        </w:trPr>
        <w:tc>
          <w:tcPr>
            <w:tcW w:w="6760" w:type="dxa"/>
            <w:vAlign w:val="bottom"/>
            <w:gridSpan w:val="2"/>
          </w:tcPr>
          <w:p>
            <w:pPr>
              <w:spacing w:after="0" w:line="220" w:lineRule="exact"/>
              <w:rPr>
                <w:sz w:val="20"/>
                <w:szCs w:val="20"/>
                <w:color w:val="auto"/>
              </w:rPr>
            </w:pPr>
            <w:r>
              <w:rPr>
                <w:rFonts w:ascii="Times New Roman" w:cs="Times New Roman" w:eastAsia="Times New Roman" w:hAnsi="Times New Roman"/>
                <w:sz w:val="16"/>
                <w:szCs w:val="16"/>
                <w:b w:val="1"/>
                <w:bCs w:val="1"/>
                <w:color w:val="auto"/>
              </w:rPr>
              <w:t>Depository Shares, Each Representing 1/40</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Interest in a Share of 4.375% Fixed Rate</w:t>
            </w: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BOH.PRA</w:t>
            </w:r>
          </w:p>
        </w:tc>
        <w:tc>
          <w:tcPr>
            <w:tcW w:w="440" w:type="dxa"/>
            <w:vAlign w:val="bottom"/>
          </w:tcPr>
          <w:p>
            <w:pPr>
              <w:spacing w:after="0"/>
              <w:rPr>
                <w:sz w:val="19"/>
                <w:szCs w:val="19"/>
                <w:color w:val="auto"/>
              </w:rPr>
            </w:pPr>
          </w:p>
        </w:tc>
        <w:tc>
          <w:tcPr>
            <w:tcW w:w="22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r>
        <w:trPr>
          <w:trHeight w:val="212"/>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Non-Cumulative Perpetual Preferred Stock, Series A</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676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b w:val="1"/>
                <w:bCs w:val="1"/>
                <w:color w:val="auto"/>
              </w:rPr>
              <w:t>Depository Shares, Each Representing 1/40</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Interest in a Share of 8.000% Fixed Rate</w:t>
            </w: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BOH.PRB</w:t>
            </w:r>
          </w:p>
        </w:tc>
        <w:tc>
          <w:tcPr>
            <w:tcW w:w="440" w:type="dxa"/>
            <w:vAlign w:val="bottom"/>
          </w:tcPr>
          <w:p>
            <w:pPr>
              <w:spacing w:after="0"/>
              <w:rPr>
                <w:sz w:val="20"/>
                <w:szCs w:val="20"/>
                <w:color w:val="auto"/>
              </w:rPr>
            </w:pPr>
          </w:p>
        </w:tc>
        <w:tc>
          <w:tcPr>
            <w:tcW w:w="22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r>
        <w:trPr>
          <w:trHeight w:val="212"/>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Non-Cumulative Perpetual Preferred Stock, Series B</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7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w:t>
      </w:r>
    </w:p>
    <w:p>
      <w:pPr>
        <w:spacing w:after="0" w:line="198"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On April 24, 2026, Bank of Hawaii Corporation (the “Company”) held its annual shareholders</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meeting. At the meeting, the following matters were submitted to a vote of the shareholders:</w:t>
      </w:r>
    </w:p>
    <w:p>
      <w:pPr>
        <w:spacing w:after="0" w:line="20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Votes Cast For</w:t>
            </w:r>
          </w:p>
        </w:tc>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8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3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Uncast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23"/>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C. Erickson</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28,829,553</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181,171</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414,849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4,003,386</w:t>
            </w: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Joshua D. Feldman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28,761,698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256,016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407,859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4,003,386</w:t>
            </w: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Michelle E. Hulst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28,705,043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4,003,386</w:t>
            </w: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Kent T. Lucien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28,652,422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372,794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400,357</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4,003,386</w:t>
            </w: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Elliot K. Mills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28,694,439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429,034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4,003,386</w:t>
            </w: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Alicia E. Moy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28,849,120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175,278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401,175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4,003,386</w:t>
            </w: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 K. Nichols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28,634,046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360,719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430,808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4,003,386</w:t>
            </w: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C. Polk</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28,771,261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233,567</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420,745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4,003,386</w:t>
            </w: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Dana M. Tokioka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28,615,832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450,505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4,003,386</w:t>
            </w: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P. Vara, Jr.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27,956,448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1,054,811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414,314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4,003,386</w:t>
            </w: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Suzanne P. Vares-Lum</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28,871,215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422,809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4,003,386</w:t>
            </w:r>
          </w:p>
        </w:tc>
      </w:tr>
      <w:tr>
        <w:trPr>
          <w:trHeight w:val="23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 Wo</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28,182,063</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845,256</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398,254</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4,003,386</w:t>
            </w:r>
          </w:p>
        </w:tc>
      </w:tr>
    </w:tbl>
    <w:p>
      <w:pPr>
        <w:spacing w:after="0" w:line="31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Company's executive compensation: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Cast For</w:t>
            </w:r>
          </w:p>
        </w:tc>
        <w:tc>
          <w:tcPr>
            <w:tcW w:w="22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5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Uncast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23"/>
        </w:trPr>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17,274,193</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11,632,570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518,810</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4,003,386</w:t>
            </w:r>
          </w:p>
        </w:tc>
      </w:tr>
    </w:tbl>
    <w:p>
      <w:pPr>
        <w:spacing w:after="0" w:line="306" w:lineRule="exact"/>
        <w:rPr>
          <w:sz w:val="20"/>
          <w:szCs w:val="20"/>
          <w:color w:val="auto"/>
        </w:rPr>
      </w:pPr>
    </w:p>
    <w:p>
      <w:pPr>
        <w:ind w:left="660" w:right="4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re-appointment of Ernst &amp; Young LLP as the Company's independent registered public accounting firm for the fiscal year ending December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Cast For</w:t>
            </w:r>
          </w:p>
        </w:tc>
        <w:tc>
          <w:tcPr>
            <w:tcW w:w="22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5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Uncast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23"/>
        </w:trPr>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32,239,430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782,004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407,525</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w w:val="88"/>
              </w:rPr>
              <w:t>–</w:t>
            </w:r>
          </w:p>
        </w:tc>
      </w:tr>
      <w:tr>
        <w:trPr>
          <w:trHeight w:val="1020"/>
        </w:trPr>
        <w:tc>
          <w:tcPr>
            <w:tcW w:w="2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8"/>
          <w:szCs w:val="18"/>
          <w:color w:val="auto"/>
        </w:rPr>
        <w:t>Date: April 28, 2026</w:t>
      </w:r>
      <w:r>
        <w:rPr>
          <w:sz w:val="20"/>
          <w:szCs w:val="20"/>
          <w:color w:val="auto"/>
        </w:rPr>
        <w:tab/>
      </w:r>
      <w:r>
        <w:rPr>
          <w:rFonts w:ascii="Times New Roman" w:cs="Times New Roman" w:eastAsia="Times New Roman" w:hAnsi="Times New Roman"/>
          <w:sz w:val="18"/>
          <w:szCs w:val="18"/>
          <w:color w:val="auto"/>
        </w:rPr>
        <w:t>Bank of Hawaii Corporation</w:t>
      </w:r>
    </w:p>
    <w:p>
      <w:pPr>
        <w:spacing w:after="0" w:line="200" w:lineRule="exact"/>
        <w:rPr>
          <w:sz w:val="20"/>
          <w:szCs w:val="20"/>
          <w:color w:val="auto"/>
        </w:rPr>
      </w:pPr>
    </w:p>
    <w:p>
      <w:pPr>
        <w:spacing w:after="0" w:line="376" w:lineRule="exact"/>
        <w:rPr>
          <w:sz w:val="20"/>
          <w:szCs w:val="20"/>
          <w:color w:val="auto"/>
        </w:rPr>
      </w:pPr>
    </w:p>
    <w:p>
      <w:pPr>
        <w:ind w:left="5460"/>
        <w:spacing w:after="0"/>
        <w:tabs>
          <w:tab w:leader="none" w:pos="5900" w:val="left"/>
        </w:tabs>
        <w:rPr>
          <w:sz w:val="20"/>
          <w:szCs w:val="20"/>
          <w:color w:val="auto"/>
        </w:rPr>
      </w:pPr>
      <w:r>
        <w:rPr>
          <w:rFonts w:ascii="Times New Roman" w:cs="Times New Roman" w:eastAsia="Times New Roman" w:hAnsi="Times New Roman"/>
          <w:sz w:val="18"/>
          <w:szCs w:val="18"/>
          <w:color w:val="auto"/>
        </w:rPr>
        <w:t>By:</w:t>
        <w:tab/>
        <w:t>/s/ Patrick M. McGuirk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Patrick M. McGuirk</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Vice Chair and Chief Administrative Officer</w:t>
      </w:r>
    </w:p>
    <w:sectPr>
      <w:pgSz w:w="11900" w:h="16838" w:orient="portrait"/>
      <w:cols w:equalWidth="0" w:num="1">
        <w:col w:w="10980"/>
      </w:cols>
      <w:pgMar w:left="320" w:top="1143"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2026-04-28T16:06:04Z</dcterms:created>
  <dcterms:modified xsi:type="dcterms:W3CDTF">2026-04-28T16:06:04Z</dcterms:modified>
</cp:coreProperties>
</file>