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542925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568325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7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 to</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1-6887</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BANK OF HAWAII CORPORATION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ind w:left="24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99-0148992</w:t>
            </w:r>
          </w:p>
        </w:tc>
        <w:tc>
          <w:tcPr>
            <w:tcW w:w="0" w:type="dxa"/>
            <w:vAlign w:val="bottom"/>
          </w:tcPr>
          <w:p>
            <w:pPr>
              <w:spacing w:after="0"/>
              <w:rPr>
                <w:sz w:val="1"/>
                <w:szCs w:val="1"/>
                <w:color w:val="auto"/>
              </w:rPr>
            </w:pPr>
          </w:p>
        </w:tc>
      </w:tr>
      <w:tr>
        <w:trPr>
          <w:trHeight w:val="243"/>
        </w:trPr>
        <w:tc>
          <w:tcPr>
            <w:tcW w:w="378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(State of incorporation)</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351"/>
        </w:trPr>
        <w:tc>
          <w:tcPr>
            <w:tcW w:w="378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130 Merchant Street</w:t>
            </w:r>
          </w:p>
        </w:tc>
        <w:tc>
          <w:tcPr>
            <w:tcW w:w="1260" w:type="dxa"/>
            <w:vAlign w:val="bottom"/>
          </w:tcPr>
          <w:p>
            <w:pPr>
              <w:jc w:val="center"/>
              <w:ind w:right="502"/>
              <w:spacing w:after="0"/>
              <w:rPr>
                <w:sz w:val="20"/>
                <w:szCs w:val="20"/>
                <w:color w:val="auto"/>
              </w:rPr>
            </w:pPr>
            <w:r>
              <w:rPr>
                <w:rFonts w:ascii="Times New Roman" w:cs="Times New Roman" w:eastAsia="Times New Roman" w:hAnsi="Times New Roman"/>
                <w:sz w:val="16"/>
                <w:szCs w:val="16"/>
                <w:b w:val="1"/>
                <w:bCs w:val="1"/>
                <w:color w:val="auto"/>
                <w:w w:val="99"/>
              </w:rPr>
              <w:t>Honolulu</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3640" w:type="dxa"/>
            <w:vAlign w:val="bottom"/>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96813</w:t>
            </w:r>
          </w:p>
        </w:tc>
        <w:tc>
          <w:tcPr>
            <w:tcW w:w="0" w:type="dxa"/>
            <w:vAlign w:val="bottom"/>
          </w:tcPr>
          <w:p>
            <w:pPr>
              <w:spacing w:after="0"/>
              <w:rPr>
                <w:sz w:val="1"/>
                <w:szCs w:val="1"/>
                <w:color w:val="auto"/>
              </w:rPr>
            </w:pPr>
          </w:p>
        </w:tc>
      </w:tr>
      <w:tr>
        <w:trPr>
          <w:trHeight w:val="212"/>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jc w:val="center"/>
              <w:ind w:right="482"/>
              <w:spacing w:after="0"/>
              <w:rPr>
                <w:sz w:val="20"/>
                <w:szCs w:val="20"/>
                <w:color w:val="auto"/>
              </w:rPr>
            </w:pPr>
            <w:r>
              <w:rPr>
                <w:rFonts w:ascii="Times New Roman" w:cs="Times New Roman" w:eastAsia="Times New Roman" w:hAnsi="Times New Roman"/>
                <w:sz w:val="14"/>
                <w:szCs w:val="14"/>
                <w:color w:val="auto"/>
              </w:rPr>
              <w:t>(City)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color w:val="auto"/>
              </w:rPr>
              <w:t>(State)</w:t>
            </w:r>
          </w:p>
        </w:tc>
        <w:tc>
          <w:tcPr>
            <w:tcW w:w="3640" w:type="dxa"/>
            <w:vAlign w:val="bottom"/>
          </w:tcPr>
          <w:p>
            <w:pPr>
              <w:jc w:val="center"/>
              <w:ind w:left="88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34"/>
        </w:trPr>
        <w:tc>
          <w:tcPr>
            <w:tcW w:w="3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gridSpan w:val="3"/>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7"/>
                <w:szCs w:val="17"/>
                <w:b w:val="1"/>
                <w:bCs w:val="1"/>
                <w:color w:val="auto"/>
              </w:rPr>
              <w:t>888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7"/>
                <w:szCs w:val="17"/>
                <w:b w:val="1"/>
                <w:bCs w:val="1"/>
                <w:color w:val="auto"/>
              </w:rPr>
              <w:t>643-3888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2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color w:val="auto"/>
              </w:rPr>
              <w:t>Title of each class</w:t>
            </w:r>
          </w:p>
        </w:tc>
        <w:tc>
          <w:tcPr>
            <w:tcW w:w="1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jc w:val="center"/>
              <w:ind w:right="56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BOH</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20"/>
        </w:trPr>
        <w:tc>
          <w:tcPr>
            <w:tcW w:w="50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w w:val="99"/>
              </w:rPr>
              <w:t>BOH.PRA</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4.375% Fixed Rate Non-Cumulative Perpetual Preferred Stock, Series 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4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BOH.PRB</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8.000% Fixed Rate Non-Cumulative Perpetual Preferred Stock, Series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tabs>
          <w:tab w:leader="none" w:pos="1000" w:val="left"/>
        </w:tabs>
        <w:rPr>
          <w:sz w:val="20"/>
          <w:szCs w:val="20"/>
          <w:color w:val="auto"/>
        </w:rPr>
      </w:pPr>
      <w:r>
        <w:rPr>
          <w:rFonts w:ascii="Times New Roman" w:cs="Times New Roman" w:eastAsia="Times New Roman" w:hAnsi="Times New Roman"/>
          <w:sz w:val="16"/>
          <w:szCs w:val="16"/>
          <w:color w:val="auto"/>
        </w:rPr>
        <w:t>days.</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8" w:lineRule="exact"/>
        <w:rPr>
          <w:sz w:val="24"/>
          <w:szCs w:val="24"/>
          <w:color w:val="auto"/>
        </w:rPr>
      </w:pPr>
    </w:p>
    <w:p>
      <w:pPr>
        <w:spacing w:after="0"/>
        <w:tabs>
          <w:tab w:leader="none" w:pos="964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1"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20" w:type="dxa"/>
            <w:vAlign w:val="bottom"/>
          </w:tcPr>
          <w:p>
            <w:pPr>
              <w:ind w:left="1600"/>
              <w:spacing w:after="0"/>
              <w:rPr>
                <w:sz w:val="20"/>
                <w:szCs w:val="20"/>
                <w:color w:val="auto"/>
              </w:rPr>
            </w:pPr>
            <w:r>
              <w:rPr>
                <w:rFonts w:ascii="Wingdings" w:cs="Wingdings" w:eastAsia="Wingdings" w:hAnsi="Wingdings"/>
                <w:sz w:val="16"/>
                <w:szCs w:val="16"/>
                <w:b w:val="1"/>
                <w:bCs w:val="1"/>
                <w:color w:val="auto"/>
              </w:rPr>
              <w:t>x</w:t>
            </w: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20" w:type="dxa"/>
            <w:vAlign w:val="bottom"/>
          </w:tcPr>
          <w:p>
            <w:pPr>
              <w:ind w:left="1600"/>
              <w:spacing w:after="0"/>
              <w:rPr>
                <w:sz w:val="20"/>
                <w:szCs w:val="20"/>
                <w:color w:val="auto"/>
              </w:rPr>
            </w:pPr>
            <w:r>
              <w:rPr>
                <w:rFonts w:ascii="Wingdings" w:cs="Wingdings" w:eastAsia="Wingdings" w:hAnsi="Wingdings"/>
                <w:sz w:val="16"/>
                <w:szCs w:val="16"/>
                <w:b w:val="1"/>
                <w:bCs w:val="1"/>
                <w:color w:val="auto"/>
              </w:rPr>
              <w:t>o</w:t>
            </w: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r>
        <w:trPr>
          <w:trHeight w:val="243"/>
        </w:trPr>
        <w:tc>
          <w:tcPr>
            <w:tcW w:w="30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00" w:lineRule="exact"/>
        <w:rPr>
          <w:sz w:val="24"/>
          <w:szCs w:val="24"/>
          <w:color w:val="auto"/>
        </w:rPr>
      </w:pPr>
    </w:p>
    <w:p>
      <w:pPr>
        <w:ind w:right="580"/>
        <w:spacing w:after="0" w:line="25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tabs>
          <w:tab w:leader="none" w:pos="75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April 20, 2026, there were 39,621,017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830580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Bank of Hawaii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38"/>
        </w:trPr>
        <w:tc>
          <w:tcPr>
            <w:tcW w:w="20" w:type="dxa"/>
            <w:vAlign w:val="bottom"/>
          </w:tcPr>
          <w:p>
            <w:pPr>
              <w:spacing w:after="0"/>
              <w:rPr>
                <w:sz w:val="24"/>
                <w:szCs w:val="24"/>
                <w:color w:val="auto"/>
              </w:rPr>
            </w:pPr>
          </w:p>
        </w:tc>
        <w:tc>
          <w:tcPr>
            <w:tcW w:w="232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b w:val="1"/>
                <w:bCs w:val="1"/>
                <w:color w:val="0E32E1"/>
                <w:w w:val="99"/>
              </w:rPr>
              <w:t>Part I - Financial Information</w:t>
            </w:r>
          </w:p>
        </w:tc>
        <w:tc>
          <w:tcPr>
            <w:tcW w:w="7320" w:type="dxa"/>
            <w:vAlign w:val="bottom"/>
            <w:gridSpan w:val="16"/>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9"/>
              </w:rPr>
              <w:t>Financial Statements (Unaudited)</w:t>
            </w:r>
          </w:p>
        </w:tc>
        <w:tc>
          <w:tcPr>
            <w:tcW w:w="5620" w:type="dxa"/>
            <w:vAlign w:val="bottom"/>
            <w:gridSpan w:val="10"/>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Consolidated Statements of Condition - March 31, 2026 and December 31, 2025</w:t>
            </w: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820" w:type="dxa"/>
            <w:vAlign w:val="bottom"/>
            <w:gridSpan w:val="2"/>
            <w:shd w:val="clear" w:color="auto" w:fill="0E32E1"/>
          </w:tcPr>
          <w:p>
            <w:pPr>
              <w:spacing w:after="0" w:line="20" w:lineRule="exact"/>
              <w:rPr>
                <w:sz w:val="1"/>
                <w:szCs w:val="1"/>
                <w:color w:val="auto"/>
              </w:rPr>
            </w:pPr>
          </w:p>
        </w:tc>
        <w:tc>
          <w:tcPr>
            <w:tcW w:w="12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40" w:type="dxa"/>
            <w:vAlign w:val="bottom"/>
            <w:tcBorders>
              <w:bottom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w w:val="99"/>
              </w:rPr>
              <w:t>Consolidated Statements of Income - Three Months Ended March 31, 2026 and 2025</w:t>
            </w:r>
          </w:p>
        </w:tc>
        <w:tc>
          <w:tcPr>
            <w:tcW w:w="1900" w:type="dxa"/>
            <w:vAlign w:val="bottom"/>
            <w:gridSpan w:val="5"/>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Income - Three Months Ended March 31, 2026 and 2025</w:t>
            </w: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20" w:type="dxa"/>
            <w:vAlign w:val="bottom"/>
            <w:tcBorders>
              <w:top w:val="single" w:sz="8" w:color="0E32E1"/>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Consolidated Statements of Shareholders’ Equity - Three Months Ended March 31, 2026 and 2025</w:t>
            </w:r>
          </w:p>
        </w:tc>
        <w:tc>
          <w:tcPr>
            <w:tcW w:w="180" w:type="dxa"/>
            <w:vAlign w:val="bottom"/>
            <w:tcBorders>
              <w:top w:val="single" w:sz="8" w:color="0E32E1"/>
            </w:tcBorders>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4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9"/>
              </w:rPr>
              <w:t>Consolidated Statements of Cash Flows - Three Months Ended March 31, 2026 and 2025</w:t>
            </w:r>
          </w:p>
        </w:tc>
        <w:tc>
          <w:tcPr>
            <w:tcW w:w="1600" w:type="dxa"/>
            <w:vAlign w:val="bottom"/>
            <w:gridSpan w:val="4"/>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6</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Notes to Consolidated Financial Statements</w:t>
            </w: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820" w:type="dxa"/>
            <w:vAlign w:val="bottom"/>
            <w:gridSpan w:val="2"/>
            <w:shd w:val="clear" w:color="auto" w:fill="0E32E1"/>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w w:val="99"/>
              </w:rPr>
              <w:t>Management’s Discussion and Analysis of Financial Condition and Results of Operations</w:t>
            </w:r>
          </w:p>
        </w:tc>
        <w:tc>
          <w:tcPr>
            <w:tcW w:w="1580" w:type="dxa"/>
            <w:vAlign w:val="bottom"/>
            <w:gridSpan w:val="3"/>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39</w:t>
            </w: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w w:val="99"/>
              </w:rPr>
              <w:t>Quantitative and Qualitative Disclosures About Market Risk</w:t>
            </w:r>
          </w:p>
        </w:tc>
        <w:tc>
          <w:tcPr>
            <w:tcW w:w="3680" w:type="dxa"/>
            <w:vAlign w:val="bottom"/>
            <w:gridSpan w:val="7"/>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60</w:t>
            </w: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6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E32E1"/>
              </w:rPr>
              <w:t>Part II - Other Information</w:t>
            </w: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840" w:type="dxa"/>
            <w:vAlign w:val="bottom"/>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8"/>
              </w:rPr>
              <w:t>Legal Proceedings</w:t>
            </w:r>
          </w:p>
        </w:tc>
        <w:tc>
          <w:tcPr>
            <w:tcW w:w="6700" w:type="dxa"/>
            <w:vAlign w:val="bottom"/>
            <w:gridSpan w:val="13"/>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61</w:t>
            </w: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Risk Factors</w:t>
            </w: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gridSpan w:val="2"/>
            <w:shd w:val="clear" w:color="auto" w:fill="0E32E1"/>
          </w:tcPr>
          <w:p>
            <w:pPr>
              <w:spacing w:after="0" w:line="20" w:lineRule="exact"/>
              <w:rPr>
                <w:sz w:val="1"/>
                <w:szCs w:val="1"/>
                <w:color w:val="auto"/>
              </w:rPr>
            </w:pPr>
          </w:p>
        </w:tc>
        <w:tc>
          <w:tcPr>
            <w:tcW w:w="30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and Use of Proceeds</w:t>
            </w: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61</w:t>
            </w: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3700" w:type="dxa"/>
            <w:vAlign w:val="bottom"/>
            <w:gridSpan w:val="8"/>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61</w:t>
            </w: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5720" w:type="dxa"/>
            <w:vAlign w:val="bottom"/>
            <w:gridSpan w:val="11"/>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61</w:t>
            </w: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E32E1"/>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440" w:type="dxa"/>
            <w:vAlign w:val="bottom"/>
            <w:tcBorders>
              <w:top w:val="single" w:sz="8" w:color="0E32E1"/>
            </w:tcBorders>
            <w:gridSpan w:val="2"/>
          </w:tcPr>
          <w:p>
            <w:pPr>
              <w:spacing w:after="0"/>
              <w:rPr>
                <w:sz w:val="24"/>
                <w:szCs w:val="24"/>
                <w:color w:val="auto"/>
              </w:rPr>
            </w:pPr>
          </w:p>
        </w:tc>
        <w:tc>
          <w:tcPr>
            <w:tcW w:w="6280" w:type="dxa"/>
            <w:vAlign w:val="bottom"/>
            <w:gridSpan w:val="12"/>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61</w:t>
            </w: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Exhibits</w:t>
            </w: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61</w:t>
            </w:r>
          </w:p>
        </w:tc>
      </w:tr>
      <w:tr>
        <w:trPr>
          <w:trHeight w:val="358"/>
        </w:trPr>
        <w:tc>
          <w:tcPr>
            <w:tcW w:w="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52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63</w:t>
            </w:r>
          </w:p>
        </w:tc>
      </w:tr>
      <w:tr>
        <w:trPr>
          <w:trHeight w:val="763"/>
        </w:trPr>
        <w:tc>
          <w:tcPr>
            <w:tcW w:w="20" w:type="dxa"/>
            <w:vAlign w:val="bottom"/>
          </w:tcPr>
          <w:p>
            <w:pPr>
              <w:spacing w:after="0"/>
              <w:rPr>
                <w:sz w:val="24"/>
                <w:szCs w:val="24"/>
                <w:color w:val="auto"/>
              </w:rPr>
            </w:pPr>
          </w:p>
        </w:tc>
        <w:tc>
          <w:tcPr>
            <w:tcW w:w="760" w:type="dxa"/>
            <w:vAlign w:val="bottom"/>
            <w:tcBorders>
              <w:top w:val="single" w:sz="8" w:color="0E32E1"/>
            </w:tcBorders>
          </w:tcPr>
          <w:p>
            <w:pPr>
              <w:spacing w:after="0"/>
              <w:rPr>
                <w:sz w:val="24"/>
                <w:szCs w:val="24"/>
                <w:color w:val="auto"/>
              </w:rPr>
            </w:pPr>
          </w:p>
        </w:tc>
        <w:tc>
          <w:tcPr>
            <w:tcW w:w="840" w:type="dxa"/>
            <w:vAlign w:val="bottom"/>
          </w:tcPr>
          <w:p>
            <w:pPr>
              <w:spacing w:after="0"/>
              <w:rPr>
                <w:sz w:val="24"/>
                <w:szCs w:val="24"/>
                <w:color w:val="auto"/>
              </w:rPr>
            </w:pPr>
          </w:p>
        </w:tc>
        <w:tc>
          <w:tcPr>
            <w:tcW w:w="4340" w:type="dxa"/>
            <w:vAlign w:val="bottom"/>
            <w:gridSpan w:val="11"/>
          </w:tcPr>
          <w:p>
            <w:pPr>
              <w:ind w:left="39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04"/>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Condition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600" w:type="dxa"/>
            <w:vAlign w:val="bottom"/>
          </w:tcPr>
          <w:p>
            <w:pPr>
              <w:spacing w:after="0"/>
              <w:rPr>
                <w:sz w:val="16"/>
                <w:szCs w:val="16"/>
                <w:color w:val="auto"/>
              </w:rPr>
            </w:pPr>
          </w:p>
        </w:tc>
        <w:tc>
          <w:tcPr>
            <w:tcW w:w="166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7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425,080</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946,520</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193"/>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Available-for-Sale</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3,722,405</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3,510,652</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Held-to-Maturity (Fair Value of $3,549,687 and $3,651,966)</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4,163,261</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4,245,681</w:t>
            </w: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3,609</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14,192,811</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14,082,050</w:t>
            </w:r>
          </w:p>
        </w:tc>
      </w:tr>
      <w:tr>
        <w:trPr>
          <w:trHeight w:val="193"/>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0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(146,962)</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(146,766)</w:t>
            </w:r>
          </w:p>
        </w:tc>
      </w:tr>
      <w:tr>
        <w:trPr>
          <w:trHeight w:val="37"/>
        </w:trPr>
        <w:tc>
          <w:tcPr>
            <w:tcW w:w="7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Loans and Leases</w:t>
            </w:r>
          </w:p>
        </w:tc>
        <w:tc>
          <w:tcPr>
            <w:tcW w:w="6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14,045,849</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13,935,284</w:t>
            </w:r>
          </w:p>
        </w:tc>
      </w:tr>
      <w:tr>
        <w:trPr>
          <w:trHeight w:val="186"/>
        </w:trPr>
        <w:tc>
          <w:tcPr>
            <w:tcW w:w="7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6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215,859</w:t>
            </w: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199,747</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82,244</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83,424</w:t>
            </w: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70,555</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69,899</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17,036</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17,455</w:t>
            </w: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31,517</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31,517</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499,681</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499,795</w:t>
            </w: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632,837</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632,021</w:t>
            </w:r>
          </w:p>
        </w:tc>
      </w:tr>
      <w:tr>
        <w:trPr>
          <w:trHeight w:val="37"/>
        </w:trPr>
        <w:tc>
          <w:tcPr>
            <w:tcW w:w="7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23,909,933</w:t>
            </w:r>
          </w:p>
        </w:tc>
        <w:tc>
          <w:tcPr>
            <w:tcW w:w="2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24,176,364</w:t>
            </w:r>
          </w:p>
        </w:tc>
      </w:tr>
      <w:tr>
        <w:trPr>
          <w:trHeight w:val="20"/>
        </w:trPr>
        <w:tc>
          <w:tcPr>
            <w:tcW w:w="7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193"/>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Noninterest-Bearing Demand</w:t>
            </w:r>
          </w:p>
        </w:tc>
        <w:tc>
          <w:tcPr>
            <w:tcW w:w="6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5,653,265</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5,755,371</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Interest-Bearing Demand</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3,884,305</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3,910,952</w:t>
            </w:r>
          </w:p>
        </w:tc>
      </w:tr>
      <w:tr>
        <w:trPr>
          <w:trHeight w:val="193"/>
        </w:trPr>
        <w:tc>
          <w:tcPr>
            <w:tcW w:w="7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8,683,875</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8,741,090</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35"/>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6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2,736,485</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2,781,082</w:t>
            </w:r>
          </w:p>
        </w:tc>
      </w:tr>
      <w:tr>
        <w:trPr>
          <w:trHeight w:val="186"/>
        </w:trPr>
        <w:tc>
          <w:tcPr>
            <w:tcW w:w="7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6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20,957,930</w:t>
            </w: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21,188,495</w:t>
            </w:r>
          </w:p>
        </w:tc>
      </w:tr>
      <w:tr>
        <w:trPr>
          <w:trHeight w:val="37"/>
        </w:trPr>
        <w:tc>
          <w:tcPr>
            <w:tcW w:w="7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3"/>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6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Debt</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558,150</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558,176</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91,213</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92,402</w:t>
            </w: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Benefits Payable</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25,686</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20,139</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19,757</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22,370</w:t>
            </w: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352,634</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393,570</w:t>
            </w:r>
          </w:p>
        </w:tc>
      </w:tr>
      <w:tr>
        <w:trPr>
          <w:trHeight w:val="37"/>
        </w:trPr>
        <w:tc>
          <w:tcPr>
            <w:tcW w:w="7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22,055,370</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22,325,152</w:t>
            </w:r>
          </w:p>
        </w:tc>
      </w:tr>
      <w:tr>
        <w:trPr>
          <w:trHeight w:val="186"/>
        </w:trPr>
        <w:tc>
          <w:tcPr>
            <w:tcW w:w="7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6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(Series A, $.01 par value; authorized 180,000 shares issued and outstanding)</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180,000</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(Series B, $.01 par value; authorized 165,000 shares issued and outstanding)</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165,000</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r>
      <w:tr>
        <w:trPr>
          <w:trHeight w:val="18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($.01 par value; authorized 500,000,000 shares; issued / outstanding: March 31, 2026 - 59,000,929 /</w:t>
            </w:r>
          </w:p>
        </w:tc>
        <w:tc>
          <w:tcPr>
            <w:tcW w:w="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8"/>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39,620,563); and December 31, 2025 - 58,780,253 / 39,725,698)</w:t>
            </w:r>
          </w:p>
        </w:tc>
        <w:tc>
          <w:tcPr>
            <w:tcW w:w="600" w:type="dxa"/>
            <w:vAlign w:val="bottom"/>
          </w:tcPr>
          <w:p>
            <w:pPr>
              <w:spacing w:after="0"/>
              <w:rPr>
                <w:sz w:val="16"/>
                <w:szCs w:val="16"/>
                <w:color w:val="auto"/>
              </w:rPr>
            </w:pPr>
          </w:p>
        </w:tc>
        <w:tc>
          <w:tcPr>
            <w:tcW w:w="1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590</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Surplus</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672,584</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664,781</w:t>
            </w: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0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(247,217)</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(244,438)</w:t>
            </w:r>
          </w:p>
        </w:tc>
      </w:tr>
      <w:tr>
        <w:trPr>
          <w:trHeight w:val="37"/>
        </w:trPr>
        <w:tc>
          <w:tcPr>
            <w:tcW w:w="70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6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2,229,539</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2,205,707</w:t>
            </w:r>
          </w:p>
        </w:tc>
      </w:tr>
      <w:tr>
        <w:trPr>
          <w:trHeight w:val="193"/>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at Cost (Shares: March 31, 2026 - 19,380,366 and December 31, 2025 - 19,054,555)</w:t>
            </w:r>
          </w:p>
        </w:tc>
        <w:tc>
          <w:tcPr>
            <w:tcW w:w="60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(1,145,933)</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(1,120,425)</w:t>
            </w:r>
          </w:p>
        </w:tc>
      </w:tr>
      <w:tr>
        <w:trPr>
          <w:trHeight w:val="37"/>
        </w:trPr>
        <w:tc>
          <w:tcPr>
            <w:tcW w:w="7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6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1,854,563</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1,851,212</w:t>
            </w:r>
          </w:p>
        </w:tc>
      </w:tr>
      <w:tr>
        <w:trPr>
          <w:trHeight w:val="186"/>
        </w:trPr>
        <w:tc>
          <w:tcPr>
            <w:tcW w:w="7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6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23,909,933</w:t>
            </w:r>
          </w:p>
        </w:tc>
        <w:tc>
          <w:tcPr>
            <w:tcW w:w="2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24,176,364</w:t>
            </w:r>
          </w:p>
        </w:tc>
      </w:tr>
      <w:tr>
        <w:trPr>
          <w:trHeight w:val="37"/>
        </w:trPr>
        <w:tc>
          <w:tcPr>
            <w:tcW w:w="70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ectPr>
          <w:pgSz w:w="11900" w:h="16838" w:orient="portrait"/>
          <w:cols w:equalWidth="0" w:num="1">
            <w:col w:w="11240"/>
          </w:cols>
          <w:pgMar w:left="320" w:top="117" w:right="3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28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and Fees on Loans and Leases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164,469</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163,082</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on Investment Securities</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Available-for-Sale</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34,575</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24,368</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Held-to-Maturity</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18,541</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20,291</w:t>
            </w: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3,329</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5,460</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1,293</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1,085</w:t>
            </w:r>
          </w:p>
        </w:tc>
        <w:tc>
          <w:tcPr>
            <w:tcW w:w="0" w:type="dxa"/>
            <w:vAlign w:val="bottom"/>
          </w:tcPr>
          <w:p>
            <w:pPr>
              <w:spacing w:after="0"/>
              <w:rPr>
                <w:sz w:val="1"/>
                <w:szCs w:val="1"/>
                <w:color w:val="auto"/>
              </w:rPr>
            </w:pPr>
          </w:p>
        </w:tc>
      </w:tr>
      <w:tr>
        <w:trPr>
          <w:trHeight w:val="186"/>
        </w:trPr>
        <w:tc>
          <w:tcPr>
            <w:tcW w:w="7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222,207</w:t>
            </w: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214,286</w:t>
            </w:r>
          </w:p>
        </w:tc>
        <w:tc>
          <w:tcPr>
            <w:tcW w:w="0" w:type="dxa"/>
            <w:vAlign w:val="bottom"/>
          </w:tcPr>
          <w:p>
            <w:pPr>
              <w:spacing w:after="0"/>
              <w:rPr>
                <w:sz w:val="1"/>
                <w:szCs w:val="1"/>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64,886</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81,692</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486</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Debt</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5,845</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6,043</w:t>
            </w:r>
          </w:p>
        </w:tc>
        <w:tc>
          <w:tcPr>
            <w:tcW w:w="0" w:type="dxa"/>
            <w:vAlign w:val="bottom"/>
          </w:tcPr>
          <w:p>
            <w:pPr>
              <w:spacing w:after="0"/>
              <w:rPr>
                <w:sz w:val="1"/>
                <w:szCs w:val="1"/>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71,217</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88,479</w:t>
            </w:r>
          </w:p>
        </w:tc>
        <w:tc>
          <w:tcPr>
            <w:tcW w:w="0" w:type="dxa"/>
            <w:vAlign w:val="bottom"/>
          </w:tcPr>
          <w:p>
            <w:pPr>
              <w:spacing w:after="0"/>
              <w:rPr>
                <w:sz w:val="1"/>
                <w:szCs w:val="1"/>
                <w:color w:val="auto"/>
              </w:rPr>
            </w:pPr>
          </w:p>
        </w:tc>
      </w:tr>
      <w:tr>
        <w:trPr>
          <w:trHeight w:val="186"/>
        </w:trPr>
        <w:tc>
          <w:tcPr>
            <w:tcW w:w="7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150,990</w:t>
            </w: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125,807</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1,750</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3,250</w:t>
            </w:r>
          </w:p>
        </w:tc>
        <w:tc>
          <w:tcPr>
            <w:tcW w:w="0" w:type="dxa"/>
            <w:vAlign w:val="bottom"/>
          </w:tcPr>
          <w:p>
            <w:pPr>
              <w:spacing w:after="0"/>
              <w:rPr>
                <w:sz w:val="1"/>
                <w:szCs w:val="1"/>
                <w:color w:val="auto"/>
              </w:rPr>
            </w:pPr>
          </w:p>
        </w:tc>
      </w:tr>
      <w:tr>
        <w:trPr>
          <w:trHeight w:val="186"/>
        </w:trPr>
        <w:tc>
          <w:tcPr>
            <w:tcW w:w="7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149,240</w:t>
            </w: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122,557</w:t>
            </w:r>
          </w:p>
        </w:tc>
        <w:tc>
          <w:tcPr>
            <w:tcW w:w="0" w:type="dxa"/>
            <w:vAlign w:val="bottom"/>
          </w:tcPr>
          <w:p>
            <w:pPr>
              <w:spacing w:after="0"/>
              <w:rPr>
                <w:sz w:val="1"/>
                <w:szCs w:val="1"/>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Trust and Asset Management</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12,445</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11,741</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Fees, Exchange, and Other Service Charges</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10,928</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14,437</w:t>
            </w: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8,440</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8,259</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4,147</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3,611</w:t>
            </w: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Annuity and Insurance</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1,469</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 Banking</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876</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Losses, Net</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(1,272)</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4,299</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5,074</w:t>
            </w:r>
          </w:p>
        </w:tc>
        <w:tc>
          <w:tcPr>
            <w:tcW w:w="0" w:type="dxa"/>
            <w:vAlign w:val="bottom"/>
          </w:tcPr>
          <w:p>
            <w:pPr>
              <w:spacing w:after="0"/>
              <w:rPr>
                <w:sz w:val="1"/>
                <w:szCs w:val="1"/>
                <w:color w:val="auto"/>
              </w:rPr>
            </w:pPr>
          </w:p>
        </w:tc>
      </w:tr>
      <w:tr>
        <w:trPr>
          <w:trHeight w:val="186"/>
        </w:trPr>
        <w:tc>
          <w:tcPr>
            <w:tcW w:w="7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41,332</w:t>
            </w: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44,058</w:t>
            </w:r>
          </w:p>
        </w:tc>
        <w:tc>
          <w:tcPr>
            <w:tcW w:w="0" w:type="dxa"/>
            <w:vAlign w:val="bottom"/>
          </w:tcPr>
          <w:p>
            <w:pPr>
              <w:spacing w:after="0"/>
              <w:rPr>
                <w:sz w:val="1"/>
                <w:szCs w:val="1"/>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Salaries and Benefits</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68,457</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62,884</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Occupancy</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10,782</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10,559</w:t>
            </w: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Equipment</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10,611</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10,192</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Data Processing</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5,581</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5,267</w:t>
            </w: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Professional Fees</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4,226</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4,264</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FDIC Insurance</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2,719</w:t>
            </w:r>
          </w:p>
        </w:tc>
        <w:tc>
          <w:tcPr>
            <w:tcW w:w="4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1,642</w:t>
            </w:r>
          </w:p>
        </w:tc>
        <w:tc>
          <w:tcPr>
            <w:tcW w:w="0" w:type="dxa"/>
            <w:vAlign w:val="bottom"/>
          </w:tcPr>
          <w:p>
            <w:pPr>
              <w:spacing w:after="0"/>
              <w:rPr>
                <w:sz w:val="1"/>
                <w:szCs w:val="1"/>
                <w:color w:val="auto"/>
              </w:rPr>
            </w:pPr>
          </w:p>
        </w:tc>
      </w:tr>
      <w:tr>
        <w:trPr>
          <w:trHeight w:val="193"/>
        </w:trPr>
        <w:tc>
          <w:tcPr>
            <w:tcW w:w="7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13,695</w:t>
            </w:r>
          </w:p>
        </w:tc>
        <w:tc>
          <w:tcPr>
            <w:tcW w:w="4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15,651</w:t>
            </w:r>
          </w:p>
        </w:tc>
        <w:tc>
          <w:tcPr>
            <w:tcW w:w="0" w:type="dxa"/>
            <w:vAlign w:val="bottom"/>
          </w:tcPr>
          <w:p>
            <w:pPr>
              <w:spacing w:after="0"/>
              <w:rPr>
                <w:sz w:val="1"/>
                <w:szCs w:val="1"/>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116,071</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110,459</w:t>
            </w:r>
          </w:p>
        </w:tc>
        <w:tc>
          <w:tcPr>
            <w:tcW w:w="0" w:type="dxa"/>
            <w:vAlign w:val="bottom"/>
          </w:tcPr>
          <w:p>
            <w:pPr>
              <w:spacing w:after="0"/>
              <w:rPr>
                <w:sz w:val="1"/>
                <w:szCs w:val="1"/>
                <w:color w:val="auto"/>
              </w:rPr>
            </w:pPr>
          </w:p>
        </w:tc>
      </w:tr>
      <w:tr>
        <w:trPr>
          <w:trHeight w:val="186"/>
        </w:trPr>
        <w:tc>
          <w:tcPr>
            <w:tcW w:w="7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74,501</w:t>
            </w:r>
          </w:p>
        </w:tc>
        <w:tc>
          <w:tcPr>
            <w:tcW w:w="4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56,156</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17,069</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12,171</w:t>
            </w:r>
          </w:p>
        </w:tc>
        <w:tc>
          <w:tcPr>
            <w:tcW w:w="0" w:type="dxa"/>
            <w:vAlign w:val="bottom"/>
          </w:tcPr>
          <w:p>
            <w:pPr>
              <w:spacing w:after="0"/>
              <w:rPr>
                <w:sz w:val="1"/>
                <w:szCs w:val="1"/>
                <w:color w:val="auto"/>
              </w:rPr>
            </w:pPr>
          </w:p>
        </w:tc>
      </w:tr>
      <w:tr>
        <w:trPr>
          <w:trHeight w:val="186"/>
        </w:trPr>
        <w:tc>
          <w:tcPr>
            <w:tcW w:w="7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57,432</w:t>
            </w:r>
          </w:p>
        </w:tc>
        <w:tc>
          <w:tcPr>
            <w:tcW w:w="4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43,985</w:t>
            </w:r>
          </w:p>
        </w:tc>
        <w:tc>
          <w:tcPr>
            <w:tcW w:w="0" w:type="dxa"/>
            <w:vAlign w:val="bottom"/>
          </w:tcPr>
          <w:p>
            <w:pPr>
              <w:spacing w:after="0"/>
              <w:rPr>
                <w:sz w:val="1"/>
                <w:szCs w:val="1"/>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5,269</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5,269</w:t>
            </w:r>
          </w:p>
        </w:tc>
        <w:tc>
          <w:tcPr>
            <w:tcW w:w="0" w:type="dxa"/>
            <w:vAlign w:val="bottom"/>
          </w:tcPr>
          <w:p>
            <w:pPr>
              <w:spacing w:after="0"/>
              <w:rPr>
                <w:sz w:val="1"/>
                <w:szCs w:val="1"/>
                <w:color w:val="auto"/>
              </w:rPr>
            </w:pPr>
          </w:p>
        </w:tc>
      </w:tr>
      <w:tr>
        <w:trPr>
          <w:trHeight w:val="186"/>
        </w:trPr>
        <w:tc>
          <w:tcPr>
            <w:tcW w:w="7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3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52,163</w:t>
            </w:r>
          </w:p>
        </w:tc>
        <w:tc>
          <w:tcPr>
            <w:tcW w:w="4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38,716</w:t>
            </w:r>
          </w:p>
        </w:tc>
        <w:tc>
          <w:tcPr>
            <w:tcW w:w="0" w:type="dxa"/>
            <w:vAlign w:val="bottom"/>
          </w:tcPr>
          <w:p>
            <w:pPr>
              <w:spacing w:after="0"/>
              <w:rPr>
                <w:sz w:val="1"/>
                <w:szCs w:val="1"/>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0.98</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0.70</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0.70</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Weighted Average Common Shares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39,568,000</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39,554,834</w:t>
            </w: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 Average Common Shares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39,981,356</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39,876,406</w:t>
            </w:r>
          </w:p>
        </w:tc>
        <w:tc>
          <w:tcPr>
            <w:tcW w:w="0" w:type="dxa"/>
            <w:vAlign w:val="bottom"/>
          </w:tcPr>
          <w:p>
            <w:pPr>
              <w:spacing w:after="0"/>
              <w:rPr>
                <w:sz w:val="1"/>
                <w:szCs w:val="1"/>
                <w:color w:val="auto"/>
              </w:rPr>
            </w:pPr>
          </w:p>
        </w:tc>
      </w:tr>
      <w:tr>
        <w:trPr>
          <w:trHeight w:val="20"/>
        </w:trPr>
        <w:tc>
          <w:tcPr>
            <w:tcW w:w="7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3"/>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8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57,432</w:t>
            </w:r>
          </w:p>
        </w:tc>
        <w:tc>
          <w:tcPr>
            <w:tcW w:w="4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43,985</w:t>
            </w:r>
          </w:p>
        </w:tc>
        <w:tc>
          <w:tcPr>
            <w:tcW w:w="0" w:type="dxa"/>
            <w:vAlign w:val="bottom"/>
          </w:tcPr>
          <w:p>
            <w:pPr>
              <w:spacing w:after="0"/>
              <w:rPr>
                <w:sz w:val="1"/>
                <w:szCs w:val="1"/>
                <w:color w:val="auto"/>
              </w:rPr>
            </w:pPr>
          </w:p>
        </w:tc>
      </w:tr>
      <w:tr>
        <w:trPr>
          <w:trHeight w:val="23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Unrealized Gains (Losses) on Investment Securities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(3,001)</w:t>
            </w:r>
          </w:p>
        </w:tc>
        <w:tc>
          <w:tcPr>
            <w:tcW w:w="4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24,760</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Change in Defined Benefit Plans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222</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(2,779)</w:t>
            </w:r>
          </w:p>
        </w:tc>
        <w:tc>
          <w:tcPr>
            <w:tcW w:w="4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24,992</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54,653</w:t>
            </w:r>
          </w:p>
        </w:tc>
        <w:tc>
          <w:tcPr>
            <w:tcW w:w="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68,977</w:t>
            </w:r>
          </w:p>
        </w:tc>
        <w:tc>
          <w:tcPr>
            <w:tcW w:w="0" w:type="dxa"/>
            <w:vAlign w:val="bottom"/>
          </w:tcPr>
          <w:p>
            <w:pPr>
              <w:spacing w:after="0"/>
              <w:rPr>
                <w:sz w:val="1"/>
                <w:szCs w:val="1"/>
                <w:color w:val="auto"/>
              </w:rPr>
            </w:pPr>
          </w:p>
        </w:tc>
      </w:tr>
      <w:tr>
        <w:trPr>
          <w:trHeight w:val="27"/>
        </w:trPr>
        <w:tc>
          <w:tcPr>
            <w:tcW w:w="7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2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Accum.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(dollars in thousands, except per share</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A</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Preferred Series</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B</w:t>
            </w:r>
          </w:p>
        </w:tc>
        <w:tc>
          <w:tcPr>
            <w:tcW w:w="160" w:type="dxa"/>
            <w:vAlign w:val="bottom"/>
          </w:tcPr>
          <w:p>
            <w:pPr>
              <w:spacing w:after="0"/>
              <w:rPr>
                <w:sz w:val="11"/>
                <w:szCs w:val="11"/>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60" w:type="dxa"/>
            <w:vAlign w:val="bottom"/>
          </w:tcPr>
          <w:p>
            <w:pPr>
              <w:spacing w:after="0"/>
              <w:rPr>
                <w:sz w:val="11"/>
                <w:szCs w:val="11"/>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00" w:type="dxa"/>
            <w:vAlign w:val="bottom"/>
          </w:tcPr>
          <w:p>
            <w:pPr>
              <w:spacing w:after="0"/>
              <w:rPr>
                <w:sz w:val="11"/>
                <w:szCs w:val="11"/>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9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11"/>
                <w:szCs w:val="11"/>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2"/>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amounts)</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00" w:type="dxa"/>
            <w:vAlign w:val="bottom"/>
          </w:tcPr>
          <w:p>
            <w:pPr>
              <w:spacing w:after="0"/>
              <w:rPr>
                <w:sz w:val="12"/>
                <w:szCs w:val="12"/>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A 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8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Series B Stock</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60" w:type="dxa"/>
            <w:vAlign w:val="bottom"/>
          </w:tcPr>
          <w:p>
            <w:pPr>
              <w:spacing w:after="0"/>
              <w:rPr>
                <w:sz w:val="12"/>
                <w:szCs w:val="12"/>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Pr>
          <w:p>
            <w:pPr>
              <w:spacing w:after="0"/>
              <w:rPr>
                <w:sz w:val="12"/>
                <w:szCs w:val="1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140" w:type="dxa"/>
            <w:vAlign w:val="bottom"/>
          </w:tcPr>
          <w:p>
            <w:pPr>
              <w:spacing w:after="0"/>
              <w:rPr>
                <w:sz w:val="12"/>
                <w:szCs w:val="12"/>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tcPr>
          <w:p>
            <w:pPr>
              <w:spacing w:after="0"/>
              <w:rPr>
                <w:sz w:val="12"/>
                <w:szCs w:val="12"/>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60" w:type="dxa"/>
            <w:vAlign w:val="bottom"/>
          </w:tcPr>
          <w:p>
            <w:pPr>
              <w:spacing w:after="0"/>
              <w:rPr>
                <w:sz w:val="12"/>
                <w:szCs w:val="12"/>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6"/>
        </w:trPr>
        <w:tc>
          <w:tcPr>
            <w:tcW w:w="18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6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31, 2026</w:t>
            </w: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2"/>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39,725,698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664,781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(244,438)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2,205,707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(1,120,425)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1,851,212</w:t>
            </w:r>
          </w:p>
        </w:tc>
      </w:tr>
      <w:tr>
        <w:trPr>
          <w:trHeight w:val="28"/>
        </w:trPr>
        <w:tc>
          <w:tcPr>
            <w:tcW w:w="1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57,432</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57,432</w:t>
            </w:r>
          </w:p>
        </w:tc>
      </w:tr>
      <w:tr>
        <w:trPr>
          <w:trHeight w:val="188"/>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(2,779)</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(2,779)</w:t>
            </w:r>
          </w:p>
        </w:tc>
      </w:tr>
      <w:tr>
        <w:trPr>
          <w:trHeight w:val="28"/>
        </w:trPr>
        <w:tc>
          <w:tcPr>
            <w:tcW w:w="1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7,459</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7,459</w:t>
            </w:r>
          </w:p>
        </w:tc>
      </w:tr>
      <w:tr>
        <w:trPr>
          <w:trHeight w:val="176"/>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Issued under</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and Equity</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237,399</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344</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881</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r>
      <w:tr>
        <w:trPr>
          <w:trHeight w:val="28"/>
        </w:trPr>
        <w:tc>
          <w:tcPr>
            <w:tcW w:w="1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Repurchased</w:t>
            </w: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Under Share Repurchase</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Program</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(194,096)</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(15,109)</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(15,109)</w:t>
            </w:r>
          </w:p>
        </w:tc>
      </w:tr>
      <w:tr>
        <w:trPr>
          <w:trHeight w:val="176"/>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Compensation Plan</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4"/>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(148,438)</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(11,280)</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(11,280)</w:t>
            </w:r>
          </w:p>
        </w:tc>
      </w:tr>
      <w:tr>
        <w:trPr>
          <w:trHeight w:val="28"/>
        </w:trPr>
        <w:tc>
          <w:tcPr>
            <w:tcW w:w="1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($0.70 per</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(28,331)</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(28,331)</w:t>
            </w:r>
          </w:p>
        </w:tc>
      </w:tr>
      <w:tr>
        <w:trPr>
          <w:trHeight w:val="176"/>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4"/>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w:t>
            </w:r>
          </w:p>
        </w:tc>
      </w:tr>
      <w:tr>
        <w:trPr>
          <w:trHeight w:val="28"/>
        </w:trPr>
        <w:tc>
          <w:tcPr>
            <w:tcW w:w="1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4"/>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39,620,563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672,584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2,229,539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(1,145,933)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1,854,563</w:t>
            </w:r>
          </w:p>
        </w:tc>
      </w:tr>
      <w:tr>
        <w:trPr>
          <w:trHeight w:val="20"/>
        </w:trPr>
        <w:tc>
          <w:tcPr>
            <w:tcW w:w="1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46"/>
        </w:trPr>
        <w:tc>
          <w:tcPr>
            <w:tcW w:w="18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Three Months Ended March</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8"/>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31, 2025</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8"/>
        </w:trPr>
        <w:tc>
          <w:tcPr>
            <w:tcW w:w="1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2"/>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39,762,255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647,403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2,133,838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(1,115,663)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1,667,774</w:t>
            </w:r>
          </w:p>
        </w:tc>
      </w:tr>
      <w:tr>
        <w:trPr>
          <w:trHeight w:val="189"/>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43,985</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43,985</w:t>
            </w:r>
          </w:p>
        </w:tc>
      </w:tr>
      <w:tr>
        <w:trPr>
          <w:trHeight w:val="28"/>
        </w:trPr>
        <w:tc>
          <w:tcPr>
            <w:tcW w:w="1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24,992</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24,992</w:t>
            </w:r>
          </w:p>
        </w:tc>
      </w:tr>
      <w:tr>
        <w:trPr>
          <w:trHeight w:val="189"/>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3,680</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3,680</w:t>
            </w:r>
          </w:p>
        </w:tc>
      </w:tr>
      <w:tr>
        <w:trPr>
          <w:trHeight w:val="28"/>
        </w:trPr>
        <w:tc>
          <w:tcPr>
            <w:tcW w:w="1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Issued under</w:t>
            </w: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and Equity</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19,477</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291</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1,023</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w:t>
            </w:r>
          </w:p>
        </w:tc>
      </w:tr>
      <w:tr>
        <w:trPr>
          <w:trHeight w:val="176"/>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Compensation Plan</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4"/>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(47,428)</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(3,314)</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(3,314)</w:t>
            </w:r>
          </w:p>
        </w:tc>
      </w:tr>
      <w:tr>
        <w:trPr>
          <w:trHeight w:val="28"/>
        </w:trPr>
        <w:tc>
          <w:tcPr>
            <w:tcW w:w="1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($0.70 per</w:t>
            </w: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(28,228)</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(28,228)</w:t>
            </w:r>
          </w:p>
        </w:tc>
      </w:tr>
      <w:tr>
        <w:trPr>
          <w:trHeight w:val="176"/>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4"/>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w:t>
            </w:r>
          </w:p>
        </w:tc>
      </w:tr>
      <w:tr>
        <w:trPr>
          <w:trHeight w:val="28"/>
        </w:trPr>
        <w:tc>
          <w:tcPr>
            <w:tcW w:w="1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4"/>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39,734,304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651,374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(318,397)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2,144,326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(1,117,954)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1,704,935</w:t>
            </w:r>
          </w:p>
        </w:tc>
      </w:tr>
      <w:tr>
        <w:trPr>
          <w:trHeight w:val="20"/>
        </w:trPr>
        <w:tc>
          <w:tcPr>
            <w:tcW w:w="1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20" w:type="dxa"/>
            <w:vAlign w:val="bottom"/>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4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57,432</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43,985</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4,739</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Deferred Loan and Lease Costs (Fees), Net</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and Accretion of Premiums/Discounts on Investment Securities, Net</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Share-Based Compensation</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Benefit Plan Contributions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Gains on Sales of Loans and Leases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9,597</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6,942</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Originations of Loans Held for Sale</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(8,726)</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(38,239)</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(41,058)</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18,344</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Prepayments and Maturities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142,242</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77,046</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(372,186)</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(241,922)</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Prepayments and Maturities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86,024</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87,218</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Loans and Leases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(106,341)</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(50,600)</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Premises and Equipment</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(20,850)</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(271,111)</w:t>
            </w: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(136,375)</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Deposits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(230,565)</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375,180</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(50,024)</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Repurchased Under Share Repurchase Program</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Compensation Plan Common Stock Repurchases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(11,280)</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Dividends Paid on Common Stock</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(28,331)</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(28,228)</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Dividends Paid on Preferred Stock</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(289,355)</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289,660</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(521,440)</w:t>
            </w: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171,629</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946,520</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763,571</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425,080</w:t>
            </w:r>
          </w:p>
        </w:tc>
        <w:tc>
          <w:tcPr>
            <w:tcW w:w="4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935,200</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Interest</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73,830</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100,017</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Supplemental Noncash Disclosures:</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Transfer from Loans to Foreclosed Real Estate</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Right-of-Use Assets Acquired through Operating Leases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Bank of Hawaii Corporation (the “Parent”) is a Delaware corporation headquartered in Honolulu, Hawai‘i. In January 2026, the Parent elected to become a financial holding company under the Bank Holding Company Act of 1956, as amended; prior to that election, the Parent operated as a bank holding company.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 The accompanying Unaudited Consolidated Financial Statements include the accounts of the Parent and its subsidiaries. The Parent’s principal operating subsidiary is Bank of Hawai‘i (the “Bank”).</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Operating results for the interim periods disclosed herein are not necessarily indicative of the results that may be expected for the full fiscal year or any future period.</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2025. Significant changes to accounting policies from those disclosed in our audited Consolidated Financial Statements and related notes included in the Company’s Annual Report on Form 10-K are presented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Pending Adoption</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(DISE).” ASU 2024-03 requires additional disclosure of the nature of expenses included in the income statement to be presented in a tabular format in the footnotes to the financial statements. ASU 2024-03 is effective for annual periods beginning after December 15, 2026, and interim periods within fiscal years beginning after December 15, 2027. The amendments in ASU 2024-03 should be applied on a prospective basis, although retrospective application is permitted. ASU 2024-03 is not expected to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 Securities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and fair value of the Company’s investment securities as of March 31, 2026 and December 31, 2025,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163,786</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161,200</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72,392</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66,267</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753,092</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(19,454)</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735,089</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1,652,562</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(87,394)</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1,567,958</w:t>
            </w: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348,416</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(21,613)</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327,187</w:t>
            </w:r>
          </w:p>
        </w:tc>
      </w:tr>
      <w:tr>
        <w:trPr>
          <w:trHeight w:val="237"/>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Non-Agency</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60,627</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60,496</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2,061,605</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(109,167)</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1,955,641</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834,420</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(33,023)</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803,425</w:t>
            </w:r>
          </w:p>
        </w:tc>
      </w:tr>
      <w:tr>
        <w:trPr>
          <w:trHeight w:val="23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834,420</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(33,023)</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803,425</w:t>
            </w:r>
          </w:p>
        </w:tc>
      </w:tr>
      <w:tr>
        <w:trPr>
          <w:trHeight w:val="262"/>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3,886,084</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(170,627)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3,722,405</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124,527</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115,426</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10,150</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8,567</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1,953,843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(296,096)</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1,657,748</w:t>
            </w: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403,266</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(79,053)</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324,213</w:t>
            </w:r>
          </w:p>
        </w:tc>
      </w:tr>
      <w:tr>
        <w:trPr>
          <w:trHeight w:val="24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2,357,109</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(375,149)</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1,981,961</w:t>
            </w:r>
          </w:p>
        </w:tc>
      </w:tr>
      <w:tr>
        <w:trPr>
          <w:trHeight w:val="24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1,661,495</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(226,202)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1,435,405</w:t>
            </w: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w:t>
            </w:r>
          </w:p>
        </w:tc>
      </w:tr>
      <w:tr>
        <w:trPr>
          <w:trHeight w:val="236"/>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1,671,475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(227,854)</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1,443,733</w:t>
            </w:r>
          </w:p>
        </w:tc>
      </w:tr>
      <w:tr>
        <w:trPr>
          <w:trHeight w:val="262"/>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4,163,261</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(613,687)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3,549,687</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5"/>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221,260</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218,338</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72,272</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66,312</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752,401</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(18,705)</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735,643</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1,564,346</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4,328</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(80,292)</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1,488,382</w:t>
            </w: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349,642</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329,836</w:t>
            </w: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Non-Agency</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60,635</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60,645</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1,974,623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(100,925)</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1,878,863</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7"/>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635,431</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(28,720)</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610,715</w:t>
            </w:r>
          </w:p>
        </w:tc>
      </w:tr>
      <w:tr>
        <w:trPr>
          <w:trHeight w:val="237"/>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635,431</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4,004</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(28,720)</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610,715</w:t>
            </w:r>
          </w:p>
        </w:tc>
      </w:tr>
      <w:tr>
        <w:trPr>
          <w:trHeight w:val="23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3,656,776</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11,376</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(157,500)</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3,510,652</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124,496</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115,747</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8,659</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1,995,813</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(280,004)</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1,715,811</w:t>
            </w:r>
          </w:p>
        </w:tc>
      </w:tr>
      <w:tr>
        <w:trPr>
          <w:trHeight w:val="237"/>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406,956</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(78,054)</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328,902</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2,402,769</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(358,058)</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2,044,713</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1,698,215</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(224,352)</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1,474,528</w:t>
            </w:r>
          </w:p>
        </w:tc>
      </w:tr>
      <w:tr>
        <w:trPr>
          <w:trHeight w:val="237"/>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9,983</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8,319</w:t>
            </w:r>
          </w:p>
        </w:tc>
      </w:tr>
      <w:tr>
        <w:trPr>
          <w:trHeight w:val="237"/>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1,708,198</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(226,016)</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1,482,847</w:t>
            </w:r>
          </w:p>
        </w:tc>
      </w:tr>
      <w:tr>
        <w:trPr>
          <w:trHeight w:val="236"/>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4,245,681</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(594,382)</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3,651,966</w:t>
            </w:r>
          </w:p>
        </w:tc>
      </w:tr>
      <w:tr>
        <w:trPr>
          <w:trHeight w:val="27"/>
        </w:trPr>
        <w:tc>
          <w:tcPr>
            <w:tcW w:w="5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elected to exclude accrued interest receivable (“AIR”) from the amortized cost basis of debt securities disclosed throughout this footnote. For available-for-sale (“AFS”) debt securities, AIR totaled $13.2 million and $12.3 million as of March 31, 2026 and December 31, 2025, respectively. For held-to-maturity (“HTM”) debt securities, AIR totaled $8.0 million and $7.9 million as of March 31, 2026 and December 31, 2025, respectively.</w:t>
      </w:r>
    </w:p>
    <w:p>
      <w:pPr>
        <w:spacing w:after="0" w:line="203"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The following table presents an analysis of the contractual maturities of the Company’s investment securities as of March 31, 2026. Debt securities consisting of securitized loan pools (such as Small Business Administration securities), collateralized mortgage obligations, and mortgage-backed securities are disclosed separately, as these investment securities may prepay prior to their scheduled contractual maturity dates.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980" w:type="dxa"/>
            <w:vAlign w:val="bottom"/>
          </w:tcPr>
          <w:p>
            <w:pPr>
              <w:spacing w:after="0"/>
              <w:rPr>
                <w:sz w:val="16"/>
                <w:szCs w:val="16"/>
                <w:color w:val="auto"/>
              </w:rPr>
            </w:pPr>
          </w:p>
        </w:tc>
        <w:tc>
          <w:tcPr>
            <w:tcW w:w="15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6"/>
                <w:szCs w:val="16"/>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9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9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1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106,598</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105,973</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730,949</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710,536</w:t>
            </w:r>
          </w:p>
        </w:tc>
      </w:t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60,820</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55,038</w:t>
            </w:r>
          </w:p>
        </w:tc>
      </w:tr>
      <w:tr>
        <w:trPr>
          <w:trHeight w:val="243"/>
        </w:trPr>
        <w:tc>
          <w:tcPr>
            <w:tcW w:w="59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898,367</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871,547</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Government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91,692</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91,792</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1,652,562</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1,567,958</w:t>
            </w:r>
          </w:p>
        </w:tc>
      </w:tr>
      <w:tr>
        <w:trPr>
          <w:trHeight w:val="253"/>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348,416</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327,187</w:t>
            </w:r>
          </w:p>
        </w:tc>
      </w:tr>
      <w:tr>
        <w:trPr>
          <w:trHeight w:val="237"/>
        </w:trPr>
        <w:tc>
          <w:tcPr>
            <w:tcW w:w="5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Commercial - Non-Agency</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60,627</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60,496</w:t>
            </w: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2,061,605</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1,955,641</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6"/>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834,420</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803,425</w:t>
            </w:r>
          </w:p>
        </w:tc>
      </w:tr>
      <w:tr>
        <w:trPr>
          <w:trHeight w:val="23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834,420</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803,425</w:t>
            </w:r>
          </w:p>
        </w:tc>
      </w:tr>
      <w:tr>
        <w:trPr>
          <w:trHeight w:val="261"/>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3,886,084</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3,722,405</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in One Year or Less</w:t>
            </w:r>
          </w:p>
        </w:tc>
        <w:tc>
          <w:tcPr>
            <w:tcW w:w="1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99,469</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93,130</w:t>
            </w:r>
          </w:p>
        </w:tc>
      </w:tr>
      <w:tr>
        <w:trPr>
          <w:trHeight w:val="246"/>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After Five Year Through Ten Years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35,208</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30,863</w:t>
            </w:r>
          </w:p>
        </w:tc>
      </w:tr>
      <w:tr>
        <w:trPr>
          <w:trHeight w:val="233"/>
        </w:trPr>
        <w:tc>
          <w:tcPr>
            <w:tcW w:w="59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134,677</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123,993</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1,953,843</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1,657,748</w:t>
            </w:r>
          </w:p>
        </w:tc>
      </w:tr>
      <w:tr>
        <w:trPr>
          <w:trHeight w:val="246"/>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403,266</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324,213</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2,357,109</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1,981,961</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1,661,495</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1,435,405</w:t>
            </w:r>
          </w:p>
        </w:tc>
      </w:tr>
      <w:tr>
        <w:trPr>
          <w:trHeight w:val="246"/>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8,328</w:t>
            </w:r>
          </w:p>
        </w:tc>
      </w:tr>
      <w:tr>
        <w:trPr>
          <w:trHeight w:val="23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1,671,475</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1,443,733</w:t>
            </w:r>
          </w:p>
        </w:tc>
      </w:tr>
      <w:tr>
        <w:trPr>
          <w:trHeight w:val="261"/>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4,163,261</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3,549,687</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Investment securities with carrying values of $7.7 billion and $7.6 billion as of March 31, 2026 and December 31, 2025, respectively, were pledged to secure deposits of governmental entities, securities sold under agreements to repurchase, support the Company's borrowing capacity with the Federal Reserve Bank, and secure derivative transactions.</w:t>
      </w:r>
    </w:p>
    <w:p>
      <w:pPr>
        <w:spacing w:after="0" w:line="1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net realized losses on sales of investments of $1.3 million and $1.6 million, respectively. The losses on sales of investment securities were due to fees paid to the counterparties of the Company’s prior Visa Class B share sale transactions, which are expensed as incurred.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AFS debt securities in an unrealized loss position for which an allowance for credit losses was not deemed necessary, aggregated by major security type and length of time in a continuous unrealized loss position: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6"/>
                <w:szCs w:val="16"/>
                <w:color w:val="auto"/>
              </w:rPr>
            </w:pPr>
          </w:p>
        </w:tc>
        <w:tc>
          <w:tcPr>
            <w:tcW w:w="2080" w:type="dxa"/>
            <w:vAlign w:val="bottom"/>
            <w:gridSpan w:val="3"/>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6"/>
                <w:szCs w:val="16"/>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r>
      <w:tr>
        <w:trPr>
          <w:trHeight w:val="158"/>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9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9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7"/>
                <w:szCs w:val="17"/>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March 31, 2026</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the U.S. Treasury and Government Agencies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6,996</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75,648</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82,644</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(2,852)</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66,121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66,267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(6,125)</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U.S. Government- Sponsored Enterprises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Corporations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75,162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498,307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(19,140)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573,469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(19,454)</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Collateralized Mortgage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08"/>
        </w:trPr>
        <w:tc>
          <w:tcPr>
            <w:tcW w:w="4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507,971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552,226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(84,046)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1,060,197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(87,394)</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Commercial - Government Agencies or Sponsored Enterprises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106,644</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197,168</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(21,455)</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303,812</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(21,613)</w:t>
            </w:r>
          </w:p>
        </w:tc>
      </w:tr>
      <w:tr>
        <w:trPr>
          <w:trHeight w:val="208"/>
        </w:trPr>
        <w:tc>
          <w:tcPr>
            <w:tcW w:w="4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 Non-Agency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29,497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29,497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Collateralized Mortgage Obligations</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644,112</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(3,666)</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749,394</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(105,501)</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1,393,506</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(109,167)</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Mortgage-Backed Securities: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48"/>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348,830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(4,332)</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255,954</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(28,691)</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604,784</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(33,023)</w:t>
            </w:r>
          </w:p>
        </w:tc>
      </w:tr>
      <w:tr>
        <w:trPr>
          <w:trHeight w:val="201"/>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Mortgage-Backed Securities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348,830</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(4,332)</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255,954</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(28,691)</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604,784</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(33,023)</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61"/>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1,075,246</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1,646,207</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(162,273)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2,721,453</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(170,627)</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82"/>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2025</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the U.S. Treasury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51,753</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124,785</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(3,055)</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176,538</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(3,182)</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66,312</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(5,960)</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66,312</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(5,960)</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U.S. Government-Sponsored Enterprises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Corporations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49,921</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558,403</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(18,534)</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608,324</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(18,705)</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Collateralized Mortgage Obligations: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50,138</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565,429</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(80,239)</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615,567</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(80,292)</w:t>
            </w:r>
          </w:p>
        </w:tc>
      </w:tr>
      <w:tr>
        <w:trPr>
          <w:trHeight w:val="208"/>
        </w:trPr>
        <w:tc>
          <w:tcPr>
            <w:tcW w:w="4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 Government Agencies or Sponsored Enterprises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30,660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199,179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(20,483)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229,839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(20,522)</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48"/>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Commercial - Non-Agency</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24,555</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24,555</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201"/>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Collateralized Mortgage Obligations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105,353</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764,608</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(100,722)</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869,961</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(100,925)</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Mortgage-Backed Securities: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08"/>
        </w:trPr>
        <w:tc>
          <w:tcPr>
            <w:tcW w:w="4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43,369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267,652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311,021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(28,720)</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1"/>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Mortgage-Backed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43,369</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267,652</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(28,600)</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311,021</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(28,720)</w:t>
            </w:r>
          </w:p>
        </w:tc>
      </w:tr>
      <w:tr>
        <w:trPr>
          <w:trHeight w:val="202"/>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250,396</w:t>
            </w: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1,782,541</w:t>
            </w: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(156,879)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2,032,937</w:t>
            </w:r>
          </w:p>
        </w:tc>
        <w:tc>
          <w:tcPr>
            <w:tcW w:w="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(157,500)</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4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does not believe the AFS debt securities that were in an unrealized loss position contain a credit loss impairment. As of March 31, 2026 and December 31, 2025, the unrealized losses from AFS debt securities were generated from 352 out of 461 securities and 319 out of 459 securities, respectively. As of March 31, 2026 and December 31, 2025, total gross unrealized losses were attributed to changes in interest rates and pricing spreads, relative to when the investment securities were purchased, and not due to the credit quality of the investment securities. Mortgage-backed securities issued by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U.S. government agencies or U.S. government-sponsored enterprises (“GSEs”) carry the explicit and/or implicit guarantee of the U.S. government and have a long history of zero credit loss. Debt securities issued by corporations and municipalities, as well as non-agency commercial mortgage-backed securities, are of high credit quality, and the issuers continue to make timely principal and interest payments. As of March 31, 2026, the Company did not have any plans to sell the investment securities that were in an unrealized loss position and it is more likely than not that the Company will not be required to sell the investment securities before recovery of their amortized cost basis, which may be at maturity.</w:t>
      </w:r>
    </w:p>
    <w:p>
      <w:pPr>
        <w:spacing w:after="0" w:line="1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of the Company’s HTM debt securities are backed by the U.S. government agencies or GSEs; therefore, no allowance for credit losses is required for these securities as of March 31, 2026 and December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from taxable and non-taxable investment securities for the three months ended March 31, 2026 and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60" w:type="dxa"/>
            <w:vAlign w:val="bottom"/>
            <w:gridSpan w:val="3"/>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360" w:type="dxa"/>
            <w:vAlign w:val="bottom"/>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6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52,656</w:t>
            </w:r>
          </w:p>
        </w:tc>
        <w:tc>
          <w:tcPr>
            <w:tcW w:w="46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44,279</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Non-Taxable</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62"/>
        </w:trPr>
        <w:tc>
          <w:tcPr>
            <w:tcW w:w="7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 from Investment Securities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53,116</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and Leases and the Allowance for Credit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loan and lease portfolio was comprised of the following as of March 31, 2026 and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40" w:type="dxa"/>
            <w:vAlign w:val="bottom"/>
          </w:tcPr>
          <w:p>
            <w:pPr>
              <w:spacing w:after="0"/>
              <w:rPr>
                <w:sz w:val="16"/>
                <w:szCs w:val="16"/>
                <w:color w:val="auto"/>
              </w:rPr>
            </w:pPr>
          </w:p>
        </w:tc>
        <w:tc>
          <w:tcPr>
            <w:tcW w:w="158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6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47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0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3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4,341,448</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4,205,791</w:t>
            </w:r>
          </w:p>
        </w:tc>
      </w:tr>
      <w:tr>
        <w:trPr>
          <w:trHeight w:val="25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0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1,575,207</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1,584,245</w:t>
            </w: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30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204,993</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208,584</w:t>
            </w:r>
          </w:p>
        </w:tc>
      </w:tr>
      <w:tr>
        <w:trPr>
          <w:trHeight w:val="246"/>
        </w:trPr>
        <w:tc>
          <w:tcPr>
            <w:tcW w:w="4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30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84,651</w:t>
            </w: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88,303</w:t>
            </w:r>
          </w:p>
        </w:tc>
      </w:tr>
      <w:tr>
        <w:trPr>
          <w:trHeight w:val="236"/>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30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6,206,299</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6,086,923</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0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0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4,800,256</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4,775,502</w:t>
            </w:r>
          </w:p>
        </w:tc>
      </w:tr>
      <w:tr>
        <w:trPr>
          <w:trHeight w:val="25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0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2,095,521</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2,114,809</w:t>
            </w: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0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680,570</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690,376</w:t>
            </w:r>
          </w:p>
        </w:tc>
      </w:tr>
      <w:tr>
        <w:trPr>
          <w:trHeight w:val="246"/>
        </w:trPr>
        <w:tc>
          <w:tcPr>
            <w:tcW w:w="4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04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410,165</w:t>
            </w: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414,440</w:t>
            </w:r>
          </w:p>
        </w:tc>
      </w:tr>
      <w:tr>
        <w:trPr>
          <w:trHeight w:val="236"/>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30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7,986,512</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7,995,127</w:t>
            </w:r>
          </w:p>
        </w:tc>
      </w:tr>
      <w:tr>
        <w:trPr>
          <w:trHeight w:val="262"/>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30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14,192,811</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14,082,050</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majority of the Company’s lending activity is with customers located within the State of Hawai‘i. A substantial portion of the Company’s real estate loans are secured by real estate located within the State of Hawai‘i.</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elected to exclude AIR from the amortized cost basis of loans and leases disclosed throughout this footnote. As of March 31, 2026 and December 31, 2025, AIR for loans and leases totaled $49.0 million and $49.2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by portfolio segment, the activity in the Allowance for the three months ended March 31, 2026 and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79,543</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67,223</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146,766</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(4,062)</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r>
      <w:tr>
        <w:trPr>
          <w:trHeight w:val="216"/>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77,893</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69,069</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146,962</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83,900</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64,628</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148,528</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237"/>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80,628</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67,079</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147,707</w:t>
            </w:r>
          </w:p>
        </w:tc>
      </w:tr>
      <w:tr>
        <w:trPr>
          <w:trHeight w:val="27"/>
        </w:trPr>
        <w:tc>
          <w:tcPr>
            <w:tcW w:w="5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are typically monitored and risk-rated collectively. These are typically loans and leases to individuals in the classes which comprise the consumer portfolio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the definitions of the Company’s credit quality indicators:</w:t>
      </w:r>
    </w:p>
    <w:p>
      <w:pPr>
        <w:sectPr>
          <w:pgSz w:w="11900" w:h="16838" w:orient="portrait"/>
          <w:cols w:equalWidth="0" w:num="1">
            <w:col w:w="10960"/>
          </w:cols>
          <w:pgMar w:left="320" w:top="117" w:right="619" w:bottom="1440" w:gutter="0" w:footer="0" w:header="0"/>
        </w:sectPr>
      </w:pPr>
    </w:p>
    <w:p>
      <w:pPr>
        <w:spacing w:after="0" w:line="264"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7"/>
          <w:szCs w:val="17"/>
          <w:color w:val="auto"/>
        </w:rPr>
        <w:t>Pass: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1060"/>
        <w:spacing w:after="0" w:line="254" w:lineRule="auto"/>
        <w:rPr>
          <w:sz w:val="20"/>
          <w:szCs w:val="20"/>
          <w:color w:val="auto"/>
        </w:rPr>
      </w:pPr>
      <w:r>
        <w:rPr>
          <w:rFonts w:ascii="Times New Roman" w:cs="Times New Roman" w:eastAsia="Times New Roman" w:hAnsi="Times New Roman"/>
          <w:sz w:val="18"/>
          <w:szCs w:val="18"/>
          <w:color w:val="auto"/>
        </w:rPr>
        <w:t>Loans and leases in all classes within the commercial and consumer portfolio segments that are not adversely rated, are generally contractually current as to principal and interest, and are otherwise in compliance with the contractual terms of the loan or lease agreement. Residential mortgage loans that are past due 90 days or more as to principal or interest may be considered Pass if the current loan-to-value ratio is 60% or less. Home equity loans that are past due 90 days or more as to principal or interest may be considered Pass if: a) the home equity loan is in first lien position and the current loan-to-value ratio is 60% or less; or b) the first mortgage is with the Company and the current combined loan-to-value ratio is 60% or less.</w:t>
      </w:r>
    </w:p>
    <w:p>
      <w:pPr>
        <w:spacing w:after="0" w:line="200" w:lineRule="exact"/>
        <w:rPr>
          <w:sz w:val="20"/>
          <w:szCs w:val="20"/>
          <w:color w:val="auto"/>
        </w:rPr>
      </w:pPr>
    </w:p>
    <w:p>
      <w:pPr>
        <w:sectPr>
          <w:pgSz w:w="11900" w:h="16838" w:orient="portrait"/>
          <w:cols w:equalWidth="0" w:num="2">
            <w:col w:w="2020" w:space="720"/>
            <w:col w:w="8220"/>
          </w:cols>
          <w:pgMar w:left="320" w:top="117" w:right="619" w:bottom="1440" w:gutter="0" w:footer="0" w:header="0"/>
          <w:type w:val="continuous"/>
        </w:sectPr>
      </w:pPr>
    </w:p>
    <w:p>
      <w:pPr>
        <w:spacing w:after="0" w:line="4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Special Mention:</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1040"/>
        <w:spacing w:after="0" w:line="261" w:lineRule="auto"/>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potential weaknesses that warrant management’s close attention. If not addressed, these potential weaknesses may result in deterioration of the repayment prospects for the loan or lease. The Special Mention credit quality indicator is not used for the consumer portfolio segment.</w:t>
      </w:r>
    </w:p>
    <w:p>
      <w:pPr>
        <w:spacing w:after="0" w:line="200" w:lineRule="exact"/>
        <w:rPr>
          <w:sz w:val="20"/>
          <w:szCs w:val="20"/>
          <w:color w:val="auto"/>
        </w:rPr>
      </w:pPr>
    </w:p>
    <w:p>
      <w:pPr>
        <w:sectPr>
          <w:pgSz w:w="11900" w:h="16838" w:orient="portrait"/>
          <w:cols w:equalWidth="0" w:num="2">
            <w:col w:w="2460" w:space="280"/>
            <w:col w:w="8220"/>
          </w:cols>
          <w:pgMar w:left="320" w:top="117" w:right="619" w:bottom="1440" w:gutter="0" w:footer="0" w:header="0"/>
          <w:type w:val="continuous"/>
        </w:sectPr>
      </w:pPr>
    </w:p>
    <w:p>
      <w:pPr>
        <w:spacing w:after="0" w:line="3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Classified: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040"/>
        <w:spacing w:after="0" w:line="256" w:lineRule="auto"/>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a well-defined weakness or weaknesses and are inadequately protected by the sound worth and paying capacity of the borrower or applicable collateral, if any. Classified loans and leases are also those in the classes within the consumer portfolio segment that are past due 90 days or more as to principal or interest (excluding residential mortgage and home equity loans which meet the criteria for being considered Pass).</w:t>
      </w:r>
    </w:p>
    <w:p>
      <w:pPr>
        <w:spacing w:after="0" w:line="200" w:lineRule="exact"/>
        <w:rPr>
          <w:sz w:val="20"/>
          <w:szCs w:val="20"/>
          <w:color w:val="auto"/>
        </w:rPr>
      </w:pPr>
    </w:p>
    <w:p>
      <w:pPr>
        <w:sectPr>
          <w:pgSz w:w="11900" w:h="16838" w:orient="portrait"/>
          <w:cols w:equalWidth="0" w:num="2">
            <w:col w:w="2020" w:space="720"/>
            <w:col w:w="8220"/>
          </w:cols>
          <w:pgMar w:left="320" w:top="117" w:right="619" w:bottom="1440" w:gutter="0" w:footer="0" w:header="0"/>
          <w:type w:val="continuous"/>
        </w:sectPr>
      </w:pP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Pass rated credits in the commercial portfolio, most risk ratings are certified at a minimum annually. For Special Mention or Classified credits in the commercial portfolio, risk ratings are reviewed for appropriateness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presents by credit quality indicator, loan class, and year of origination, the amortized cost basis of the Company’s loans and leases as of March 31, 2026.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6"/>
              </w:rPr>
              <w:t>Term Loans by Origination Year</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8"/>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Revolving Loans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Converted to</w:t>
            </w:r>
          </w:p>
        </w:tc>
        <w:tc>
          <w:tcPr>
            <w:tcW w:w="94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b w:val="1"/>
                <w:bCs w:val="1"/>
                <w:color w:val="auto"/>
              </w:rPr>
              <w:t>Total Loans and</w:t>
            </w:r>
          </w:p>
        </w:tc>
      </w:tr>
      <w:tr>
        <w:trPr>
          <w:trHeight w:val="179"/>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2026</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2024</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8"/>
              </w:rPr>
              <w:t>Term Loans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Leases</w:t>
            </w:r>
          </w:p>
        </w:tc>
      </w:tr>
      <w:tr>
        <w:trPr>
          <w:trHeight w:val="18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Commercial Mortgage</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247,128</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741,464</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280,327</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654,700</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834,592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1,300,731</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42,045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4,100,987</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5,824</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10,241</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56,065</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32,500</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1,518</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14,645</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114,760</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20,973</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184,396</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Mortgage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247,128</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773,964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281,845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709,345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955,176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1,331,945</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42,045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4,341,448</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55,054</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219,130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295,821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220,370</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181,800</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252,242</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302,859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1,527,391</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19,605</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20,689</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454</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11,181</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837</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5,038</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9,291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27,127</w:t>
            </w:r>
          </w:p>
        </w:tc>
      </w:tr>
      <w:tr>
        <w:trPr>
          <w:trHeight w:val="182"/>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55,054</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219,456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296,577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231,551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183,419</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257,280</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331,755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1,575,207</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4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230</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Construction</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11,430</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52,864</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119,539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4,233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14,065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202,131</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2,862</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2,862</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Construction</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11,430</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52,864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119,539</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4,233</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2,862</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14,065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204,993</w:t>
            </w:r>
          </w:p>
        </w:tc>
      </w:tr>
      <w:tr>
        <w:trPr>
          <w:trHeight w:val="16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Lease Financing</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1,668</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15,359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43,544</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5,836</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5,716</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12,157</w:t>
            </w: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84,280</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371</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Lease Financing</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1,668</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43,544</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5,734</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12,168</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84,651</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Commercial</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315,280</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1,061,643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741,505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951,307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1,147,191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1,601,393</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387,865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6,206,299</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Commercial Gross Charge-Offs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4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230</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Consumer</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9"/>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Residential Mortgage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139,732</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519,754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209,848</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218,456</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688,527</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3,019,084</w:t>
            </w: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4,795,401</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859</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3,996</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4,855</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Residential Mortgage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139,732</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519,754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209,848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218,456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689,386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3,023,080</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4,800,256</w:t>
            </w: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Home Equity</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7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1,991,103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101,660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2,092,799</w:t>
            </w:r>
          </w:p>
        </w:tc>
      </w:tr>
      <w:tr>
        <w:trPr>
          <w:trHeight w:val="193"/>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2,546</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2,722</w:t>
            </w:r>
          </w:p>
        </w:tc>
      </w:tr>
      <w:tr>
        <w:trPr>
          <w:trHeight w:val="18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Total Home Equity</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36</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1,993,649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101,836</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2,095,521</w:t>
            </w: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w:t>
            </w:r>
          </w:p>
        </w:tc>
      </w:tr>
      <w:tr>
        <w:trPr>
          <w:trHeight w:val="179"/>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Automobile</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56,704</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194,505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141,954</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114,489</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115,240</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57,006</w:t>
            </w:r>
          </w:p>
        </w:tc>
        <w:tc>
          <w:tcPr>
            <w:tcW w:w="24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679,898</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115</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672</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Automobile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56,704</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194,683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142,084</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114,657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115,321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57,121</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680,570</w:t>
            </w: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24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270</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1,417</w:t>
            </w:r>
          </w:p>
        </w:tc>
      </w:tr>
      <w:tr>
        <w:trPr>
          <w:trHeight w:val="17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7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36,327</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141,973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90,813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43,066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48,608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48,154</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409,402</w:t>
            </w:r>
          </w:p>
        </w:tc>
      </w:tr>
      <w:tr>
        <w:trPr>
          <w:trHeight w:val="192"/>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113</w:t>
            </w: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763</w:t>
            </w:r>
          </w:p>
        </w:tc>
      </w:tr>
      <w:tr>
        <w:trPr>
          <w:trHeight w:val="18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Total Other</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36,327</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142,089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91,121</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43,172</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48,728</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48,267</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410,165</w:t>
            </w:r>
          </w:p>
        </w:tc>
      </w:tr>
      <w:tr>
        <w:trPr>
          <w:trHeight w:val="183"/>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317</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2,394</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Consumer</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232,763</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856,526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443,053</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376,285</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853,435</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3,128,504</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1,994,110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101,836</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7,986,512</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Consumer Gross Charge-Offs</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884</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843</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602</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3,832</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Loans and Leases</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548,043</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1,918,169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1,184,558</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1,327,592</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2,000,626</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4,729,897</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2,381,975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101,951</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14,192,811</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Gross Charge-Offs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884</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664</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4,062</w:t>
            </w:r>
          </w:p>
        </w:tc>
      </w:tr>
      <w:tr>
        <w:trPr>
          <w:trHeight w:val="20"/>
        </w:trPr>
        <w:tc>
          <w:tcPr>
            <w:tcW w:w="2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$12.7 million of revolving loans were converted to term loans.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presents by credit quality indicator, loan class, and year of origination, the amortized cost basis of the Company’s loans and leases as of December 31,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6"/>
              </w:rPr>
              <w:t>Term Loans by Origination Year</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Revolving Loans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Converted to</w:t>
            </w:r>
          </w:p>
        </w:tc>
        <w:tc>
          <w:tcPr>
            <w:tcW w:w="9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b w:val="1"/>
                <w:bCs w:val="1"/>
                <w:color w:val="auto"/>
              </w:rPr>
              <w:t>Total Loans and</w:t>
            </w:r>
          </w:p>
        </w:tc>
      </w:tr>
      <w:tr>
        <w:trPr>
          <w:trHeight w:val="18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2025</w:t>
            </w:r>
            <w:r>
              <w:rPr>
                <w:rFonts w:ascii="Times New Roman" w:cs="Times New Roman" w:eastAsia="Times New Roman" w:hAnsi="Times New Roman"/>
                <w:sz w:val="15"/>
                <w:szCs w:val="15"/>
                <w:b w:val="1"/>
                <w:bCs w:val="1"/>
                <w:color w:val="auto"/>
                <w:vertAlign w:val="superscript"/>
              </w:rPr>
              <w:t>1</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5"/>
              </w:rPr>
              <w:t>Term Loans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Leases</w:t>
            </w:r>
          </w:p>
        </w:tc>
      </w:tr>
      <w:tr>
        <w:trPr>
          <w:trHeight w:val="18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Mortgage</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743,496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270,649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674,361</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881,873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531,477</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830,457</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38,099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3,970,412</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40,000</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35,887</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36,524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13,510</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77,431</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3,010</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29,017</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195,379</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Mortgage</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779,383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307,173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727,871</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959,304</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534,487</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859,474</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4,205,791</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252,560</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302,792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227,373</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187,010</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131,213</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131,958</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299,212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1,532,270</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23,023</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23,370</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1,333</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11,616</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3,060</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9,695</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28,605</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253,893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303,139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238,989</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187,977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133,147</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135,018</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331,930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1,584,245</w:t>
            </w:r>
          </w:p>
        </w:tc>
      </w:tr>
      <w:tr>
        <w:trPr>
          <w:trHeight w:val="17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2,436</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3,107</w:t>
            </w:r>
          </w:p>
        </w:tc>
      </w:tr>
      <w:tr>
        <w:trPr>
          <w:trHeight w:val="17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Construction</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46,263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139,052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11,714</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205,732</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2,852</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2,852</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Construction</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46,263</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139,052</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11,714</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2,852</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8,703</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208,584</w:t>
            </w:r>
          </w:p>
        </w:tc>
      </w:tr>
      <w:tr>
        <w:trPr>
          <w:trHeight w:val="16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Lease Financing</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16,603</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44,482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6,453</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6,385</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5,741</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8,196</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87,860</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443</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Lease Financing</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44,482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5,790</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8,196</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88,303</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Commercial</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1,096,142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793,846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985,399</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1,156,540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673,424</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1,002,688</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378,732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6,086,923</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Commercial Gross Charge-Offs</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2,436</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3,107</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Consumer</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Residential Mortgage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529,441</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226,174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233,534</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701,724</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1,120,135</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1,960,943</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4,771,951</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859</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2,692</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3,551</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Residential Mortgage</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529,441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226,174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233,534</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702,583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1,120,135</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1,963,635</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4,775,502</w:t>
            </w:r>
          </w:p>
        </w:tc>
      </w:tr>
      <w:tr>
        <w:trPr>
          <w:trHeight w:val="17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Home Equity</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7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37</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2,022,071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89,720</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2,111,828</w:t>
            </w:r>
          </w:p>
        </w:tc>
      </w:tr>
      <w:tr>
        <w:trPr>
          <w:trHeight w:val="193"/>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2,796</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2,981</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Home Equity</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37</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2,024,867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89,905</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2,114,809</w:t>
            </w:r>
          </w:p>
        </w:tc>
      </w:tr>
      <w:tr>
        <w:trPr>
          <w:trHeight w:val="16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423</w:t>
            </w: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Automobile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202,257</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155,816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127,551</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132,163</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49,457</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22,612</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689,856</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520</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Automobile</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202,291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155,920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127,765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132,242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49,505</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22,653</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690,376</w:t>
            </w:r>
          </w:p>
        </w:tc>
      </w:tr>
      <w:tr>
        <w:trPr>
          <w:trHeight w:val="17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1,583</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1,607</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2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824</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6,026</w:t>
            </w:r>
          </w:p>
        </w:tc>
      </w:tr>
      <w:tr>
        <w:trPr>
          <w:trHeight w:val="17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154,493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98,482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49,535</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55,128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27,057</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27,781</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413,659</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2"/>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781</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Other</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154,537</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98,623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49,712</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55,376</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27,168</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27,841</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414,440</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1,155</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2,169</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1,809</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2,217</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1,188</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927</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9,465</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Consumer</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886,269</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480,717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411,011</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890,201</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1,196,808</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2,014,166</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2,026,050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89,905</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7,995,127</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Consumer Gross Charge-Offs</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3,752</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3,416</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3,604</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1,675</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1,751</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15,914</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Loans and Leases</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1,982,411</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1,274,563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1,396,410</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2,046,741</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1,870,232</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3,016,854</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2,404,782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90,057</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14,082,050</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Gross Charge-Offs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1,800</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3,891</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3,441</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3,604</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1,675</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4,187</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19,021</w:t>
            </w:r>
          </w:p>
        </w:tc>
      </w:tr>
      <w:tr>
        <w:trPr>
          <w:trHeight w:val="20"/>
        </w:trPr>
        <w:tc>
          <w:tcPr>
            <w:tcW w:w="2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bl>
    <w:p>
      <w:pPr>
        <w:spacing w:after="0" w:line="58"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Loans reported as Special Mention or Classified in the 2025 column represent renewal of loans that originated in an earlier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$31.9 million of revolving loans were converted to term loans.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Aging Analysis</w:t>
      </w:r>
    </w:p>
    <w:p>
      <w:pPr>
        <w:spacing w:after="0" w:line="20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Loans and leases are considered to be past due once becoming 30 days delinquent. The following presents by class, an aging analysis of the Company’s loan and lease portfolio as of March 31, 2026 and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30 - 59 Days</w:t>
            </w:r>
          </w:p>
        </w:tc>
        <w:tc>
          <w:tcPr>
            <w:tcW w:w="180" w:type="dxa"/>
            <w:vAlign w:val="bottom"/>
          </w:tcPr>
          <w:p>
            <w:pPr>
              <w:spacing w:after="0"/>
              <w:rPr>
                <w:sz w:val="15"/>
                <w:szCs w:val="15"/>
                <w:color w:val="auto"/>
              </w:rPr>
            </w:pP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60 - 89 Days</w:t>
            </w:r>
          </w:p>
        </w:tc>
        <w:tc>
          <w:tcPr>
            <w:tcW w:w="200" w:type="dxa"/>
            <w:vAlign w:val="bottom"/>
          </w:tcPr>
          <w:p>
            <w:pPr>
              <w:spacing w:after="0"/>
              <w:rPr>
                <w:sz w:val="15"/>
                <w:szCs w:val="15"/>
                <w:color w:val="auto"/>
              </w:rPr>
            </w:pPr>
          </w:p>
        </w:tc>
        <w:tc>
          <w:tcPr>
            <w:tcW w:w="9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Past Due 90</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Loans and</w:t>
            </w:r>
          </w:p>
        </w:tc>
        <w:tc>
          <w:tcPr>
            <w:tcW w:w="16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and Non-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that are</w:t>
            </w:r>
          </w:p>
        </w:tc>
        <w:tc>
          <w:tcPr>
            <w:tcW w:w="0" w:type="dxa"/>
            <w:vAlign w:val="bottom"/>
          </w:tcPr>
          <w:p>
            <w:pPr>
              <w:spacing w:after="0"/>
              <w:rPr>
                <w:sz w:val="1"/>
                <w:szCs w:val="1"/>
                <w:color w:val="auto"/>
              </w:rPr>
            </w:pPr>
          </w:p>
        </w:tc>
      </w:tr>
      <w:tr>
        <w:trPr>
          <w:trHeight w:val="204"/>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tcPr>
          <w:p>
            <w:pPr>
              <w:spacing w:after="0"/>
              <w:rPr>
                <w:sz w:val="17"/>
                <w:szCs w:val="17"/>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7"/>
                <w:szCs w:val="17"/>
                <w:color w:val="auto"/>
              </w:rPr>
            </w:pP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Days or More</w:t>
            </w:r>
          </w:p>
        </w:tc>
        <w:tc>
          <w:tcPr>
            <w:tcW w:w="16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20" w:type="dxa"/>
            <w:vAlign w:val="bottom"/>
          </w:tcPr>
          <w:p>
            <w:pPr>
              <w:spacing w:after="0"/>
              <w:rPr>
                <w:sz w:val="17"/>
                <w:szCs w:val="17"/>
                <w:color w:val="auto"/>
              </w:rPr>
            </w:pPr>
          </w:p>
        </w:tc>
        <w:tc>
          <w:tcPr>
            <w:tcW w:w="9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260" w:type="dxa"/>
            <w:vAlign w:val="bottom"/>
          </w:tcPr>
          <w:p>
            <w:pPr>
              <w:spacing w:after="0"/>
              <w:rPr>
                <w:sz w:val="17"/>
                <w:szCs w:val="17"/>
                <w:color w:val="auto"/>
              </w:rPr>
            </w:pP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7"/>
                <w:szCs w:val="17"/>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7"/>
                <w:szCs w:val="17"/>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23"/>
        </w:trPr>
        <w:tc>
          <w:tcPr>
            <w:tcW w:w="2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4,341,448</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4,341,448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1,860</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2,150</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1,573,057</w:t>
            </w:r>
          </w:p>
        </w:tc>
        <w:tc>
          <w:tcPr>
            <w:tcW w:w="2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1,575,207</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204,993</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204,993</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Financing</w:t>
            </w: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84,651</w:t>
            </w:r>
          </w:p>
        </w:tc>
        <w:tc>
          <w:tcPr>
            <w:tcW w:w="2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84,651</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1,860</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2,150</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6,204,149</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6,206,299</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86"/>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10,551</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1,292</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10,733</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5,410</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27,986</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4,772,270</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4,800,256</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6,270</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2,573</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1,556</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4,525</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14,924</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2,080,597</w:t>
            </w:r>
          </w:p>
        </w:tc>
        <w:tc>
          <w:tcPr>
            <w:tcW w:w="2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2,095,521</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17,210</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1,582</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672</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19,464</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661,106</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680,570</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2,257</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1,317</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764</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4,338</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405,827</w:t>
            </w:r>
          </w:p>
        </w:tc>
        <w:tc>
          <w:tcPr>
            <w:tcW w:w="2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410,165</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36,288</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6,764</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13,725</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9,935</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66,712</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7,919,800</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7,986,512</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0" w:type="dxa"/>
            <w:vAlign w:val="bottom"/>
          </w:tcPr>
          <w:p>
            <w:pPr>
              <w:spacing w:after="0"/>
              <w:rPr>
                <w:sz w:val="1"/>
                <w:szCs w:val="1"/>
                <w:color w:val="auto"/>
              </w:rPr>
            </w:pPr>
          </w:p>
        </w:tc>
      </w:tr>
      <w:tr>
        <w:trPr>
          <w:trHeight w:val="186"/>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36,432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6,910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13,725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11,795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68,862</w:t>
            </w:r>
          </w:p>
        </w:tc>
        <w:tc>
          <w:tcPr>
            <w:tcW w:w="2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14,123,949</w:t>
            </w:r>
          </w:p>
        </w:tc>
        <w:tc>
          <w:tcPr>
            <w:tcW w:w="2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14,192,811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2,085</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4,203,706</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4,205,791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1,940</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2,146</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1,582,099</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1,584,245</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208,584</w:t>
            </w:r>
          </w:p>
        </w:tc>
        <w:tc>
          <w:tcPr>
            <w:tcW w:w="2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208,584</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Financing</w:t>
            </w: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88,303</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88,303</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4,025</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4,231</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6,082,692</w:t>
            </w: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6,086,923</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5,146</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2,492</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8,834</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5,382</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21,854</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4,753,648</w:t>
            </w:r>
          </w:p>
        </w:tc>
        <w:tc>
          <w:tcPr>
            <w:tcW w:w="2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4,775,502</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3,622</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2,305</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2,152</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4,469</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12,548</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2,102,261</w:t>
            </w:r>
          </w:p>
        </w:tc>
        <w:tc>
          <w:tcPr>
            <w:tcW w:w="2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2,114,809</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4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18,710</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1,844</w:t>
            </w:r>
          </w:p>
        </w:tc>
        <w:tc>
          <w:tcPr>
            <w:tcW w:w="2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520</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21,074</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669,302</w:t>
            </w:r>
          </w:p>
        </w:tc>
        <w:tc>
          <w:tcPr>
            <w:tcW w:w="2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690,376</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2,467</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1,135</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753</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4,355</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410,085</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414,440</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29,945</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7,776</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12,259</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9,851</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59,831</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7,935,296</w:t>
            </w: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7,995,127</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30,041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64,062</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14,017,988</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14,082,050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0" w:type="dxa"/>
            <w:vAlign w:val="bottom"/>
          </w:tcPr>
          <w:p>
            <w:pPr>
              <w:spacing w:after="0"/>
              <w:rPr>
                <w:sz w:val="1"/>
                <w:szCs w:val="1"/>
                <w:color w:val="auto"/>
              </w:rPr>
            </w:pPr>
          </w:p>
        </w:tc>
      </w:tr>
      <w:tr>
        <w:trPr>
          <w:trHeight w:val="20"/>
        </w:trPr>
        <w:tc>
          <w:tcPr>
            <w:tcW w:w="2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non-accrual loans and leases as of March 31, 2026 and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 Non-Accrual Loans</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Non-Accrual</w:t>
            </w: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 Non-Accrual Loans</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Non-Accrual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 a Related</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 a Related</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 a Related</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 a Related</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7"/>
                <w:szCs w:val="17"/>
                <w:color w:val="auto"/>
              </w:rPr>
            </w:pPr>
          </w:p>
        </w:tc>
        <w:tc>
          <w:tcPr>
            <w:tcW w:w="11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ACL</w:t>
            </w:r>
          </w:p>
        </w:tc>
        <w:tc>
          <w:tcPr>
            <w:tcW w:w="140" w:type="dxa"/>
            <w:vAlign w:val="bottom"/>
          </w:tcPr>
          <w:p>
            <w:pPr>
              <w:spacing w:after="0"/>
              <w:rPr>
                <w:sz w:val="17"/>
                <w:szCs w:val="17"/>
                <w:color w:val="auto"/>
              </w:rPr>
            </w:pPr>
          </w:p>
        </w:tc>
        <w:tc>
          <w:tcPr>
            <w:tcW w:w="11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ACL</w:t>
            </w:r>
          </w:p>
        </w:tc>
        <w:tc>
          <w:tcPr>
            <w:tcW w:w="26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7"/>
                <w:szCs w:val="17"/>
                <w:color w:val="auto"/>
              </w:rPr>
            </w:pP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ACL</w:t>
            </w:r>
          </w:p>
        </w:tc>
        <w:tc>
          <w:tcPr>
            <w:tcW w:w="320" w:type="dxa"/>
            <w:vAlign w:val="bottom"/>
          </w:tcPr>
          <w:p>
            <w:pPr>
              <w:spacing w:after="0"/>
              <w:rPr>
                <w:sz w:val="17"/>
                <w:szCs w:val="17"/>
                <w:color w:val="auto"/>
              </w:rPr>
            </w:pPr>
          </w:p>
        </w:tc>
        <w:tc>
          <w:tcPr>
            <w:tcW w:w="9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ACL</w:t>
            </w:r>
          </w:p>
        </w:tc>
        <w:tc>
          <w:tcPr>
            <w:tcW w:w="260" w:type="dxa"/>
            <w:vAlign w:val="bottom"/>
          </w:tcPr>
          <w:p>
            <w:pPr>
              <w:spacing w:after="0"/>
              <w:rPr>
                <w:sz w:val="17"/>
                <w:szCs w:val="17"/>
                <w:color w:val="auto"/>
              </w:rPr>
            </w:pPr>
          </w:p>
        </w:tc>
        <w:tc>
          <w:tcPr>
            <w:tcW w:w="10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3"/>
        </w:trPr>
        <w:tc>
          <w:tcPr>
            <w:tcW w:w="3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0" w:type="dxa"/>
            <w:vAlign w:val="bottom"/>
          </w:tcPr>
          <w:p>
            <w:pPr>
              <w:spacing w:after="0"/>
              <w:rPr>
                <w:sz w:val="1"/>
                <w:szCs w:val="1"/>
                <w:color w:val="auto"/>
              </w:rPr>
            </w:pPr>
          </w:p>
        </w:tc>
      </w:tr>
      <w:tr>
        <w:trPr>
          <w:trHeight w:val="186"/>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w:t>
            </w:r>
          </w:p>
        </w:tc>
        <w:tc>
          <w:tcPr>
            <w:tcW w:w="0" w:type="dxa"/>
            <w:vAlign w:val="bottom"/>
          </w:tcPr>
          <w:p>
            <w:pPr>
              <w:spacing w:after="0"/>
              <w:rPr>
                <w:sz w:val="1"/>
                <w:szCs w:val="1"/>
                <w:color w:val="auto"/>
              </w:rPr>
            </w:pPr>
          </w:p>
        </w:tc>
      </w:tr>
      <w:tr>
        <w:trPr>
          <w:trHeight w:val="37"/>
        </w:trPr>
        <w:tc>
          <w:tcPr>
            <w:tcW w:w="3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w:t>
            </w: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0" w:type="dxa"/>
            <w:vAlign w:val="bottom"/>
          </w:tcPr>
          <w:p>
            <w:pPr>
              <w:spacing w:after="0"/>
              <w:rPr>
                <w:sz w:val="1"/>
                <w:szCs w:val="1"/>
                <w:color w:val="auto"/>
              </w:rPr>
            </w:pPr>
          </w:p>
        </w:tc>
      </w:tr>
      <w:tr>
        <w:trPr>
          <w:trHeight w:val="186"/>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9,508</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9,415</w:t>
            </w: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9,851</w:t>
            </w:r>
          </w:p>
        </w:tc>
        <w:tc>
          <w:tcPr>
            <w:tcW w:w="0" w:type="dxa"/>
            <w:vAlign w:val="bottom"/>
          </w:tcPr>
          <w:p>
            <w:pPr>
              <w:spacing w:after="0"/>
              <w:rPr>
                <w:sz w:val="1"/>
                <w:szCs w:val="1"/>
                <w:color w:val="auto"/>
              </w:rPr>
            </w:pPr>
          </w:p>
        </w:tc>
      </w:tr>
      <w:tr>
        <w:trPr>
          <w:trHeight w:val="37"/>
        </w:trPr>
        <w:tc>
          <w:tcPr>
            <w:tcW w:w="3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10,658</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13,876</w:t>
            </w:r>
          </w:p>
        </w:tc>
        <w:tc>
          <w:tcPr>
            <w:tcW w:w="0" w:type="dxa"/>
            <w:vAlign w:val="bottom"/>
          </w:tcPr>
          <w:p>
            <w:pPr>
              <w:spacing w:after="0"/>
              <w:rPr>
                <w:sz w:val="1"/>
                <w:szCs w:val="1"/>
                <w:color w:val="auto"/>
              </w:rPr>
            </w:pP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Payments received while on non-accrual status are normally applied against the principal balance of the loan or lease. Payments may be recognized as income if the full collection of principal and interest is reasonably assured.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 to Borrowers Experiencing Financial Difficulty</w:t>
      </w:r>
    </w:p>
    <w:p>
      <w:pPr>
        <w:spacing w:after="0" w:line="2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Modifications to borrowers experiencing financial difficulty may include interest rate reductions, principal or interest forgiveness, forbearances, term extensions, and other actions intended to minimize economic loss and to avoid foreclosure or repossession of collateral. The following illustrates the most common loan modifications by loan classes offered by the Company:</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Loan Classes</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Modification Types</w:t>
            </w:r>
          </w:p>
        </w:tc>
      </w:tr>
      <w:tr>
        <w:trPr>
          <w:trHeight w:val="29"/>
        </w:trPr>
        <w:tc>
          <w:tcPr>
            <w:tcW w:w="170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r>
      <w:tr>
        <w:trPr>
          <w:trHeight w:val="201"/>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interest rate reductions, other-than-insignificant payment delay, or combination thereof.</w:t>
            </w:r>
          </w:p>
        </w:tc>
      </w:tr>
      <w:tr>
        <w:trPr>
          <w:trHeight w:val="203"/>
        </w:trPr>
        <w:tc>
          <w:tcPr>
            <w:tcW w:w="1700" w:type="dxa"/>
            <w:vAlign w:val="bottom"/>
          </w:tcPr>
          <w:p>
            <w:pPr>
              <w:spacing w:after="0"/>
              <w:rPr>
                <w:sz w:val="17"/>
                <w:szCs w:val="17"/>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These modifications extend the term of the loan, lower the payment amount, or result in an other-than-</w:t>
            </w:r>
          </w:p>
        </w:tc>
      </w:tr>
      <w:tr>
        <w:trPr>
          <w:trHeight w:val="216"/>
        </w:trPr>
        <w:tc>
          <w:tcPr>
            <w:tcW w:w="170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insignificant payment delay during a defined period for the purpose of providing borrowers additional time to</w:t>
            </w:r>
          </w:p>
        </w:tc>
      </w:tr>
      <w:tr>
        <w:trPr>
          <w:trHeight w:val="222"/>
        </w:trPr>
        <w:tc>
          <w:tcPr>
            <w:tcW w:w="170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return to compliance with the original loan term.</w:t>
            </w:r>
          </w:p>
        </w:tc>
      </w:tr>
      <w:tr>
        <w:trPr>
          <w:trHeight w:val="399"/>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Mortgage/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Forbearance period greater than six months. These modifications require reduced or no payments during the</w:t>
            </w: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Equity:</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forbearance period for the purpose of providing borrowers additional time to return to compliance with the</w:t>
            </w:r>
          </w:p>
        </w:tc>
      </w:tr>
      <w:tr>
        <w:trPr>
          <w:trHeight w:val="222"/>
        </w:trPr>
        <w:tc>
          <w:tcPr>
            <w:tcW w:w="170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original loan term.</w:t>
            </w:r>
          </w:p>
        </w:tc>
      </w:tr>
      <w:tr>
        <w:trPr>
          <w:trHeight w:val="41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Mortgage/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and rate adjustment. These modifications extend the term of the loan and provide for an</w:t>
            </w:r>
          </w:p>
        </w:tc>
      </w:tr>
      <w:tr>
        <w:trPr>
          <w:trHeight w:val="22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Equity:</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 to the interest rate, which reduces the monthly payment requirement.</w:t>
            </w:r>
          </w:p>
        </w:tc>
      </w:tr>
      <w:tr>
        <w:trPr>
          <w:trHeight w:val="399"/>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Automobile/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greater than three months. These modifications extend the term of the loan, which reduces the</w:t>
            </w:r>
          </w:p>
        </w:tc>
      </w:tr>
      <w:tr>
        <w:trPr>
          <w:trHeight w:val="22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 Installment:</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monthly payment requirement.</w:t>
            </w:r>
          </w:p>
        </w:tc>
      </w:tr>
      <w:tr>
        <w:trPr>
          <w:trHeight w:val="399"/>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Automobile/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Forbearance period and term extension greater than three months. These modifications require reduced or no</w:t>
            </w: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 Installment:</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payments during the forbearance period and extends the term of the loan, which reduces the monthly payment</w:t>
            </w:r>
          </w:p>
        </w:tc>
      </w:tr>
      <w:tr>
        <w:trPr>
          <w:trHeight w:val="222"/>
        </w:trPr>
        <w:tc>
          <w:tcPr>
            <w:tcW w:w="170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requirement.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loan modifications made to borrowers experiencing financial difficulty during the three months ended March 31, 2026 and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58"/>
        </w:trPr>
        <w:tc>
          <w:tcPr>
            <w:tcW w:w="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3"/>
                <w:szCs w:val="13"/>
                <w:b w:val="1"/>
                <w:bCs w:val="1"/>
                <w:color w:val="auto"/>
              </w:rPr>
              <w:t>and Term</w:t>
            </w:r>
          </w:p>
        </w:tc>
        <w:tc>
          <w:tcPr>
            <w:tcW w:w="200" w:type="dxa"/>
            <w:vAlign w:val="bottom"/>
          </w:tcPr>
          <w:p>
            <w:pPr>
              <w:spacing w:after="0"/>
              <w:rPr>
                <w:sz w:val="13"/>
                <w:szCs w:val="13"/>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and Interest Rate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 of Total Class of</w:t>
            </w:r>
          </w:p>
        </w:tc>
      </w:tr>
      <w:tr>
        <w:trPr>
          <w:trHeight w:val="210"/>
        </w:trPr>
        <w:tc>
          <w:tcPr>
            <w:tcW w:w="3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9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3"/>
                <w:szCs w:val="13"/>
                <w:b w:val="1"/>
                <w:bCs w:val="1"/>
                <w:color w:val="auto"/>
              </w:rPr>
              <w:t>Extension</w:t>
            </w:r>
            <w:r>
              <w:rPr>
                <w:rFonts w:ascii="Times New Roman" w:cs="Times New Roman" w:eastAsia="Times New Roman" w:hAnsi="Times New Roman"/>
                <w:sz w:val="17"/>
                <w:szCs w:val="17"/>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Payment Delay</w:t>
            </w:r>
            <w:r>
              <w:rPr>
                <w:rFonts w:ascii="Times New Roman" w:cs="Times New Roman" w:eastAsia="Times New Roman" w:hAnsi="Times New Roman"/>
                <w:sz w:val="17"/>
                <w:szCs w:val="17"/>
                <w:b w:val="1"/>
                <w:bCs w:val="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Loans and Leases</w:t>
            </w:r>
          </w:p>
        </w:tc>
      </w:tr>
      <w:tr>
        <w:trPr>
          <w:trHeight w:val="203"/>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19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14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0.00%</w:t>
            </w:r>
          </w:p>
        </w:tc>
      </w:tr>
      <w:tr>
        <w:trPr>
          <w:trHeight w:val="186"/>
        </w:trPr>
        <w:tc>
          <w:tcPr>
            <w:tcW w:w="3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1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0.00</w:t>
            </w:r>
          </w:p>
        </w:tc>
      </w:tr>
      <w:tr>
        <w:trPr>
          <w:trHeight w:val="37"/>
        </w:trPr>
        <w:tc>
          <w:tcPr>
            <w:tcW w:w="338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3"/>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193"/>
        </w:trPr>
        <w:tc>
          <w:tcPr>
            <w:tcW w:w="140" w:type="dxa"/>
            <w:vAlign w:val="bottom"/>
          </w:tcPr>
          <w:p>
            <w:pPr>
              <w:spacing w:after="0"/>
              <w:rPr>
                <w:sz w:val="16"/>
                <w:szCs w:val="16"/>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1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2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0.06</w:t>
            </w:r>
          </w:p>
        </w:tc>
      </w:tr>
      <w:tr>
        <w:trPr>
          <w:trHeight w:val="37"/>
        </w:trPr>
        <w:tc>
          <w:tcPr>
            <w:tcW w:w="14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9"/>
        </w:trPr>
        <w:tc>
          <w:tcPr>
            <w:tcW w:w="14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w:t>
            </w:r>
          </w:p>
        </w:tc>
        <w:tc>
          <w:tcPr>
            <w:tcW w:w="1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2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0.03</w:t>
            </w:r>
          </w:p>
        </w:tc>
      </w:tr>
      <w:tr>
        <w:trPr>
          <w:trHeight w:val="193"/>
        </w:trPr>
        <w:tc>
          <w:tcPr>
            <w:tcW w:w="140" w:type="dxa"/>
            <w:vAlign w:val="bottom"/>
          </w:tcPr>
          <w:p>
            <w:pPr>
              <w:spacing w:after="0"/>
              <w:rPr>
                <w:sz w:val="16"/>
                <w:szCs w:val="16"/>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1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9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12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0.42</w:t>
            </w:r>
          </w:p>
        </w:tc>
      </w:tr>
      <w:tr>
        <w:trPr>
          <w:trHeight w:val="37"/>
        </w:trPr>
        <w:tc>
          <w:tcPr>
            <w:tcW w:w="14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14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0.10</w:t>
            </w:r>
          </w:p>
        </w:tc>
      </w:tr>
      <w:tr>
        <w:trPr>
          <w:trHeight w:val="186"/>
        </w:trPr>
        <w:tc>
          <w:tcPr>
            <w:tcW w:w="3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1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3,283</w:t>
            </w: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12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0.09</w:t>
            </w:r>
          </w:p>
        </w:tc>
      </w:tr>
      <w:tr>
        <w:trPr>
          <w:trHeight w:val="37"/>
        </w:trPr>
        <w:tc>
          <w:tcPr>
            <w:tcW w:w="338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6"/>
        </w:trPr>
        <w:tc>
          <w:tcPr>
            <w:tcW w:w="3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w:t>
            </w:r>
          </w:p>
        </w:tc>
        <w:tc>
          <w:tcPr>
            <w:tcW w:w="12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0.05%</w:t>
            </w:r>
          </w:p>
        </w:tc>
      </w:tr>
      <w:tr>
        <w:trPr>
          <w:trHeight w:val="20"/>
        </w:trPr>
        <w:tc>
          <w:tcPr>
            <w:tcW w:w="3380" w:type="dxa"/>
            <w:vAlign w:val="bottom"/>
            <w:tcBorders>
              <w:top w:val="single" w:sz="8" w:color="CCEEFF"/>
              <w:bottom w:val="single" w:sz="8" w:color="auto"/>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22"/>
        </w:trPr>
        <w:tc>
          <w:tcPr>
            <w:tcW w:w="1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9"/>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193"/>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14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920" w:type="dxa"/>
            <w:vAlign w:val="bottom"/>
            <w:gridSpan w:val="2"/>
          </w:tcPr>
          <w:p>
            <w:pPr>
              <w:spacing w:after="0"/>
              <w:rPr>
                <w:sz w:val="3"/>
                <w:szCs w:val="3"/>
                <w:color w:val="auto"/>
              </w:rPr>
            </w:pPr>
          </w:p>
        </w:tc>
        <w:tc>
          <w:tcPr>
            <w:tcW w:w="32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Mortgage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2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0.05%</w:t>
            </w:r>
          </w:p>
        </w:tc>
      </w:tr>
      <w:tr>
        <w:trPr>
          <w:trHeight w:val="186"/>
        </w:trPr>
        <w:tc>
          <w:tcPr>
            <w:tcW w:w="3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1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2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0.04</w:t>
            </w:r>
          </w:p>
        </w:tc>
      </w:tr>
      <w:tr>
        <w:trPr>
          <w:trHeight w:val="37"/>
        </w:trPr>
        <w:tc>
          <w:tcPr>
            <w:tcW w:w="338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3"/>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193"/>
        </w:trPr>
        <w:tc>
          <w:tcPr>
            <w:tcW w:w="140" w:type="dxa"/>
            <w:vAlign w:val="bottom"/>
          </w:tcPr>
          <w:p>
            <w:pPr>
              <w:spacing w:after="0"/>
              <w:rPr>
                <w:sz w:val="16"/>
                <w:szCs w:val="16"/>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1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0.00</w:t>
            </w:r>
          </w:p>
        </w:tc>
      </w:tr>
      <w:tr>
        <w:trPr>
          <w:trHeight w:val="37"/>
        </w:trPr>
        <w:tc>
          <w:tcPr>
            <w:tcW w:w="14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10"/>
        </w:trPr>
        <w:tc>
          <w:tcPr>
            <w:tcW w:w="14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w:t>
            </w:r>
          </w:p>
        </w:tc>
        <w:tc>
          <w:tcPr>
            <w:tcW w:w="1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0.01</w:t>
            </w:r>
          </w:p>
        </w:tc>
      </w:tr>
      <w:tr>
        <w:trPr>
          <w:trHeight w:val="193"/>
        </w:trPr>
        <w:tc>
          <w:tcPr>
            <w:tcW w:w="140" w:type="dxa"/>
            <w:vAlign w:val="bottom"/>
          </w:tcPr>
          <w:p>
            <w:pPr>
              <w:spacing w:after="0"/>
              <w:rPr>
                <w:sz w:val="16"/>
                <w:szCs w:val="16"/>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1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w:t>
            </w:r>
          </w:p>
        </w:tc>
        <w:tc>
          <w:tcPr>
            <w:tcW w:w="9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3,686</w:t>
            </w:r>
          </w:p>
        </w:tc>
        <w:tc>
          <w:tcPr>
            <w:tcW w:w="12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0.50</w:t>
            </w:r>
          </w:p>
        </w:tc>
      </w:tr>
      <w:tr>
        <w:trPr>
          <w:trHeight w:val="37"/>
        </w:trPr>
        <w:tc>
          <w:tcPr>
            <w:tcW w:w="14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14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9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2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0.16</w:t>
            </w:r>
          </w:p>
        </w:tc>
      </w:tr>
      <w:tr>
        <w:trPr>
          <w:trHeight w:val="186"/>
        </w:trPr>
        <w:tc>
          <w:tcPr>
            <w:tcW w:w="3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1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12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0.06</w:t>
            </w:r>
          </w:p>
        </w:tc>
      </w:tr>
      <w:tr>
        <w:trPr>
          <w:trHeight w:val="37"/>
        </w:trPr>
        <w:tc>
          <w:tcPr>
            <w:tcW w:w="338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8"/>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6,827</w:t>
            </w:r>
          </w:p>
        </w:tc>
        <w:tc>
          <w:tcPr>
            <w:tcW w:w="12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0.05%</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14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32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Includes forbearance plans.</w:t>
            </w: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 of loan modifications made to borrowers experiencing financial difficulty during the three months ended March 31, 2026 and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33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Weighted-Average Months</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Payment</w:t>
            </w:r>
          </w:p>
        </w:tc>
        <w:tc>
          <w:tcPr>
            <w:tcW w:w="186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Weighted-Average Interest</w:t>
            </w:r>
          </w:p>
        </w:tc>
      </w:tr>
      <w:tr>
        <w:trPr>
          <w:trHeight w:val="204"/>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3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of Term Extension</w:t>
            </w:r>
          </w:p>
        </w:tc>
        <w:tc>
          <w:tcPr>
            <w:tcW w:w="360" w:type="dxa"/>
            <w:vAlign w:val="bottom"/>
          </w:tcPr>
          <w:p>
            <w:pPr>
              <w:spacing w:after="0"/>
              <w:rPr>
                <w:sz w:val="17"/>
                <w:szCs w:val="17"/>
                <w:color w:val="auto"/>
              </w:rPr>
            </w:pPr>
          </w:p>
        </w:tc>
        <w:tc>
          <w:tcPr>
            <w:tcW w:w="148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Deferral</w:t>
            </w:r>
            <w:r>
              <w:rPr>
                <w:rFonts w:ascii="Times New Roman" w:cs="Times New Roman" w:eastAsia="Times New Roman" w:hAnsi="Times New Roman"/>
                <w:sz w:val="9"/>
                <w:szCs w:val="9"/>
                <w:b w:val="1"/>
                <w:bCs w:val="1"/>
                <w:color w:val="auto"/>
              </w:rPr>
              <w:t>1</w:t>
            </w:r>
          </w:p>
        </w:tc>
        <w:tc>
          <w:tcPr>
            <w:tcW w:w="18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Rate Reduction</w:t>
            </w:r>
          </w:p>
        </w:tc>
      </w:tr>
      <w:tr>
        <w:trPr>
          <w:trHeight w:val="37"/>
        </w:trPr>
        <w:tc>
          <w:tcPr>
            <w:tcW w:w="422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3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w:t>
            </w:r>
          </w:p>
        </w:tc>
        <w:tc>
          <w:tcPr>
            <w:tcW w:w="18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6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158</w:t>
            </w:r>
          </w:p>
        </w:tc>
        <w:tc>
          <w:tcPr>
            <w:tcW w:w="18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0.25</w:t>
            </w:r>
          </w:p>
        </w:tc>
      </w:tr>
      <w:tr>
        <w:trPr>
          <w:trHeight w:val="25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8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94"/>
        </w:trPr>
        <w:tc>
          <w:tcPr>
            <w:tcW w:w="4220" w:type="dxa"/>
            <w:vAlign w:val="bottom"/>
            <w:tcBorders>
              <w:bottom w:val="single" w:sz="8" w:color="auto"/>
            </w:tcBorders>
            <w:shd w:val="clear" w:color="auto" w:fill="CCEEFF"/>
          </w:tcPr>
          <w:p>
            <w:pPr>
              <w:spacing w:after="0"/>
              <w:rPr>
                <w:sz w:val="8"/>
                <w:szCs w:val="8"/>
                <w:color w:val="auto"/>
              </w:rPr>
            </w:pPr>
          </w:p>
        </w:tc>
        <w:tc>
          <w:tcPr>
            <w:tcW w:w="332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480" w:type="dxa"/>
            <w:vAlign w:val="bottom"/>
            <w:tcBorders>
              <w:bottom w:val="single" w:sz="8" w:color="auto"/>
            </w:tcBorders>
            <w:shd w:val="clear" w:color="auto" w:fill="CCEEFF"/>
          </w:tcPr>
          <w:p>
            <w:pPr>
              <w:spacing w:after="0"/>
              <w:rPr>
                <w:sz w:val="8"/>
                <w:szCs w:val="8"/>
                <w:color w:val="auto"/>
              </w:rPr>
            </w:pPr>
          </w:p>
        </w:tc>
        <w:tc>
          <w:tcPr>
            <w:tcW w:w="1860" w:type="dxa"/>
            <w:vAlign w:val="bottom"/>
            <w:tcBorders>
              <w:bottom w:val="single" w:sz="8" w:color="auto"/>
            </w:tcBorders>
            <w:shd w:val="clear" w:color="auto" w:fill="CCEEFF"/>
          </w:tcPr>
          <w:p>
            <w:pPr>
              <w:spacing w:after="0"/>
              <w:rPr>
                <w:sz w:val="8"/>
                <w:szCs w:val="8"/>
                <w:color w:val="auto"/>
              </w:rPr>
            </w:pPr>
          </w:p>
        </w:tc>
      </w:tr>
      <w:tr>
        <w:trPr>
          <w:trHeight w:val="227"/>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33"/>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5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3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33"/>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6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0.37</w:t>
            </w:r>
          </w:p>
        </w:tc>
      </w:tr>
      <w:tr>
        <w:trPr>
          <w:trHeight w:val="25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0.88</w:t>
            </w:r>
          </w:p>
        </w:tc>
      </w:tr>
      <w:tr>
        <w:trPr>
          <w:trHeight w:val="233"/>
        </w:trPr>
        <w:tc>
          <w:tcPr>
            <w:tcW w:w="4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20"/>
                <w:szCs w:val="20"/>
                <w:color w:val="auto"/>
              </w:rPr>
            </w:pPr>
          </w:p>
        </w:tc>
        <w:tc>
          <w:tcPr>
            <w:tcW w:w="14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bl>
    <w:p>
      <w:pPr>
        <w:spacing w:after="0" w:line="45"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9"/>
          <w:szCs w:val="9"/>
          <w:color w:val="auto"/>
        </w:rPr>
        <w:t>1</w:t>
      </w:r>
      <w:r>
        <w:rPr>
          <w:sz w:val="20"/>
          <w:szCs w:val="20"/>
          <w:color w:val="auto"/>
        </w:rPr>
        <w:tab/>
      </w:r>
      <w:r>
        <w:rPr>
          <w:rFonts w:ascii="Times New Roman" w:cs="Times New Roman" w:eastAsia="Times New Roman" w:hAnsi="Times New Roman"/>
          <w:sz w:val="14"/>
          <w:szCs w:val="14"/>
          <w:color w:val="auto"/>
        </w:rPr>
        <w:t>Includes forbearance plans.</w:t>
      </w:r>
    </w:p>
    <w:p>
      <w:pPr>
        <w:spacing w:after="0" w:line="12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loan modifications made to borrowers experiencing financial difficulty that defaulted during the three months ended March 31,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Delay and</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340" w:type="dxa"/>
            <w:vAlign w:val="bottom"/>
          </w:tcPr>
          <w:p>
            <w:pPr>
              <w:spacing w:after="0"/>
              <w:rPr>
                <w:sz w:val="16"/>
                <w:szCs w:val="16"/>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120" w:type="dxa"/>
            <w:vAlign w:val="bottom"/>
          </w:tcPr>
          <w:p>
            <w:pPr>
              <w:spacing w:after="0"/>
              <w:rPr>
                <w:sz w:val="16"/>
                <w:szCs w:val="16"/>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Term Extension</w:t>
            </w:r>
            <w:r>
              <w:rPr>
                <w:rFonts w:ascii="Times New Roman" w:cs="Times New Roman" w:eastAsia="Times New Roman" w:hAnsi="Times New Roman"/>
                <w:sz w:val="9"/>
                <w:szCs w:val="9"/>
                <w:b w:val="1"/>
                <w:bCs w:val="1"/>
                <w:color w:val="auto"/>
              </w:rPr>
              <w:t>1</w:t>
            </w:r>
          </w:p>
        </w:tc>
        <w:tc>
          <w:tcPr>
            <w:tcW w:w="36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780" w:type="dxa"/>
            <w:vAlign w:val="bottom"/>
            <w:tcBorders>
              <w:bottom w:val="single" w:sz="8" w:color="auto"/>
            </w:tcBorders>
            <w:gridSpan w:val="2"/>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2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40" w:type="dxa"/>
            <w:vAlign w:val="bottom"/>
            <w:tcBorders>
              <w:bottom w:val="single" w:sz="8" w:color="auto"/>
            </w:tcBorders>
            <w:shd w:val="clear" w:color="auto" w:fill="CCEEFF"/>
          </w:tcPr>
          <w:p>
            <w:pPr>
              <w:spacing w:after="0"/>
              <w:rPr>
                <w:sz w:val="21"/>
                <w:szCs w:val="21"/>
                <w:color w:val="auto"/>
              </w:rPr>
            </w:pPr>
          </w:p>
        </w:tc>
        <w:tc>
          <w:tcPr>
            <w:tcW w:w="46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2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43"/>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Residential Mortgage</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53"/>
        </w:trPr>
        <w:tc>
          <w:tcPr>
            <w:tcW w:w="140" w:type="dxa"/>
            <w:vAlign w:val="bottom"/>
            <w:shd w:val="clear" w:color="auto" w:fill="CCEEFF"/>
          </w:tcPr>
          <w:p>
            <w:pPr>
              <w:spacing w:after="0"/>
              <w:rPr>
                <w:sz w:val="21"/>
                <w:szCs w:val="21"/>
                <w:color w:val="auto"/>
              </w:rPr>
            </w:pPr>
          </w:p>
        </w:tc>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Automobile</w:t>
            </w:r>
          </w:p>
        </w:tc>
        <w:tc>
          <w:tcPr>
            <w:tcW w:w="23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37"/>
        </w:trPr>
        <w:tc>
          <w:tcPr>
            <w:tcW w:w="14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2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36"/>
        </w:trPr>
        <w:tc>
          <w:tcPr>
            <w:tcW w:w="14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 Loans and Leases</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40" w:type="dxa"/>
            <w:vAlign w:val="bottom"/>
            <w:shd w:val="clear" w:color="auto" w:fill="CCEEFF"/>
          </w:tcPr>
          <w:p>
            <w:pPr>
              <w:spacing w:after="0"/>
              <w:rPr>
                <w:sz w:val="21"/>
                <w:szCs w:val="21"/>
                <w:color w:val="auto"/>
              </w:rPr>
            </w:pPr>
          </w:p>
        </w:tc>
        <w:tc>
          <w:tcPr>
            <w:tcW w:w="464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Automobile</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27</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246"/>
        </w:trPr>
        <w:tc>
          <w:tcPr>
            <w:tcW w:w="140" w:type="dxa"/>
            <w:vAlign w:val="bottom"/>
            <w:tcBorders>
              <w:bottom w:val="single" w:sz="8" w:color="auto"/>
            </w:tcBorders>
            <w:shd w:val="clear" w:color="auto" w:fill="CCEEFF"/>
          </w:tcPr>
          <w:p>
            <w:pPr>
              <w:spacing w:after="0"/>
              <w:rPr>
                <w:sz w:val="21"/>
                <w:szCs w:val="21"/>
                <w:color w:val="auto"/>
              </w:rPr>
            </w:pPr>
          </w:p>
        </w:tc>
        <w:tc>
          <w:tcPr>
            <w:tcW w:w="46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2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27</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61"/>
        </w:trPr>
        <w:tc>
          <w:tcPr>
            <w:tcW w:w="140" w:type="dxa"/>
            <w:vAlign w:val="bottom"/>
            <w:tcBorders>
              <w:bottom w:val="single" w:sz="8" w:color="auto"/>
            </w:tcBorders>
            <w:shd w:val="clear" w:color="auto" w:fill="CCEEFF"/>
          </w:tcPr>
          <w:p>
            <w:pPr>
              <w:spacing w:after="0"/>
              <w:rPr>
                <w:sz w:val="22"/>
                <w:szCs w:val="22"/>
                <w:color w:val="auto"/>
              </w:rPr>
            </w:pPr>
          </w:p>
        </w:tc>
        <w:tc>
          <w:tcPr>
            <w:tcW w:w="46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Loans and Leases</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27</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4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4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Includes forbearance plans.</w:t>
            </w:r>
          </w:p>
        </w:tc>
        <w:tc>
          <w:tcPr>
            <w:tcW w:w="2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40" w:type="dxa"/>
            <w:vAlign w:val="bottom"/>
          </w:tcPr>
          <w:p>
            <w:pPr>
              <w:spacing w:after="0"/>
              <w:rPr>
                <w:sz w:val="6"/>
                <w:szCs w:val="6"/>
                <w:color w:val="auto"/>
              </w:rPr>
            </w:pPr>
          </w:p>
        </w:tc>
        <w:tc>
          <w:tcPr>
            <w:tcW w:w="4640" w:type="dxa"/>
            <w:vAlign w:val="bottom"/>
            <w:vMerge w:val="continue"/>
          </w:tcPr>
          <w:p>
            <w:pPr>
              <w:spacing w:after="0"/>
              <w:rPr>
                <w:sz w:val="6"/>
                <w:szCs w:val="6"/>
                <w:color w:val="auto"/>
              </w:rPr>
            </w:pPr>
          </w:p>
        </w:tc>
        <w:tc>
          <w:tcPr>
            <w:tcW w:w="2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analysis of loans that have been modified in the last 12 months made to borrowers experiencing financial difficulty as of March 31, 2026 and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30 - 59 Days Past 60 - 89 Days Past Past Due 90 Days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4"/>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0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7"/>
                <w:szCs w:val="17"/>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Due</w:t>
            </w:r>
          </w:p>
        </w:tc>
        <w:tc>
          <w:tcPr>
            <w:tcW w:w="280" w:type="dxa"/>
            <w:vAlign w:val="bottom"/>
          </w:tcPr>
          <w:p>
            <w:pPr>
              <w:spacing w:after="0"/>
              <w:rPr>
                <w:sz w:val="17"/>
                <w:szCs w:val="17"/>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or More</w:t>
            </w:r>
          </w:p>
        </w:tc>
        <w:tc>
          <w:tcPr>
            <w:tcW w:w="1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80" w:type="dxa"/>
            <w:vAlign w:val="bottom"/>
          </w:tcPr>
          <w:p>
            <w:pPr>
              <w:spacing w:after="0"/>
              <w:rPr>
                <w:sz w:val="17"/>
                <w:szCs w:val="17"/>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r>
      <w:tr>
        <w:trPr>
          <w:trHeight w:val="236"/>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1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w:t>
            </w:r>
          </w:p>
        </w:tc>
      </w:tr>
      <w:tr>
        <w:trPr>
          <w:trHeight w:val="237"/>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w:t>
            </w: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r>
      <w:tr>
        <w:trPr>
          <w:trHeight w:val="23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9,959</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11,877</w:t>
            </w:r>
          </w:p>
        </w:tc>
      </w:tr>
      <w:tr>
        <w:trPr>
          <w:trHeight w:val="236"/>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w:t>
            </w:r>
          </w:p>
        </w:tc>
      </w:tr>
      <w:tr>
        <w:trPr>
          <w:trHeight w:val="237"/>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12,137</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18,059</w:t>
            </w:r>
          </w:p>
        </w:tc>
      </w:tr>
      <w:tr>
        <w:trPr>
          <w:trHeight w:val="237"/>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16,832</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22,787</w:t>
            </w: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3"/>
        </w:trPr>
        <w:tc>
          <w:tcPr>
            <w:tcW w:w="3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w:t>
            </w:r>
          </w:p>
        </w:tc>
      </w:tr>
      <w:tr>
        <w:trPr>
          <w:trHeight w:val="246"/>
        </w:trPr>
        <w:tc>
          <w:tcPr>
            <w:tcW w:w="3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36"/>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w:t>
            </w:r>
          </w:p>
        </w:tc>
      </w:tr>
      <w:tr>
        <w:trPr>
          <w:trHeight w:val="24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23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14,170</w:t>
            </w:r>
          </w:p>
        </w:tc>
      </w:tr>
      <w:tr>
        <w:trPr>
          <w:trHeight w:val="246"/>
        </w:trPr>
        <w:tc>
          <w:tcPr>
            <w:tcW w:w="3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r>
      <w:tr>
        <w:trPr>
          <w:trHeight w:val="236"/>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14,853</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17,497</w:t>
            </w:r>
          </w:p>
        </w:tc>
      </w:tr>
      <w:tr>
        <w:trPr>
          <w:trHeight w:val="262"/>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14,914</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19,763</w:t>
            </w: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Foreclosure Proceedings</w:t>
      </w:r>
    </w:p>
    <w:p>
      <w:pPr>
        <w:spacing w:after="0" w:line="20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Consumer mortgage loans collateralized by residential real estate property (residential mortgage and home equity) that are in the process of foreclosure totaled $10.0 million and $8.5 million as of March 31, 2026 and December 31,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Mortgage Servicing Rights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Company’s portfolio of residential mortgage loans serviced for third parties was $2.4 billion as of March 31, 2026 and December 31, 2025. Substantially all of these loans were originated by the Company and sold to third parties on a non-recourse basis with servicing rights retained. These retained servicing rights are recorded as a servicing asset and are initially recorded at fair value (see Note 12 </w:t>
      </w:r>
      <w:r>
        <w:rPr>
          <w:rFonts w:ascii="Times New Roman" w:cs="Times New Roman" w:eastAsia="Times New Roman" w:hAnsi="Times New Roman"/>
          <w:sz w:val="18"/>
          <w:szCs w:val="18"/>
          <w:i w:val="1"/>
          <w:iCs w:val="1"/>
          <w:color w:val="auto"/>
        </w:rPr>
        <w:t>Fair Value of Assets and Liabilities</w:t>
      </w:r>
      <w:r>
        <w:rPr>
          <w:rFonts w:ascii="Times New Roman" w:cs="Times New Roman" w:eastAsia="Times New Roman" w:hAnsi="Times New Roman"/>
          <w:sz w:val="18"/>
          <w:szCs w:val="18"/>
          <w:color w:val="auto"/>
        </w:rPr>
        <w:t xml:space="preserve"> for more information). Changes to the balance of mortgage servicing rights are recorded in noninterest income under Mortgage Banking in the Company’s unaudited consolidated statements of income.</w:t>
      </w:r>
    </w:p>
    <w:p>
      <w:pPr>
        <w:spacing w:after="0" w:line="1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$1.3 million for both the three months ended March 31, 2026 and 2025. Servicing income is recorded in noninterest income under Mortgage Banking in the Company’s unaudited consolidated statements of income. The Company’s residential mortgage investor loan servicing portfolio is primarily comprised of fixed rate loans concentrated in Hawai‘i.</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change in the carrying value of the Company’s mortgage servicing rights accounted for under the fair value measurement method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280" w:type="dxa"/>
            <w:vAlign w:val="bottom"/>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551</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36"/>
        </w:trPr>
        <w:tc>
          <w:tcPr>
            <w:tcW w:w="7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Change in Fair Value</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(53)</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62"/>
        </w:trPr>
        <w:tc>
          <w:tcPr>
            <w:tcW w:w="7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498</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change in the carrying value of the Company’s mortgage servicing rights accounted for under the amortization method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28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16,904</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18,552</w:t>
            </w:r>
          </w:p>
        </w:tc>
        <w:tc>
          <w:tcPr>
            <w:tcW w:w="0" w:type="dxa"/>
            <w:vAlign w:val="bottom"/>
          </w:tcPr>
          <w:p>
            <w:pPr>
              <w:spacing w:after="0"/>
              <w:rPr>
                <w:sz w:val="1"/>
                <w:szCs w:val="1"/>
                <w:color w:val="auto"/>
              </w:rPr>
            </w:pPr>
          </w:p>
        </w:tc>
      </w:tr>
      <w:tr>
        <w:trPr>
          <w:trHeight w:val="233"/>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Servicing Rights that Resulted From Asset Transfers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46"/>
        </w:trPr>
        <w:tc>
          <w:tcPr>
            <w:tcW w:w="79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16,538</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18,141</w:t>
            </w:r>
          </w:p>
        </w:tc>
        <w:tc>
          <w:tcPr>
            <w:tcW w:w="0" w:type="dxa"/>
            <w:vAlign w:val="bottom"/>
          </w:tcPr>
          <w:p>
            <w:pPr>
              <w:spacing w:after="0"/>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Mortgage Servicing Rights Accounted for Under the Amortization Method</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23,380</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24,989</w:t>
            </w:r>
          </w:p>
        </w:tc>
        <w:tc>
          <w:tcPr>
            <w:tcW w:w="0" w:type="dxa"/>
            <w:vAlign w:val="bottom"/>
          </w:tcPr>
          <w:p>
            <w:pPr>
              <w:spacing w:after="0"/>
              <w:rPr>
                <w:sz w:val="1"/>
                <w:szCs w:val="1"/>
                <w:color w:val="auto"/>
              </w:rPr>
            </w:pPr>
          </w:p>
        </w:tc>
      </w:tr>
      <w:tr>
        <w:trPr>
          <w:trHeight w:val="25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22,891</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key data and assumptions used in estimating the fair value of the Company’s mortgage servicing rights as of March 31, 2026 and December 31, 2025,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40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60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6"/>
        </w:trPr>
        <w:tc>
          <w:tcPr>
            <w:tcW w:w="560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Weighted-Average Constant Prepayment Rate </w:t>
            </w:r>
            <w:r>
              <w:rPr>
                <w:rFonts w:ascii="Times New Roman" w:cs="Times New Roman" w:eastAsia="Times New Roman" w:hAnsi="Times New Roman"/>
                <w:sz w:val="21"/>
                <w:szCs w:val="21"/>
                <w:color w:val="auto"/>
                <w:vertAlign w:val="superscript"/>
              </w:rPr>
              <w:t>1</w:t>
            </w:r>
          </w:p>
        </w:tc>
        <w:tc>
          <w:tcPr>
            <w:tcW w:w="4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33"/>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Life (in years)</w:t>
            </w:r>
          </w:p>
        </w:tc>
        <w:tc>
          <w:tcPr>
            <w:tcW w:w="40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8.84</w:t>
            </w:r>
          </w:p>
        </w:tc>
        <w:tc>
          <w:tcPr>
            <w:tcW w:w="16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8.96</w:t>
            </w:r>
          </w:p>
        </w:tc>
      </w:tr>
      <w:tr>
        <w:trPr>
          <w:trHeight w:val="25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Note Rate</w:t>
            </w:r>
          </w:p>
        </w:tc>
        <w:tc>
          <w:tcPr>
            <w:tcW w:w="40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3.77%</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94"/>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2</w:t>
            </w:r>
          </w:p>
        </w:tc>
        <w:tc>
          <w:tcPr>
            <w:tcW w:w="4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9.70%</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r>
    </w:tbl>
    <w:p>
      <w:pPr>
        <w:ind w:left="80" w:hanging="72"/>
        <w:spacing w:after="0" w:line="222" w:lineRule="auto"/>
        <w:tabs>
          <w:tab w:leader="none" w:pos="8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annualized loan prepayment rate assumption.</w:t>
      </w:r>
    </w:p>
    <w:p>
      <w:pPr>
        <w:ind w:left="80" w:hanging="72"/>
        <w:spacing w:after="0" w:line="200" w:lineRule="auto"/>
        <w:tabs>
          <w:tab w:leader="none" w:pos="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Derived from multiple interest rate scenarios that incorporate a spread to a market yield curve and market volatilities.</w:t>
      </w:r>
    </w:p>
    <w:p>
      <w:pPr>
        <w:spacing w:after="0" w:line="167"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A sensitivity analysis of the Company’s fair value of mortgage servicing rights to changes in certain key assumptions as of March 31, 2026 and December 31, 2025, is presented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0" w:type="dxa"/>
            <w:vAlign w:val="bottom"/>
          </w:tcPr>
          <w:p>
            <w:pPr>
              <w:spacing w:after="0"/>
              <w:rPr>
                <w:sz w:val="16"/>
                <w:szCs w:val="16"/>
                <w:color w:val="auto"/>
              </w:rPr>
            </w:pPr>
          </w:p>
        </w:tc>
        <w:tc>
          <w:tcPr>
            <w:tcW w:w="154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5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61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Constant Prepayment Rate</w:t>
            </w:r>
          </w:p>
        </w:tc>
        <w:tc>
          <w:tcPr>
            <w:tcW w:w="18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3"/>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25 basis points (“bps”) adverse change</w:t>
            </w:r>
          </w:p>
        </w:tc>
        <w:tc>
          <w:tcPr>
            <w:tcW w:w="1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53"/>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18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3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25 bps adverse change</w:t>
            </w:r>
          </w:p>
        </w:tc>
        <w:tc>
          <w:tcPr>
            <w:tcW w:w="18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18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r>
    </w:tbl>
    <w:p>
      <w:pPr>
        <w:spacing w:after="0" w:line="27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Affordable Housing Projects Tax Credit Partnerships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makes equity investments in various limited partnerships or limited liability companies that sponsor affordable housing projects utilizing the Low-Income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of these entities include the identification, development, and operation of multi-family housing that is leased to qualifying residential tenants.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these types of investments are funded through a combination of debt and equity.</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including the related unfunded commitments were $215.3 million and $224.7 million as of March 31, 2026 and December 31, 2025, respectively, and are included in Other Assets in the unaudited consolidated statements of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expected payments for unfunded affordable housing commitments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42,190</w:t>
            </w:r>
          </w:p>
        </w:tc>
      </w:tr>
      <w:tr>
        <w:trPr>
          <w:trHeight w:val="23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9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16,555</w:t>
            </w:r>
          </w:p>
        </w:tc>
      </w:tr>
      <w:tr>
        <w:trPr>
          <w:trHeight w:val="2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9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w:t>
            </w:r>
          </w:p>
        </w:tc>
      </w:tr>
      <w:tr>
        <w:trPr>
          <w:trHeight w:val="23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9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7,561</w:t>
            </w:r>
          </w:p>
        </w:tc>
      </w:tr>
      <w:tr>
        <w:trPr>
          <w:trHeight w:val="2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9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37"/>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9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18,144</w:t>
            </w:r>
          </w:p>
        </w:tc>
      </w:tr>
      <w:tr>
        <w:trPr>
          <w:trHeight w:val="261"/>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tc>
        <w:tc>
          <w:tcPr>
            <w:tcW w:w="39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89,861</w:t>
            </w: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tax credits and other tax benefits recognized and amortization expense related to affordable housing for the three months ended March 31, 2026 and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gridSpan w:val="3"/>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35"/>
        </w:trPr>
        <w:tc>
          <w:tcPr>
            <w:tcW w:w="76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02"/>
        </w:trPr>
        <w:tc>
          <w:tcPr>
            <w:tcW w:w="7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thousands)</w:t>
            </w:r>
          </w:p>
        </w:tc>
        <w:tc>
          <w:tcPr>
            <w:tcW w:w="440" w:type="dxa"/>
            <w:vAlign w:val="bottom"/>
          </w:tcPr>
          <w:p>
            <w:pPr>
              <w:spacing w:after="0"/>
              <w:rPr>
                <w:sz w:val="17"/>
                <w:szCs w:val="17"/>
                <w:color w:val="auto"/>
              </w:rPr>
            </w:pPr>
          </w:p>
        </w:tc>
        <w:tc>
          <w:tcPr>
            <w:tcW w:w="1340" w:type="dxa"/>
            <w:vAlign w:val="bottom"/>
          </w:tcPr>
          <w:p>
            <w:pPr>
              <w:jc w:val="right"/>
              <w:ind w:right="641"/>
              <w:spacing w:after="0"/>
              <w:rPr>
                <w:sz w:val="20"/>
                <w:szCs w:val="20"/>
                <w:color w:val="auto"/>
              </w:rPr>
            </w:pPr>
            <w:r>
              <w:rPr>
                <w:rFonts w:ascii="Times New Roman" w:cs="Times New Roman" w:eastAsia="Times New Roman" w:hAnsi="Times New Roman"/>
                <w:sz w:val="15"/>
                <w:szCs w:val="15"/>
                <w:b w:val="1"/>
                <w:bCs w:val="1"/>
                <w:color w:val="auto"/>
              </w:rPr>
              <w:t>2026</w:t>
            </w:r>
          </w:p>
        </w:tc>
        <w:tc>
          <w:tcPr>
            <w:tcW w:w="440" w:type="dxa"/>
            <w:vAlign w:val="bottom"/>
          </w:tcPr>
          <w:p>
            <w:pPr>
              <w:spacing w:after="0"/>
              <w:rPr>
                <w:sz w:val="17"/>
                <w:szCs w:val="17"/>
                <w:color w:val="auto"/>
              </w:rPr>
            </w:pPr>
          </w:p>
        </w:tc>
        <w:tc>
          <w:tcPr>
            <w:tcW w:w="1380" w:type="dxa"/>
            <w:vAlign w:val="bottom"/>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35"/>
        </w:trPr>
        <w:tc>
          <w:tcPr>
            <w:tcW w:w="76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Yield Method</w:t>
            </w: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3"/>
        </w:trPr>
        <w:tc>
          <w:tcPr>
            <w:tcW w:w="7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r>
      <w:tr>
        <w:trPr>
          <w:trHeight w:val="253"/>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4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3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Proportional Amortization Method</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11,157</w:t>
            </w: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8,844</w:t>
            </w:r>
          </w:p>
        </w:tc>
      </w:tr>
      <w:tr>
        <w:trPr>
          <w:trHeight w:val="223"/>
        </w:trPr>
        <w:tc>
          <w:tcPr>
            <w:tcW w:w="7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9,156</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related to LIHTC investments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Securities Sold Under Agreements to Repurchase</w:t>
      </w:r>
    </w:p>
    <w:p>
      <w:pPr>
        <w:spacing w:after="0" w:line="20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contractual maturities of the Company’s repurchase agreements as of March 31, 2026 and December 31, 2025, by collateral pledged.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gridSpan w:val="8"/>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Remaining Contractual Maturity of Repurchase Agreements</w:t>
            </w:r>
          </w:p>
        </w:tc>
        <w:tc>
          <w:tcPr>
            <w:tcW w:w="880" w:type="dxa"/>
            <w:vAlign w:val="bottom"/>
            <w:tcBorders>
              <w:bottom w:val="single" w:sz="8" w:color="auto"/>
            </w:tcBorders>
          </w:tcPr>
          <w:p>
            <w:pPr>
              <w:spacing w:after="0"/>
              <w:rPr>
                <w:sz w:val="19"/>
                <w:szCs w:val="19"/>
                <w:color w:val="auto"/>
              </w:rPr>
            </w:pPr>
          </w:p>
        </w:tc>
      </w:tr>
      <w:tr>
        <w:trPr>
          <w:trHeight w:val="237"/>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Up to 90 days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91-365 days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After 3 Years</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3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bl>
    <w:p>
      <w:pPr>
        <w:spacing w:after="0" w:line="2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presents the assets and liabilities subject to an enforceable master netting arrangement, or repurchase agreements as of March 31, 2026 and December 31, 2025. The Company has swap agreements with commercial banking customers that are not subject to an enforceable master netting arrangement and therefore are excluded from this table. Interest rate swaps that are designated as fair value hedges between the Company and institutional counterparties are also excluded from this table.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 on swap agreements.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gridSpan w:val="5"/>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Gross Amounts Not Offset in</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gridSpan w:val="5"/>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the Statements of Condition</w:t>
            </w:r>
          </w:p>
        </w:tc>
        <w:tc>
          <w:tcPr>
            <w:tcW w:w="0" w:type="dxa"/>
            <w:vAlign w:val="bottom"/>
          </w:tcPr>
          <w:p>
            <w:pPr>
              <w:spacing w:after="0"/>
              <w:rPr>
                <w:sz w:val="1"/>
                <w:szCs w:val="1"/>
                <w:color w:val="auto"/>
              </w:rPr>
            </w:pPr>
          </w:p>
        </w:tc>
      </w:tr>
      <w:tr>
        <w:trPr>
          <w:trHeight w:val="22"/>
        </w:trPr>
        <w:tc>
          <w:tcPr>
            <w:tcW w:w="2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Gross Amounts</w:t>
            </w:r>
          </w:p>
        </w:tc>
        <w:tc>
          <w:tcPr>
            <w:tcW w:w="160" w:type="dxa"/>
            <w:vAlign w:val="bottom"/>
          </w:tcPr>
          <w:p>
            <w:pPr>
              <w:spacing w:after="0"/>
              <w:rPr>
                <w:sz w:val="16"/>
                <w:szCs w:val="16"/>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Gross Amounts</w:t>
            </w:r>
          </w:p>
        </w:tc>
        <w:tc>
          <w:tcPr>
            <w:tcW w:w="140" w:type="dxa"/>
            <w:vAlign w:val="bottom"/>
          </w:tcPr>
          <w:p>
            <w:pPr>
              <w:spacing w:after="0"/>
              <w:rPr>
                <w:sz w:val="16"/>
                <w:szCs w:val="16"/>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Net Amounts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00" w:type="dxa"/>
            <w:vAlign w:val="bottom"/>
          </w:tcPr>
          <w:p>
            <w:pPr>
              <w:spacing w:after="0"/>
              <w:rPr>
                <w:sz w:val="16"/>
                <w:szCs w:val="16"/>
                <w:color w:val="auto"/>
              </w:rPr>
            </w:pPr>
          </w:p>
        </w:tc>
        <w:tc>
          <w:tcPr>
            <w:tcW w:w="1140" w:type="dxa"/>
            <w:vAlign w:val="bottom"/>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Fair Value of</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1880" w:type="dxa"/>
            <w:vAlign w:val="bottom"/>
            <w:gridSpan w:val="2"/>
          </w:tcPr>
          <w:p>
            <w:pPr>
              <w:jc w:val="center"/>
              <w:ind w:left="521"/>
              <w:spacing w:after="0"/>
              <w:rPr>
                <w:sz w:val="20"/>
                <w:szCs w:val="20"/>
                <w:color w:val="auto"/>
              </w:rPr>
            </w:pPr>
            <w:r>
              <w:rPr>
                <w:rFonts w:ascii="Times New Roman" w:cs="Times New Roman" w:eastAsia="Times New Roman" w:hAnsi="Times New Roman"/>
                <w:sz w:val="15"/>
                <w:szCs w:val="15"/>
                <w:b w:val="1"/>
                <w:bCs w:val="1"/>
                <w:color w:val="auto"/>
              </w:rPr>
              <w:t>Recognized in the</w:t>
            </w:r>
          </w:p>
        </w:tc>
        <w:tc>
          <w:tcPr>
            <w:tcW w:w="160" w:type="dxa"/>
            <w:vAlign w:val="bottom"/>
          </w:tcPr>
          <w:p>
            <w:pPr>
              <w:spacing w:after="0"/>
              <w:rPr>
                <w:sz w:val="15"/>
                <w:szCs w:val="15"/>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Offset in the</w:t>
            </w:r>
          </w:p>
        </w:tc>
        <w:tc>
          <w:tcPr>
            <w:tcW w:w="140" w:type="dxa"/>
            <w:vAlign w:val="bottom"/>
          </w:tcPr>
          <w:p>
            <w:pPr>
              <w:spacing w:after="0"/>
              <w:rPr>
                <w:sz w:val="15"/>
                <w:szCs w:val="15"/>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Presented in the</w:t>
            </w:r>
          </w:p>
        </w:tc>
        <w:tc>
          <w:tcPr>
            <w:tcW w:w="100" w:type="dxa"/>
            <w:vAlign w:val="bottom"/>
          </w:tcPr>
          <w:p>
            <w:pPr>
              <w:spacing w:after="0"/>
              <w:rPr>
                <w:sz w:val="15"/>
                <w:szCs w:val="15"/>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Adjustments per</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60" w:type="dxa"/>
            <w:vAlign w:val="bottom"/>
          </w:tcPr>
          <w:p>
            <w:pPr>
              <w:spacing w:after="0"/>
              <w:rPr>
                <w:sz w:val="15"/>
                <w:szCs w:val="15"/>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40" w:type="dxa"/>
            <w:vAlign w:val="bottom"/>
          </w:tcPr>
          <w:p>
            <w:pPr>
              <w:spacing w:after="0"/>
              <w:rPr>
                <w:sz w:val="15"/>
                <w:szCs w:val="15"/>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00" w:type="dxa"/>
            <w:vAlign w:val="bottom"/>
          </w:tcPr>
          <w:p>
            <w:pPr>
              <w:spacing w:after="0"/>
              <w:rPr>
                <w:sz w:val="15"/>
                <w:szCs w:val="15"/>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Master Netting</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Collateral Pledged/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thousands)</w:t>
            </w:r>
          </w:p>
        </w:tc>
        <w:tc>
          <w:tcPr>
            <w:tcW w:w="700" w:type="dxa"/>
            <w:vAlign w:val="bottom"/>
          </w:tcPr>
          <w:p>
            <w:pPr>
              <w:spacing w:after="0"/>
              <w:rPr>
                <w:sz w:val="18"/>
                <w:szCs w:val="18"/>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60" w:type="dxa"/>
            <w:vAlign w:val="bottom"/>
          </w:tcPr>
          <w:p>
            <w:pPr>
              <w:spacing w:after="0"/>
              <w:rPr>
                <w:sz w:val="18"/>
                <w:szCs w:val="18"/>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40" w:type="dxa"/>
            <w:vAlign w:val="bottom"/>
          </w:tcPr>
          <w:p>
            <w:pPr>
              <w:spacing w:after="0"/>
              <w:rPr>
                <w:sz w:val="18"/>
                <w:szCs w:val="18"/>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00" w:type="dxa"/>
            <w:vAlign w:val="bottom"/>
          </w:tcPr>
          <w:p>
            <w:pPr>
              <w:spacing w:after="0"/>
              <w:rPr>
                <w:sz w:val="18"/>
                <w:szCs w:val="18"/>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Arrangements</w:t>
            </w:r>
          </w:p>
        </w:tc>
        <w:tc>
          <w:tcPr>
            <w:tcW w:w="200" w:type="dxa"/>
            <w:vAlign w:val="bottom"/>
          </w:tcPr>
          <w:p>
            <w:pPr>
              <w:spacing w:after="0"/>
              <w:rPr>
                <w:sz w:val="18"/>
                <w:szCs w:val="18"/>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 xml:space="preserve">Received </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8"/>
                <w:szCs w:val="18"/>
                <w:color w:val="auto"/>
              </w:rPr>
            </w:pPr>
          </w:p>
        </w:tc>
        <w:tc>
          <w:tcPr>
            <w:tcW w:w="1160" w:type="dxa"/>
            <w:vAlign w:val="bottom"/>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Net Exposure</w:t>
            </w:r>
          </w:p>
        </w:tc>
        <w:tc>
          <w:tcPr>
            <w:tcW w:w="0" w:type="dxa"/>
            <w:vAlign w:val="bottom"/>
          </w:tcPr>
          <w:p>
            <w:pPr>
              <w:spacing w:after="0"/>
              <w:rPr>
                <w:sz w:val="1"/>
                <w:szCs w:val="1"/>
                <w:color w:val="auto"/>
              </w:rPr>
            </w:pPr>
          </w:p>
        </w:tc>
      </w:tr>
      <w:tr>
        <w:trPr>
          <w:trHeight w:val="22"/>
        </w:trPr>
        <w:tc>
          <w:tcPr>
            <w:tcW w:w="2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85,718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85,718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9,396</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Private Institutions</w:t>
            </w: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85,047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3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7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12,082</w:t>
            </w:r>
          </w:p>
        </w:tc>
        <w:tc>
          <w:tcPr>
            <w:tcW w:w="16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12,082</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12,082</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7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Private Institutions</w:t>
            </w: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20" w:right="60" w:hanging="412"/>
        <w:spacing w:after="0" w:line="239" w:lineRule="auto"/>
        <w:tabs>
          <w:tab w:leader="none" w:pos="413"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application of collateral cannot reduce the net amount below zero. Therefore, excess collateral is not reflected in this table. For interest rate swap agreements, the fair value of investment securities pledged was $34.2 million and $45.9 million as of March 31, 2026 and December 31, 2025, respectively. For repurchase agreements with private institutions, the fair value of investment securities pledged was $55.9 million and $54.1 million as of March 31, 2026 and December 31, 2025, respectively.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Accumulated Other Comprehensive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comprehensive income for the three months ended March 31, 2026 and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Net of Tax</w:t>
            </w:r>
          </w:p>
        </w:tc>
      </w:tr>
      <w:tr>
        <w:trPr>
          <w:trHeight w:val="24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Losses on Investment Securities:</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Losses Arising During the Period</w:t>
            </w:r>
          </w:p>
        </w:tc>
        <w:tc>
          <w:tcPr>
            <w:tcW w:w="4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w:t>
            </w:r>
          </w:p>
        </w:tc>
      </w:tr>
      <w:tr>
        <w:trPr>
          <w:trHeight w:val="202"/>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that Decrease Net</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Unrealized Holding Losses on Held-to-Maturity Securities</w:t>
            </w: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r>
      <w:tr>
        <w:trPr>
          <w:trHeight w:val="233"/>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Unrealized Losses on Investment Securities</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w:t>
            </w:r>
          </w:p>
        </w:tc>
      </w:tr>
      <w:tr>
        <w:trPr>
          <w:trHeight w:val="25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Defined Benefit Plans:</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Net Actuarial Losses</w:t>
            </w: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46"/>
        </w:trPr>
        <w:tc>
          <w:tcPr>
            <w:tcW w:w="6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37"/>
        </w:trPr>
        <w:tc>
          <w:tcPr>
            <w:tcW w:w="6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61"/>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4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w:t>
            </w:r>
          </w:p>
        </w:tc>
      </w:tr>
      <w:tr>
        <w:trPr>
          <w:trHeight w:val="20"/>
        </w:trPr>
        <w:tc>
          <w:tcPr>
            <w:tcW w:w="6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Gains on Investment Securities:</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6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Unrealized Gains Arising During the Period</w:t>
            </w:r>
          </w:p>
        </w:tc>
        <w:tc>
          <w:tcPr>
            <w:tcW w:w="4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27,992</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20,575</w:t>
            </w:r>
          </w:p>
        </w:tc>
      </w:tr>
      <w:tr>
        <w:trPr>
          <w:trHeight w:val="212"/>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 that Decrease Net</w:t>
            </w: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3"/>
        </w:trPr>
        <w:tc>
          <w:tcPr>
            <w:tcW w:w="6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4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64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Amortization of Unrealized Holding Losses on Held-to-Maturity Securities</w:t>
            </w: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5,694</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4,185</w:t>
            </w:r>
          </w:p>
        </w:tc>
      </w:tr>
      <w:tr>
        <w:trPr>
          <w:trHeight w:val="243"/>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Gains on Investment Securities</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33,686</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8,926</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24,760</w:t>
            </w:r>
          </w:p>
        </w:tc>
      </w:tr>
      <w:tr>
        <w:trPr>
          <w:trHeight w:val="23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Defined Benefit Plans:</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Net Actuarial Losses</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36"/>
        </w:trPr>
        <w:tc>
          <w:tcPr>
            <w:tcW w:w="6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37"/>
        </w:trPr>
        <w:tc>
          <w:tcPr>
            <w:tcW w:w="6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Defined Benefit Plans, Net</w:t>
            </w:r>
          </w:p>
        </w:tc>
        <w:tc>
          <w:tcPr>
            <w:tcW w:w="4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36"/>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w:t>
            </w:r>
          </w:p>
        </w:tc>
        <w:tc>
          <w:tcPr>
            <w:tcW w:w="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34,003</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9,011</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24,992</w:t>
            </w:r>
          </w:p>
        </w:tc>
      </w:tr>
      <w:tr>
        <w:trPr>
          <w:trHeight w:val="27"/>
        </w:trPr>
        <w:tc>
          <w:tcPr>
            <w:tcW w:w="6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amortization of unrealized holding losses on HTM securities relates to the Company’s reclassification of AFS investment securities to the HTM category and will be amortized over the remaining life of the investment securities as an adjustment of yield.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each component of accumulated other comprehensive income, net of tax, for the three months ended March 31, 2026 and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62"/>
        </w:trPr>
        <w:tc>
          <w:tcPr>
            <w:tcW w:w="514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Comprehensive</w:t>
            </w:r>
          </w:p>
        </w:tc>
      </w:tr>
      <w:tr>
        <w:trPr>
          <w:trHeight w:val="204"/>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00" w:type="dxa"/>
            <w:vAlign w:val="bottom"/>
          </w:tcPr>
          <w:p>
            <w:pPr>
              <w:spacing w:after="0"/>
              <w:rPr>
                <w:sz w:val="17"/>
                <w:szCs w:val="17"/>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7"/>
                <w:szCs w:val="17"/>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Held-to-Maturity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120" w:type="dxa"/>
            <w:vAlign w:val="bottom"/>
          </w:tcPr>
          <w:p>
            <w:pPr>
              <w:spacing w:after="0"/>
              <w:rPr>
                <w:sz w:val="17"/>
                <w:szCs w:val="17"/>
                <w:color w:val="auto"/>
              </w:rPr>
            </w:pPr>
          </w:p>
        </w:tc>
        <w:tc>
          <w:tcPr>
            <w:tcW w:w="13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Income (Loss)</w:t>
            </w:r>
          </w:p>
        </w:tc>
      </w:tr>
      <w:tr>
        <w:trPr>
          <w:trHeight w:val="37"/>
        </w:trPr>
        <w:tc>
          <w:tcPr>
            <w:tcW w:w="5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(113,952)</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(244,438)</w:t>
            </w:r>
          </w:p>
        </w:tc>
      </w:tr>
      <w:tr>
        <w:trPr>
          <w:trHeight w:val="253"/>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w:t>
            </w:r>
          </w:p>
        </w:tc>
      </w:tr>
      <w:tr>
        <w:trPr>
          <w:trHeight w:val="237"/>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4,149</w:t>
            </w:r>
          </w:p>
        </w:tc>
      </w:tr>
      <w:tr>
        <w:trPr>
          <w:trHeight w:val="237"/>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w:t>
            </w: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5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w:t>
            </w:r>
          </w:p>
        </w:tc>
      </w:tr>
      <w:tr>
        <w:trPr>
          <w:trHeight w:val="237"/>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(117,161)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(110,025)</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(247,217)</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3"/>
        </w:trPr>
        <w:tc>
          <w:tcPr>
            <w:tcW w:w="5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(130,763)</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(343,389)</w:t>
            </w:r>
          </w:p>
        </w:tc>
      </w:tr>
      <w:tr>
        <w:trPr>
          <w:trHeight w:val="233"/>
        </w:trPr>
        <w:tc>
          <w:tcPr>
            <w:tcW w:w="5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20,575</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20,575</w:t>
            </w:r>
          </w:p>
        </w:tc>
      </w:tr>
      <w:tr>
        <w:trPr>
          <w:trHeight w:val="246"/>
        </w:trPr>
        <w:tc>
          <w:tcPr>
            <w:tcW w:w="5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4,417</w:t>
            </w:r>
          </w:p>
        </w:tc>
      </w:tr>
      <w:tr>
        <w:trPr>
          <w:trHeight w:val="237"/>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20,575</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24,992</w:t>
            </w:r>
          </w:p>
        </w:tc>
      </w:tr>
      <w:tr>
        <w:trPr>
          <w:trHeight w:val="262"/>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(168,655)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(126,578)</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(318,397)</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reclassified out of each component of accumulated other comprehensive income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w:t>
            </w:r>
          </w:p>
        </w:tc>
        <w:tc>
          <w:tcPr>
            <w:tcW w:w="36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32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45"/>
        </w:trPr>
        <w:tc>
          <w:tcPr>
            <w:tcW w:w="43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3040" w:type="dxa"/>
            <w:vAlign w:val="bottom"/>
            <w:tcBorders>
              <w:bottom w:val="single" w:sz="8" w:color="auto"/>
            </w:tcBorders>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w w:val="99"/>
              </w:rPr>
              <w:t>Comprehensive Income</w:t>
            </w:r>
            <w:r>
              <w:rPr>
                <w:rFonts w:ascii="Times New Roman" w:cs="Times New Roman" w:eastAsia="Times New Roman" w:hAnsi="Times New Roman"/>
                <w:sz w:val="21"/>
                <w:szCs w:val="21"/>
                <w:b w:val="1"/>
                <w:bCs w:val="1"/>
                <w:color w:val="auto"/>
                <w:w w:val="99"/>
                <w:vertAlign w:val="superscript"/>
              </w:rPr>
              <w:t>1</w:t>
            </w:r>
          </w:p>
        </w:tc>
        <w:tc>
          <w:tcPr>
            <w:tcW w:w="62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30"/>
        </w:trPr>
        <w:tc>
          <w:tcPr>
            <w:tcW w:w="4320" w:type="dxa"/>
            <w:vAlign w:val="bottom"/>
          </w:tcPr>
          <w:p>
            <w:pPr>
              <w:spacing w:after="0"/>
              <w:rPr>
                <w:sz w:val="20"/>
                <w:szCs w:val="20"/>
                <w:color w:val="auto"/>
              </w:rPr>
            </w:pPr>
          </w:p>
        </w:tc>
        <w:tc>
          <w:tcPr>
            <w:tcW w:w="304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3260" w:type="dxa"/>
            <w:vAlign w:val="bottom"/>
          </w:tcPr>
          <w:p>
            <w:pPr>
              <w:spacing w:after="0"/>
              <w:rPr>
                <w:sz w:val="20"/>
                <w:szCs w:val="20"/>
                <w:color w:val="auto"/>
              </w:rPr>
            </w:pPr>
          </w:p>
        </w:tc>
      </w:tr>
      <w:tr>
        <w:trPr>
          <w:trHeight w:val="23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r>
      <w:tr>
        <w:trPr>
          <w:trHeight w:val="20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Unrealized Holding Losses on Investment</w:t>
            </w: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22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3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Tax Effect</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1,416</w:t>
            </w:r>
          </w:p>
        </w:tc>
        <w:tc>
          <w:tcPr>
            <w:tcW w:w="1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36"/>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1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3260" w:type="dxa"/>
            <w:vAlign w:val="bottom"/>
            <w:tcBorders>
              <w:bottom w:val="single" w:sz="8" w:color="auto"/>
            </w:tcBorders>
            <w:shd w:val="clear" w:color="auto" w:fill="CCEEFF"/>
          </w:tcPr>
          <w:p>
            <w:pPr>
              <w:spacing w:after="0"/>
              <w:rPr>
                <w:sz w:val="20"/>
                <w:szCs w:val="20"/>
                <w:color w:val="auto"/>
              </w:rPr>
            </w:pPr>
          </w:p>
        </w:tc>
      </w:tr>
      <w:tr>
        <w:trPr>
          <w:trHeight w:val="23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Plan Items</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53"/>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Prior Service Credit</w:t>
            </w: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1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Noninterest Expense</w:t>
            </w:r>
          </w:p>
        </w:tc>
      </w:tr>
      <w:tr>
        <w:trPr>
          <w:trHeight w:val="236"/>
        </w:trPr>
        <w:tc>
          <w:tcPr>
            <w:tcW w:w="4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Actuarial Losses</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Other Noninterest Expense</w:t>
            </w:r>
          </w:p>
        </w:tc>
      </w:tr>
      <w:tr>
        <w:trPr>
          <w:trHeight w:val="243"/>
        </w:trPr>
        <w:tc>
          <w:tcPr>
            <w:tcW w:w="4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3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Tax Effect</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37"/>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c>
          <w:tcPr>
            <w:tcW w:w="1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3260" w:type="dxa"/>
            <w:vAlign w:val="bottom"/>
            <w:tcBorders>
              <w:bottom w:val="single" w:sz="8" w:color="auto"/>
            </w:tcBorders>
            <w:shd w:val="clear" w:color="auto" w:fill="CCEEFF"/>
          </w:tcPr>
          <w:p>
            <w:pPr>
              <w:spacing w:after="0"/>
              <w:rPr>
                <w:sz w:val="20"/>
                <w:szCs w:val="20"/>
                <w:color w:val="auto"/>
              </w:rPr>
            </w:pPr>
          </w:p>
        </w:tc>
      </w:tr>
      <w:tr>
        <w:trPr>
          <w:trHeight w:val="256"/>
        </w:trPr>
        <w:tc>
          <w:tcPr>
            <w:tcW w:w="4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r>
      <w:tr>
        <w:trPr>
          <w:trHeight w:val="255"/>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 Net of Tax</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122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(4,417)</w:t>
            </w:r>
          </w:p>
        </w:tc>
        <w:tc>
          <w:tcPr>
            <w:tcW w:w="3260" w:type="dxa"/>
            <w:vAlign w:val="bottom"/>
            <w:tcBorders>
              <w:bottom w:val="single" w:sz="8" w:color="auto"/>
            </w:tcBorders>
            <w:shd w:val="clear" w:color="auto" w:fill="CCEEFF"/>
          </w:tcPr>
          <w:p>
            <w:pPr>
              <w:spacing w:after="0"/>
              <w:rPr>
                <w:sz w:val="21"/>
                <w:szCs w:val="21"/>
                <w:color w:val="auto"/>
              </w:rPr>
            </w:pP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r>
    </w:tbl>
    <w:p>
      <w:pPr>
        <w:spacing w:after="0" w:line="15" w:lineRule="exact"/>
        <w:rPr>
          <w:sz w:val="20"/>
          <w:szCs w:val="20"/>
          <w:color w:val="auto"/>
        </w:rPr>
      </w:pPr>
    </w:p>
    <w:p>
      <w:pPr>
        <w:ind w:left="480" w:hanging="472"/>
        <w:spacing w:after="0"/>
        <w:tabs>
          <w:tab w:leader="none" w:pos="4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in parentheses indicate reductions to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20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Earnings per common share is computed using the two-class method. The following is a reconciliation of the weighted average number of common shares used in the calculation of basic and diluted earnings per common share and antidilutive restricted stock outstanding for the three months ended March 31, 2026 and 2025:</w:t>
      </w:r>
    </w:p>
    <w:p>
      <w:pPr>
        <w:spacing w:after="0" w:line="19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30480</wp:posOffset>
            </wp:positionV>
            <wp:extent cx="22802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2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52,163</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38,716</w:t>
            </w:r>
          </w:p>
        </w:tc>
      </w:tr>
      <w:tr>
        <w:trPr>
          <w:trHeight w:val="280"/>
        </w:trPr>
        <w:tc>
          <w:tcPr>
            <w:tcW w:w="572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3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39,568,000</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39,554,834</w:t>
            </w:r>
          </w:p>
        </w:tc>
      </w:tr>
      <w:tr>
        <w:trPr>
          <w:trHeight w:val="237"/>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Dilutive Effect of Equity Based Awards</w:t>
            </w:r>
          </w:p>
        </w:tc>
        <w:tc>
          <w:tcPr>
            <w:tcW w:w="2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413,356</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321,572</w:t>
            </w:r>
          </w:p>
        </w:tc>
      </w:tr>
      <w:tr>
        <w:trPr>
          <w:trHeight w:val="261"/>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39,981,356</w:t>
            </w: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39,876,406</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57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7"/>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3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r>
      <w:tr>
        <w:trPr>
          <w:trHeight w:val="23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r>
      <w:tr>
        <w:trPr>
          <w:trHeight w:val="25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3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70"/>
        </w:trPr>
        <w:tc>
          <w:tcPr>
            <w:tcW w:w="57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Restricted Stock Outstanding</w:t>
            </w:r>
          </w:p>
        </w:tc>
        <w:tc>
          <w:tcPr>
            <w:tcW w:w="2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147,200</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122,291</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Business Segments</w:t>
      </w:r>
    </w:p>
    <w:p>
      <w:pPr>
        <w:spacing w:after="0" w:line="18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Company’s business segments are defined as Consumer Banking, Commercial Banking, and Treasury and Other. The Company’s chief operating decision maker (“CODM”) is the President and Chief Executive Officer. The CODM uses income from operations to evaluate the performance of the overall business and to allocate resources to each of the segments.</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internal management accounting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w:t>
      </w:r>
    </w:p>
    <w:p>
      <w:pPr>
        <w:spacing w:after="0" w:line="13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4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provision for credit losses for the Consumer Banking and Commercial Banking business segments reflects the actual net charge-offs of those business segments. The amount of the consolidated provision for loan and lease losses is based on the CECL methodology that the Company used to estimate our consolidated Allowance. The residual provision for credit losses to arrive at the consolidated provision for credit losses is included in Treasury and Other.</w:t>
      </w:r>
    </w:p>
    <w:p>
      <w:pPr>
        <w:spacing w:after="0" w:line="13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Noninterest income and expense include allocations from support units to business units. These allocations are based on actual usage where practicably calculated or by management’s estimate of such usage.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allocated to business segments using a 26% effective income tax rate. However, the provision for income taxes for the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Consumer Banking offers a broad range of financial products and services, including loan and lease financing, deposit, and brokerage and insurance products; private banking and international client banking services; trust services; investment management; and institutional investment advisory services. Loan and lease products include residential mortgage loans, home equity lines of credit, automobile loans and leases, overdraft lines of credit, installment loans, small business loans and leases, and credit cards. Deposit products include checking, savings, and time deposit accounts. Brokerage and insurance offerings include equities, mutual funds, life insurance, and annuity products. Private banking (including international client banking) and Trust groups assist individuals and families in building and preserving their wealth by providing investment, credit, and trust services to high-net-worth individuals. The investment management group manages portfolios utilizing a variety of investment products and the institutional client services group offers investment advice to corporations, government entities, and foundations. Products and services from Consumer Banking are delivered to customers through 52 branch locations and 319 ATMs throughout Hawai‘i and the West Pacific, a customer service center, and online and mobile banking services.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187"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Commercial Banking offers products including commercial and industrial loans, commercial real estate loans, commercial lease financing, auto dealer financing, merchant services, deposit products and cash management services. Commercial lending and lease financing, deposit products, and cash management and merchant services are offered to middle-market and large companies in Hawai‘i and the West Pacific. Commercial Banking also offers lease financing and deposit products to government entities in Hawai‘i. Commercial real estate mortgages focus on investors, developers, and builders predominantly domiciled in Hawai‘i. Commercial Banking includes international banking which services Japanese, Korean, and Chinese commercial businesses owned by a foreign individual or entity, a U.S. corporate subsidiary of a foreign owner, or businesses where management prefers to speak a foreign language.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and Other, along with the elimination of intercompany transactions.</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organizational units (Technology, Operations, Marketing, Human Resources, Finance, Credit and Risk Management, and Corporate and Regulatory Administration) provide a wide range of support to the Company’s other income earning segments. Expenses incurred by these support units are charged to the business segments through an internal cost allocation process. The cost allocation is included in Other Noninterest Expense in the following table.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business segment financial information as of and for the three months ended March 31, 2026 and 2025,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Treasury and</w:t>
            </w:r>
          </w:p>
        </w:tc>
        <w:tc>
          <w:tcPr>
            <w:tcW w:w="22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3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106,299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150,990</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1,750</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103,606</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65,252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(19,618)</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149,240</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33,468</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41,332</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41,725</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68,457</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10,782</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65,039</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(39,747)</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36,832</w:t>
            </w:r>
          </w:p>
        </w:tc>
      </w:tr>
      <w:tr>
        <w:trPr>
          <w:trHeight w:val="23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94,254</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16,769</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116,071</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42,820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(20,990)</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74,501</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10,920</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13,605</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17,069</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57,432</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March 31, 2026</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8,356,490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9,311,417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23,909,933</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55,574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125,807</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3,250</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92,329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54,466</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(24,238)</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122,557</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33,498</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7,734</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44,058</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21,105</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36,419</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62,884</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10,559</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58,202</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(35,068)</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37,016</w:t>
            </w:r>
          </w:p>
        </w:tc>
      </w:tr>
      <w:tr>
        <w:trPr>
          <w:trHeight w:val="23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86,374</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19,642</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4,443</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110,459</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39,453</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42,558</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(25,855)</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56,156</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10,001</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10,869</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(8,699)</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12,171</w:t>
            </w:r>
          </w:p>
        </w:tc>
      </w:tr>
      <w:tr>
        <w:trPr>
          <w:trHeight w:val="236"/>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31,689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43,985</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1"/>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March 31, 2025</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8,246,158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6,219,971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9,418,927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23,885,056</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to manage its exposure to market risks, including interest rate risk, and to assist customers with their risk management objectives. The Company designates certain derivatives as hedging instruments in a qualifying hedge accounting relationship, while other derivatives serve as economic hedges that do not qualify for hedge accounting.</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enters into certain interest rate swap contracts that are matched to closed portfolios of fixed-rate residential mortgage loans and available-for-sale investment securities. These contracts have been designated as hedging instruments to hedge the risk of changes in the fair value of the underlying loans or investment securities due to changes in interest rates. The related contracts are structured so that the notional amounts reduce over time to generally match the expected amortization of the underlying loan or investment security.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 and fair value of the Company’s derivative financial instruments as of March 31, 2026, and December 31, 2025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Interest Rate Swap Agreements </w:t>
            </w:r>
            <w:r>
              <w:rPr>
                <w:rFonts w:ascii="Times New Roman" w:cs="Times New Roman" w:eastAsia="Times New Roman" w:hAnsi="Times New Roman"/>
                <w:sz w:val="21"/>
                <w:szCs w:val="21"/>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(8,909)</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53"/>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Forward Commitments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Receive Fixed/Pay Variable Swaps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2,169,247</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2,337,727</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(73,056)</w:t>
            </w: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 Fixed/Receive Variable Swaps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2,169,247</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2,337,727</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72,965</w:t>
            </w:r>
          </w:p>
        </w:tc>
      </w:tr>
      <w:tr>
        <w:trPr>
          <w:trHeight w:val="253"/>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Exchange Swaps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47,625</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57,773</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4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Conversion Rate Swap Agreements </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91,205</w:t>
            </w:r>
          </w:p>
        </w:tc>
        <w:tc>
          <w:tcPr>
            <w:tcW w:w="26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105,941</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43"/>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Makewhole Agreements </w:t>
            </w:r>
            <w:r>
              <w:rPr>
                <w:rFonts w:ascii="Times New Roman" w:cs="Times New Roman" w:eastAsia="Times New Roman" w:hAnsi="Times New Roman"/>
                <w:sz w:val="21"/>
                <w:szCs w:val="21"/>
                <w:color w:val="auto"/>
                <w:vertAlign w:val="superscript"/>
              </w:rPr>
              <w:t>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41,120</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47,819</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58" w:lineRule="exact"/>
        <w:rPr>
          <w:sz w:val="20"/>
          <w:szCs w:val="20"/>
          <w:color w:val="auto"/>
        </w:rPr>
      </w:pPr>
    </w:p>
    <w:p>
      <w:pPr>
        <w:ind w:left="80" w:right="40" w:hanging="72"/>
        <w:spacing w:after="0" w:line="266" w:lineRule="auto"/>
        <w:tabs>
          <w:tab w:leader="none" w:pos="73"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March 31, 2026 and December 31, 2025, the amounts presented in the table above exclude forward starting swaps with notional values of $400 million and $500 million, respectively, and fair values of $3.6 million and $1.5 million, respectively. These swaps are scheduled to begin between April 2026 and September 2026.</w:t>
      </w:r>
    </w:p>
    <w:p>
      <w:pPr>
        <w:ind w:left="80" w:hanging="72"/>
        <w:spacing w:after="0" w:line="200" w:lineRule="auto"/>
        <w:tabs>
          <w:tab w:leader="none" w:pos="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conversion rate swap agreements were valued at zero as further reductions to the conversion rate were not reasonably estimable.</w:t>
      </w:r>
    </w:p>
    <w:p>
      <w:pPr>
        <w:spacing w:after="0" w:line="3"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The makewhole agreements were valued at zero as the likelihood of a payment required to the buyer was not reasonably estimable.</w:t>
      </w:r>
    </w:p>
    <w:p>
      <w:pPr>
        <w:spacing w:after="0" w:line="13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their fair values, and their location in the unaudited consolidated statements of condition as of March 31, 2026 and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3"/>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2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7"/>
                <w:szCs w:val="17"/>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24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 xml:space="preserve">Derivatives </w:t>
            </w:r>
            <w:r>
              <w:rPr>
                <w:rFonts w:ascii="Times New Roman" w:cs="Times New Roman" w:eastAsia="Times New Roman" w:hAnsi="Times New Roman"/>
                <w:sz w:val="21"/>
                <w:szCs w:val="21"/>
                <w:b w:val="1"/>
                <w:bCs w:val="1"/>
                <w:color w:val="auto"/>
                <w:w w:val="99"/>
                <w:vertAlign w:val="superscript"/>
              </w:rPr>
              <w:t>1</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Swap Agreements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 Designated as Hedging Instruments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95,113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97,037</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97,128</w:t>
            </w:r>
          </w:p>
        </w:tc>
      </w:tr>
      <w:tr>
        <w:trPr>
          <w:trHeight w:val="246"/>
        </w:trPr>
        <w:tc>
          <w:tcPr>
            <w:tcW w:w="5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Designated as Hedging Instruments</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9,167</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9,872</w:t>
            </w:r>
          </w:p>
        </w:tc>
      </w:tr>
      <w:tr>
        <w:trPr>
          <w:trHeight w:val="236"/>
        </w:trPr>
        <w:tc>
          <w:tcPr>
            <w:tcW w:w="5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104,169</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95,113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99,531</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107,000</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Forward Commitments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6"/>
        </w:trPr>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Foreign Exchange Swaps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62"/>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95,548</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107,205</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80" w:right="280" w:hanging="72"/>
        <w:spacing w:after="0" w:line="230" w:lineRule="auto"/>
        <w:tabs>
          <w:tab w:leader="none" w:pos="73"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Asset derivatives are included in other assets and liability derivatives are included in other liabilities in the unaudited consolidated statements of condition. Derivatives are recognized on the Company's unaudited consolidated statements of condition at fair value.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part of the Company's ongoing interest rate swap portfolio management process, the Company terminated three interest rate swap agreements with a total notional value of $400.0 million during the three months ended March 31, 2026. These interest rate swap agreements were designated as fair value hedging instruments. Upon termination of the swaps, the Company discontinued fair value hedge accounting; however, the cumulative fair value hedge basis adjustments of $6.8 million related to the hedged layers were retained in the carrying amounts of the respective closed portfolios. As of March 31, 2026 and December 31, 2025, the Company had aggregate unamortized losses of $26.4 million and $20.4 million, respectively, related to terminated interest rate swap agreements. These amounts are being amortized to interest income over the remaining terms of the hedged assets using the effective interest method. During the three months ended March 31, 2026 and 2025, the Company amortized $0.7 million and $0.4 million, respectively, of fair value hedge basis adjustments related to both current-period and previously terminated interest rate swaps to interest income.</w:t>
      </w:r>
    </w:p>
    <w:p>
      <w:pPr>
        <w:spacing w:after="0" w:line="16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and the amount and location of the net gains or losses recognized in the unaudited consolidated statements of income for the three months ended March 31,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366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Location of Net Gains (Losses) Recognized in the</w:t>
            </w:r>
          </w:p>
        </w:tc>
        <w:tc>
          <w:tcPr>
            <w:tcW w:w="440" w:type="dxa"/>
            <w:vAlign w:val="bottom"/>
            <w:vMerge w:val="restart"/>
          </w:tcPr>
          <w:p>
            <w:pPr>
              <w:spacing w:after="0"/>
              <w:rPr>
                <w:sz w:val="16"/>
                <w:szCs w:val="16"/>
                <w:color w:val="auto"/>
              </w:rPr>
            </w:pPr>
          </w:p>
        </w:tc>
        <w:tc>
          <w:tcPr>
            <w:tcW w:w="316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660" w:type="dxa"/>
            <w:vAlign w:val="bottom"/>
            <w:vMerge w:val="continue"/>
          </w:tcPr>
          <w:p>
            <w:pPr>
              <w:spacing w:after="0"/>
              <w:rPr>
                <w:sz w:val="3"/>
                <w:szCs w:val="3"/>
                <w:color w:val="auto"/>
              </w:rPr>
            </w:pPr>
          </w:p>
        </w:tc>
        <w:tc>
          <w:tcPr>
            <w:tcW w:w="440" w:type="dxa"/>
            <w:vAlign w:val="bottom"/>
            <w:tcBorders>
              <w:bottom w:val="single" w:sz="8" w:color="auto"/>
            </w:tcBorders>
            <w:vMerge w:val="continue"/>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80" w:type="dxa"/>
            <w:vAlign w:val="bottom"/>
            <w:vMerge w:val="continue"/>
          </w:tcPr>
          <w:p>
            <w:pPr>
              <w:spacing w:after="0"/>
              <w:rPr>
                <w:sz w:val="16"/>
                <w:szCs w:val="16"/>
                <w:color w:val="auto"/>
              </w:rPr>
            </w:pPr>
          </w:p>
        </w:tc>
        <w:tc>
          <w:tcPr>
            <w:tcW w:w="4100" w:type="dxa"/>
            <w:vAlign w:val="bottom"/>
            <w:gridSpan w:val="2"/>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Statements of Income</w:t>
            </w:r>
          </w:p>
        </w:tc>
        <w:tc>
          <w:tcPr>
            <w:tcW w:w="1360" w:type="dxa"/>
            <w:vAlign w:val="bottom"/>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360" w:type="dxa"/>
            <w:vAlign w:val="bottom"/>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98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6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Recognized on Interest Rate Swap Agreements</w:t>
            </w:r>
          </w:p>
        </w:tc>
        <w:tc>
          <w:tcPr>
            <w:tcW w:w="4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Interest Income on Investment Securities</w:t>
            </w: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4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Available-for-Sale  $</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(5,662)</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Recognized on Hedged Item</w:t>
            </w:r>
          </w:p>
        </w:tc>
        <w:tc>
          <w:tcPr>
            <w:tcW w:w="4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Interest Income on Investment Securities</w:t>
            </w:r>
          </w:p>
        </w:tc>
        <w:tc>
          <w:tcPr>
            <w:tcW w:w="1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Available-for-Sale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0" w:type="dxa"/>
            <w:vAlign w:val="bottom"/>
          </w:tcPr>
          <w:p>
            <w:pPr>
              <w:spacing w:after="0"/>
              <w:rPr>
                <w:sz w:val="1"/>
                <w:szCs w:val="1"/>
                <w:color w:val="auto"/>
              </w:rPr>
            </w:pPr>
          </w:p>
        </w:tc>
      </w:tr>
      <w:tr>
        <w:trPr>
          <w:trHeight w:val="202"/>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Settlements</w:t>
            </w:r>
          </w:p>
        </w:tc>
        <w:tc>
          <w:tcPr>
            <w:tcW w:w="4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Interest Income on Investment Securities</w:t>
            </w: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4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Available-for-Sale</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0" w:type="dxa"/>
            <w:vAlign w:val="bottom"/>
          </w:tcPr>
          <w:p>
            <w:pPr>
              <w:spacing w:after="0"/>
              <w:rPr>
                <w:sz w:val="1"/>
                <w:szCs w:val="1"/>
                <w:color w:val="auto"/>
              </w:rPr>
            </w:pPr>
          </w:p>
        </w:tc>
      </w:tr>
      <w:tr>
        <w:trPr>
          <w:trHeight w:val="25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Recognized on Interest Rate Swap Agreements</w:t>
            </w:r>
          </w:p>
        </w:tc>
        <w:tc>
          <w:tcPr>
            <w:tcW w:w="4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5,912</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(8,379)</w:t>
            </w:r>
          </w:p>
        </w:tc>
        <w:tc>
          <w:tcPr>
            <w:tcW w:w="0" w:type="dxa"/>
            <w:vAlign w:val="bottom"/>
          </w:tcPr>
          <w:p>
            <w:pPr>
              <w:spacing w:after="0"/>
              <w:rPr>
                <w:sz w:val="1"/>
                <w:szCs w:val="1"/>
                <w:color w:val="auto"/>
              </w:rPr>
            </w:pPr>
          </w:p>
        </w:tc>
      </w:tr>
      <w:tr>
        <w:trPr>
          <w:trHeight w:val="233"/>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Recognized on Hedged Item</w:t>
            </w:r>
          </w:p>
        </w:tc>
        <w:tc>
          <w:tcPr>
            <w:tcW w:w="4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8,372</w:t>
            </w:r>
          </w:p>
        </w:tc>
        <w:tc>
          <w:tcPr>
            <w:tcW w:w="0" w:type="dxa"/>
            <w:vAlign w:val="bottom"/>
          </w:tcPr>
          <w:p>
            <w:pPr>
              <w:spacing w:after="0"/>
              <w:rPr>
                <w:sz w:val="1"/>
                <w:szCs w:val="1"/>
                <w:color w:val="auto"/>
              </w:rPr>
            </w:pPr>
          </w:p>
        </w:tc>
      </w:tr>
      <w:tr>
        <w:trPr>
          <w:trHeight w:val="25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Settlements</w:t>
            </w:r>
          </w:p>
        </w:tc>
        <w:tc>
          <w:tcPr>
            <w:tcW w:w="4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0" w:type="dxa"/>
            <w:vAlign w:val="bottom"/>
          </w:tcPr>
          <w:p>
            <w:pPr>
              <w:spacing w:after="0"/>
              <w:rPr>
                <w:sz w:val="1"/>
                <w:szCs w:val="1"/>
                <w:color w:val="auto"/>
              </w:rPr>
            </w:pPr>
          </w:p>
        </w:tc>
      </w:tr>
      <w:tr>
        <w:trPr>
          <w:trHeight w:val="23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3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4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Mortgage Banking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33"/>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Commitments</w:t>
            </w:r>
          </w:p>
        </w:tc>
        <w:tc>
          <w:tcPr>
            <w:tcW w:w="4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Mortgage Banking</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5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4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2"/>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Exchange Swaps</w:t>
            </w:r>
          </w:p>
        </w:tc>
        <w:tc>
          <w:tcPr>
            <w:tcW w:w="4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Interest Income on Investment Securities</w:t>
            </w:r>
          </w:p>
        </w:tc>
        <w:tc>
          <w:tcPr>
            <w:tcW w:w="1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41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Available-for-Sale</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39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 Rate Swap Agreements</w:t>
            </w:r>
          </w:p>
        </w:tc>
        <w:tc>
          <w:tcPr>
            <w:tcW w:w="4100" w:type="dxa"/>
            <w:vAlign w:val="bottom"/>
            <w:tcBorders>
              <w:bottom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Investment Securities Gains (Losses), Net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4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36"/>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1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7"/>
        </w:trPr>
        <w:tc>
          <w:tcPr>
            <w:tcW w:w="3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amounts were recorded on the unaudited consolidated statements of condition related to the cumulative basis adjustment for fair value hedges as of March 31, 2026 and 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Hedging Adjustment</w:t>
            </w:r>
          </w:p>
        </w:tc>
        <w:tc>
          <w:tcPr>
            <w:tcW w:w="0" w:type="dxa"/>
            <w:vAlign w:val="bottom"/>
          </w:tcPr>
          <w:p>
            <w:pPr>
              <w:spacing w:after="0"/>
              <w:rPr>
                <w:sz w:val="1"/>
                <w:szCs w:val="1"/>
                <w:color w:val="auto"/>
              </w:rPr>
            </w:pPr>
          </w:p>
        </w:tc>
      </w:tr>
      <w:tr>
        <w:trPr>
          <w:trHeight w:val="19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 in the Unaudited Consolidated Statements of Condition</w:t>
            </w:r>
          </w:p>
        </w:tc>
        <w:tc>
          <w:tcPr>
            <w:tcW w:w="240" w:type="dxa"/>
            <w:vAlign w:val="bottom"/>
          </w:tcPr>
          <w:p>
            <w:pPr>
              <w:spacing w:after="0"/>
              <w:rPr>
                <w:sz w:val="16"/>
                <w:szCs w:val="16"/>
                <w:color w:val="auto"/>
              </w:rPr>
            </w:pPr>
          </w:p>
        </w:tc>
        <w:tc>
          <w:tcPr>
            <w:tcW w:w="33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Carrying Amount of the Hedged Assets</w:t>
            </w:r>
          </w:p>
        </w:tc>
        <w:tc>
          <w:tcPr>
            <w:tcW w:w="3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Included In the Carrying Amount of the Hedged Assets</w:t>
            </w: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70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4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1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Investment Securities, Available-for-Sale </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495,742</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703,874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(4,258)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0" w:type="dxa"/>
            <w:vAlign w:val="bottom"/>
          </w:tcPr>
          <w:p>
            <w:pPr>
              <w:spacing w:after="0"/>
              <w:rPr>
                <w:sz w:val="1"/>
                <w:szCs w:val="1"/>
                <w:color w:val="auto"/>
              </w:rPr>
            </w:pPr>
          </w:p>
        </w:tc>
      </w:tr>
      <w:tr>
        <w:trPr>
          <w:trHeight w:val="29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Loans and Leases </w:t>
            </w:r>
            <w:r>
              <w:rPr>
                <w:rFonts w:ascii="Times New Roman" w:cs="Times New Roman" w:eastAsia="Times New Roman" w:hAnsi="Times New Roman"/>
                <w:sz w:val="21"/>
                <w:szCs w:val="21"/>
                <w:color w:val="auto"/>
                <w:vertAlign w:val="superscript"/>
              </w:rPr>
              <w:t>2</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1,095,013</w:t>
            </w: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1,303,411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4,987</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80" w:right="40" w:hanging="172"/>
        <w:spacing w:after="0" w:line="230" w:lineRule="auto"/>
        <w:tabs>
          <w:tab w:leader="none" w:pos="173"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were included in the fair value of closed portfolios of investment securities, AFS used to designate hedging relationships in which the hedged item is the stated amount of assets in the closed portfolios anticipated to be outstanding for the designated hedge period. As of March 31, 2026 and December 31, 2025, the fair value of the closed portfolios used in these</w:t>
      </w:r>
    </w:p>
    <w:p>
      <w:pPr>
        <w:ind w:left="180"/>
        <w:spacing w:after="0"/>
        <w:rPr>
          <w:sz w:val="20"/>
          <w:szCs w:val="20"/>
          <w:color w:val="auto"/>
        </w:rPr>
      </w:pPr>
      <w:r>
        <w:rPr>
          <w:rFonts w:ascii="Times New Roman" w:cs="Times New Roman" w:eastAsia="Times New Roman" w:hAnsi="Times New Roman"/>
          <w:sz w:val="14"/>
          <w:szCs w:val="14"/>
          <w:color w:val="auto"/>
        </w:rPr>
        <w:t>hedging relationships was $1.3 billion.</w:t>
      </w:r>
    </w:p>
    <w:p>
      <w:pPr>
        <w:spacing w:after="0" w:line="4" w:lineRule="exact"/>
        <w:rPr>
          <w:sz w:val="20"/>
          <w:szCs w:val="20"/>
          <w:color w:val="auto"/>
        </w:rPr>
      </w:pPr>
    </w:p>
    <w:p>
      <w:pPr>
        <w:ind w:left="180" w:right="220" w:hanging="172"/>
        <w:spacing w:after="0" w:line="270" w:lineRule="auto"/>
        <w:tabs>
          <w:tab w:leader="none" w:pos="173"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amounts were included in the amortized cost basis of closed portfolios of loans used to designate hedging relationships in which the hedged item is the stated amount of assets in the closed portfolios anticipated to be outstanding for the designated hedge period. As of March 31, 2026 and December 31, 2025, the amortized cost basis of the closed portfolios used in these hedging relationships was $2.7 billion and $2.8 billion, respectively.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Commitments/Forward Commitments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enters into interest rate lock commitments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0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enters into interest rate swap agreements to facilitate the risk management strategies of certain commercial banking customers. The Company mitigates the risk of entering into these agreements by entering into equal and offsetting interest rate swap agreements with highly rated third-party financial institutions. The interest rate swap agreements are free-standing derivatives and are recorded at fair value in the Company’s unaudited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and marketable securities, is posted by the party (i.e., the Company or the financial institution counterparty) with net liability positions in accordance with contract thresholds. The Company had net asset positions with its financial institution counterparties totaling $76.3 million and $73.0 million as of March 31, 2026 and December 31, 2025,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Swaps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enters into foreign exchange swap agreements to economically convert certain foreign-currency-denominated deposits into U.S. dollars for funding and liquidity management purposes. The foreign exchange swaps are free-standing derivatives which are carried at fair value with changes included in interest income in the Company’s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Rate Swap Agreements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certain sales of Visa Class B restricted shares were completed, the Company entered into conversion rate swap agreements with the buyers that require payment to the buyers in the event Visa further reduces the conversion ratio of Class B into Class A unrestricted common shares. In the event of Visa increasing the conversion ratio, the buyers would be required to make payment to the Company. As of March 31, 2026 and December 31, 2025, the conversion rate swap agreements were valued at zero (i.e., no contingent liability recorded) as further reductions to the conversion ratio were deemed not reasonably estimable by management.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Makewhole Agreements</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2024, the Company entered into makewhole agreements with certain buyers of its Visa Class B restricted shares that reduces the payments that would be required pursuant to the conversion rate swap agreements described above but would require payment to the buyer in the event Visa requires additional legal reserves to settle ongoing litigation. As of March 31, 2026 and December 31, 2025, the makewhole agreements were valued at zero (i.e., no contingent liability recorded) as the likelihood of the Company being required to make a payment to the buyer is not reasonably estimable by management.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20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is exposed to changes in the fair value of fixed-rate assets due to changes in benchmark interest rates. The Company entered into pay-fixed and receive-floating interest rate swaps to manage its exposure to changes in fair value of its AFS investment securities and fixed rate loans. These interest rate swaps are designated as fair value hedges using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portfolio layer method. The Company receives variable-rate interest payments in exchange for making fixed-rate payments over the lives of the contracts without exchanging the notional amounts. The fair value hedges are recorded as components of other assets and other liabilities in the Company’s unaudited consolidated statements of financial condition. The gain or loss on these derivatives, as well as the offsetting loss or gain on the hedged items attributable to the hedged risk, are recognized in interest income in the Company’s unaudited consolidated statements of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commitments, as of March 31, 2026 and December 31, 2025,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Unfunded Commitments to Extend Credit</w:t>
            </w:r>
          </w:p>
        </w:tc>
        <w:tc>
          <w:tcPr>
            <w:tcW w:w="2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3,193,441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3,183,221</w:t>
            </w: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26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103,104</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99,692</w:t>
            </w:r>
          </w:p>
        </w:tc>
      </w:tr>
      <w:tr>
        <w:trPr>
          <w:trHeight w:val="246"/>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Letters of Credit</w:t>
            </w:r>
          </w:p>
        </w:tc>
        <w:tc>
          <w:tcPr>
            <w:tcW w:w="26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8,543</w:t>
            </w: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r>
      <w:tr>
        <w:trPr>
          <w:trHeight w:val="237"/>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Credit Commitments</w:t>
            </w:r>
          </w:p>
        </w:tc>
        <w:tc>
          <w:tcPr>
            <w:tcW w:w="26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3,305,088</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3,289,960</w:t>
            </w:r>
          </w:p>
        </w:tc>
      </w:tr>
      <w:tr>
        <w:trPr>
          <w:trHeight w:val="27"/>
        </w:trPr>
        <w:tc>
          <w:tcPr>
            <w:tcW w:w="5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 to Extend Credit</w:t>
      </w:r>
    </w:p>
    <w:p>
      <w:pPr>
        <w:spacing w:after="0" w:line="20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and Commercial Letters of Credit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 Assets valued at $79.2 million secured certain specifically identified standby letters of credit as of March 31, 2026. As of March 31, 2026, the standby and commercial letters of credit had remaining terms ranging from 1 to 13 months.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of Assets and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established a fair value hierarchy that prioritizes the use of inputs used in valuation methodologies into the following three levels:</w:t>
      </w:r>
    </w:p>
    <w:p>
      <w:pPr>
        <w:spacing w:after="0" w:line="252" w:lineRule="exact"/>
        <w:rPr>
          <w:sz w:val="20"/>
          <w:szCs w:val="20"/>
          <w:color w:val="auto"/>
        </w:rPr>
      </w:pPr>
    </w:p>
    <w:p>
      <w:pPr>
        <w:ind w:left="2160" w:right="1480" w:hanging="998"/>
        <w:spacing w:after="0" w:line="261" w:lineRule="auto"/>
        <w:tabs>
          <w:tab w:leader="none" w:pos="21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180" w:lineRule="exact"/>
        <w:rPr>
          <w:sz w:val="20"/>
          <w:szCs w:val="20"/>
          <w:color w:val="auto"/>
        </w:rPr>
      </w:pPr>
    </w:p>
    <w:p>
      <w:pPr>
        <w:ind w:left="2160" w:right="1700" w:hanging="998"/>
        <w:spacing w:after="0" w:line="266" w:lineRule="auto"/>
        <w:tabs>
          <w:tab w:leader="none" w:pos="21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 quoted prices for similar assets or liabilities in active markets, for identical or similar assets or liabilities in markets that are not active, or that utilize model-based techniques for which all significant assumptions are observable in the market.</w:t>
      </w:r>
    </w:p>
    <w:p>
      <w:pPr>
        <w:spacing w:after="0" w:line="176" w:lineRule="exact"/>
        <w:rPr>
          <w:sz w:val="20"/>
          <w:szCs w:val="20"/>
          <w:color w:val="auto"/>
        </w:rPr>
      </w:pPr>
    </w:p>
    <w:p>
      <w:pPr>
        <w:ind w:left="2160" w:right="1460" w:hanging="998"/>
        <w:spacing w:after="0" w:line="261" w:lineRule="auto"/>
        <w:tabs>
          <w:tab w:leader="none" w:pos="21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20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and collateralized mortgage obligations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 party pricing service, fair value may be estimated by the use of secondary pricing services or through the use of non-binding third party broker quotes.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Servicing Rights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mortgage servicing rights accounted for under the fair value measurement method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and servicing costs, among other factors. Mortgage servicing rights are classified as Level 3 measurements due to the use of significant unobservable inputs, as well as significant management judgment and estimation.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 Assets</w:t>
      </w:r>
    </w:p>
    <w:p>
      <w:pPr>
        <w:spacing w:after="0" w:line="200"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Deferred Compensation Plan Assets are recorded at fair value on a recurring basis and are primarily comprised of mutual funds that are valued using quoted prices available in active markets. Thus, the Company’s investments related to deferred compensation arrangements are classified as Level 1 measurements in the fair value hierarchy.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0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recorded at fair value on a recurring basis are comprised of IRLCs, forward commitments, interest rate swap agreements, foreign exchange swaps, and Visa Class B to Class A shares conversion rate swap and makewhole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fair values of interest rate swap agreements are calculated using a discounted cash flow approach and utilize Level 2 observable inputs such as a market yield curve, effective date, maturity date, notional amount, and stated interest rate. The fair values of interest rate swaps are classified as a Level 2 measurement.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March 31, 2026 and December 31, 2025, the conversion rate swap agreements were valued at zero as reductions to the conversion ratio were not reasonably estimable by management.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 The fair value of the makewhole agreements represents the amount owed by the Company to the buyer of the Visa Class B shares in the event Visa requires additional legal reserves to settle ongoing litigation. As of March 31, 2026, the makewhole agreements were valued at zero as the likelihood of the Company being required to make a payment to the buyer is not reasonably estimable by management.</w:t>
      </w:r>
    </w:p>
    <w:p>
      <w:pPr>
        <w:spacing w:after="0" w:line="14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of high credit quality and counterparties that carry high quality credit ratings.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balances of assets and liabilities measured at fair value on a recurring basis as of March 31, 2026 and December 31,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center"/>
              <w:ind w:right="34"/>
              <w:spacing w:after="0"/>
              <w:rPr>
                <w:sz w:val="20"/>
                <w:szCs w:val="20"/>
                <w:color w:val="auto"/>
              </w:rPr>
            </w:pPr>
            <w:r>
              <w:rPr>
                <w:rFonts w:ascii="Times New Roman" w:cs="Times New Roman" w:eastAsia="Times New Roman" w:hAnsi="Times New Roman"/>
                <w:sz w:val="12"/>
                <w:szCs w:val="12"/>
                <w:b w:val="1"/>
                <w:bCs w:val="1"/>
                <w:color w:val="auto"/>
                <w:w w:val="97"/>
              </w:rPr>
              <w:t>Quoted Prices in Active</w:t>
            </w: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5"/>
        </w:trPr>
        <w:tc>
          <w:tcPr>
            <w:tcW w:w="5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2"/>
                <w:szCs w:val="12"/>
                <w:b w:val="1"/>
                <w:bCs w:val="1"/>
                <w:color w:val="auto"/>
                <w:w w:val="97"/>
              </w:rPr>
              <w:t>Markets for</w:t>
            </w: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8"/>
        </w:trPr>
        <w:tc>
          <w:tcPr>
            <w:tcW w:w="5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jc w:val="center"/>
              <w:ind w:right="14"/>
              <w:spacing w:after="0"/>
              <w:rPr>
                <w:sz w:val="20"/>
                <w:szCs w:val="20"/>
                <w:color w:val="auto"/>
              </w:rPr>
            </w:pPr>
            <w:r>
              <w:rPr>
                <w:rFonts w:ascii="Times New Roman" w:cs="Times New Roman" w:eastAsia="Times New Roman" w:hAnsi="Times New Roman"/>
                <w:sz w:val="12"/>
                <w:szCs w:val="12"/>
                <w:b w:val="1"/>
                <w:bCs w:val="1"/>
                <w:color w:val="auto"/>
                <w:w w:val="97"/>
              </w:rPr>
              <w:t>Identical Assets or</w:t>
            </w:r>
          </w:p>
        </w:tc>
        <w:tc>
          <w:tcPr>
            <w:tcW w:w="200" w:type="dxa"/>
            <w:vAlign w:val="bottom"/>
          </w:tcPr>
          <w:p>
            <w:pPr>
              <w:spacing w:after="0"/>
              <w:rPr>
                <w:sz w:val="12"/>
                <w:szCs w:val="12"/>
                <w:color w:val="auto"/>
              </w:rPr>
            </w:pPr>
          </w:p>
        </w:tc>
        <w:tc>
          <w:tcPr>
            <w:tcW w:w="126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w w:val="96"/>
              </w:rPr>
              <w:t>Significant Other</w:t>
            </w:r>
          </w:p>
        </w:tc>
        <w:tc>
          <w:tcPr>
            <w:tcW w:w="120" w:type="dxa"/>
            <w:vAlign w:val="bottom"/>
          </w:tcPr>
          <w:p>
            <w:pPr>
              <w:spacing w:after="0"/>
              <w:rPr>
                <w:sz w:val="12"/>
                <w:szCs w:val="12"/>
                <w:color w:val="auto"/>
              </w:rPr>
            </w:pPr>
          </w:p>
        </w:tc>
        <w:tc>
          <w:tcPr>
            <w:tcW w:w="1340" w:type="dxa"/>
            <w:vAlign w:val="bottom"/>
          </w:tcPr>
          <w:p>
            <w:pPr>
              <w:jc w:val="center"/>
              <w:ind w:right="13"/>
              <w:spacing w:after="0"/>
              <w:rPr>
                <w:sz w:val="20"/>
                <w:szCs w:val="20"/>
                <w:color w:val="auto"/>
              </w:rPr>
            </w:pPr>
            <w:r>
              <w:rPr>
                <w:rFonts w:ascii="Times New Roman" w:cs="Times New Roman" w:eastAsia="Times New Roman" w:hAnsi="Times New Roman"/>
                <w:sz w:val="12"/>
                <w:szCs w:val="12"/>
                <w:b w:val="1"/>
                <w:bCs w:val="1"/>
                <w:color w:val="auto"/>
                <w:w w:val="97"/>
              </w:rPr>
              <w:t>Significant 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5"/>
        </w:trPr>
        <w:tc>
          <w:tcPr>
            <w:tcW w:w="5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2"/>
                <w:szCs w:val="12"/>
                <w:b w:val="1"/>
                <w:bCs w:val="1"/>
                <w:color w:val="auto"/>
                <w:w w:val="97"/>
              </w:rPr>
              <w:t>Liabilities</w:t>
            </w:r>
          </w:p>
        </w:tc>
        <w:tc>
          <w:tcPr>
            <w:tcW w:w="200" w:type="dxa"/>
            <w:vAlign w:val="bottom"/>
          </w:tcPr>
          <w:p>
            <w:pPr>
              <w:spacing w:after="0"/>
              <w:rPr>
                <w:sz w:val="11"/>
                <w:szCs w:val="11"/>
                <w:color w:val="auto"/>
              </w:rPr>
            </w:pPr>
          </w:p>
        </w:tc>
        <w:tc>
          <w:tcPr>
            <w:tcW w:w="126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2"/>
                <w:szCs w:val="12"/>
                <w:b w:val="1"/>
                <w:bCs w:val="1"/>
                <w:color w:val="auto"/>
                <w:w w:val="96"/>
              </w:rPr>
              <w:t>Observable Inputs</w:t>
            </w:r>
          </w:p>
        </w:tc>
        <w:tc>
          <w:tcPr>
            <w:tcW w:w="12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Inputs</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79"/>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2"/>
                <w:szCs w:val="12"/>
                <w:b w:val="1"/>
                <w:bCs w:val="1"/>
                <w:color w:val="auto"/>
                <w:w w:val="97"/>
              </w:rPr>
              <w:t>(Level 1)</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2"/>
                <w:szCs w:val="12"/>
                <w:b w:val="1"/>
                <w:bCs w:val="1"/>
                <w:color w:val="auto"/>
                <w:w w:val="97"/>
              </w:rPr>
              <w:t>(Level 2)</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(Level 3)</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9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8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88"/>
        </w:trPr>
        <w:tc>
          <w:tcPr>
            <w:tcW w:w="5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Debt Securities Issued by the U.S. Treasury and Government Agencies</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69,407</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91,793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161,200</w:t>
            </w: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Securities Issued by States and Political Subdivisions</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66,267</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66,267</w:t>
            </w:r>
          </w:p>
        </w:tc>
      </w:tr>
      <w:tr>
        <w:trPr>
          <w:trHeight w:val="189"/>
        </w:trPr>
        <w:tc>
          <w:tcPr>
            <w:tcW w:w="5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Debt Securities Issued by U.S. Government-Sponsored Enterprises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735,089</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735,089</w:t>
            </w:r>
          </w:p>
        </w:tc>
      </w:tr>
      <w:tr>
        <w:trPr>
          <w:trHeight w:val="188"/>
        </w:trPr>
        <w:tc>
          <w:tcPr>
            <w:tcW w:w="5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Collateralized Mortgage Obligations Issued by:</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Residential - Government Agencies or Sponsored Enterprises</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1,567,958</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1,567,958</w:t>
            </w:r>
          </w:p>
        </w:tc>
      </w:tr>
      <w:tr>
        <w:trPr>
          <w:trHeight w:val="188"/>
        </w:trPr>
        <w:tc>
          <w:tcPr>
            <w:tcW w:w="52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Commercial - Government Agencies or Sponsored Enterprises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327,187</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327,187</w:t>
            </w: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Commercial - Non Agency</w:t>
            </w: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60,496</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60,496</w:t>
            </w:r>
          </w:p>
        </w:tc>
      </w:tr>
      <w:tr>
        <w:trPr>
          <w:trHeight w:val="182"/>
        </w:trPr>
        <w:tc>
          <w:tcPr>
            <w:tcW w:w="52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Total Collateralized Mortgage Obligations</w:t>
            </w: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1,955,641</w:t>
            </w: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1,955,641</w:t>
            </w:r>
          </w:p>
        </w:tc>
      </w:tr>
      <w:tr>
        <w:trPr>
          <w:trHeight w:val="28"/>
        </w:trPr>
        <w:tc>
          <w:tcPr>
            <w:tcW w:w="5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Mortgage-Backed Securities Issued by:</w:t>
            </w: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88"/>
        </w:trPr>
        <w:tc>
          <w:tcPr>
            <w:tcW w:w="52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Residential - Government Agencies or Sponsored Enterprises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803,425</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803,425</w:t>
            </w:r>
          </w:p>
        </w:tc>
      </w:tr>
      <w:tr>
        <w:trPr>
          <w:trHeight w:val="28"/>
        </w:trPr>
        <w:tc>
          <w:tcPr>
            <w:tcW w:w="5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Investment Securities Available-for-Sale</w:t>
            </w: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69,407</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3,652,998</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3,722,405</w:t>
            </w:r>
          </w:p>
        </w:tc>
      </w:tr>
      <w:tr>
        <w:trPr>
          <w:trHeight w:val="182"/>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3,609</w:t>
            </w: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3,609</w:t>
            </w: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 Servicing Rights</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w:t>
            </w:r>
          </w:p>
        </w:tc>
      </w:tr>
      <w:tr>
        <w:trPr>
          <w:trHeight w:val="18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Compensation Plan Assets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12,392</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12,392</w:t>
            </w: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Derivatives </w:t>
            </w:r>
            <w:r>
              <w:rPr>
                <w:rFonts w:ascii="Times New Roman" w:cs="Times New Roman" w:eastAsia="Times New Roman" w:hAnsi="Times New Roman"/>
                <w:sz w:val="17"/>
                <w:szCs w:val="17"/>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104,406</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104,426</w:t>
            </w:r>
          </w:p>
        </w:tc>
      </w:tr>
      <w:tr>
        <w:trPr>
          <w:trHeight w:val="182"/>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 Measured at Fair Value on a Recurring Basis as of March 31, 2026</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81,799</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3,761,013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3,843,330</w:t>
            </w:r>
          </w:p>
        </w:tc>
      </w:tr>
      <w:tr>
        <w:trPr>
          <w:trHeight w:val="28"/>
        </w:trPr>
        <w:tc>
          <w:tcPr>
            <w:tcW w:w="5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 xml:space="preserve">Derivatives </w:t>
            </w:r>
            <w:r>
              <w:rPr>
                <w:rFonts w:ascii="Times New Roman" w:cs="Times New Roman" w:eastAsia="Times New Roman" w:hAnsi="Times New Roman"/>
                <w:sz w:val="17"/>
                <w:szCs w:val="17"/>
                <w:color w:val="auto"/>
                <w:vertAlign w:val="superscript"/>
              </w:rPr>
              <w:t>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95,547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95,548</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Measured at Fair Value on a Recurring Basis as of March 31, 2026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95,548</w:t>
            </w: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89"/>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Securities Available-for-Sale</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Securities Issued by the U.S. Treasury and Government Agencies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119,223</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218,338</w:t>
            </w:r>
          </w:p>
        </w:tc>
      </w:tr>
      <w:tr>
        <w:trPr>
          <w:trHeight w:val="189"/>
        </w:trPr>
        <w:tc>
          <w:tcPr>
            <w:tcW w:w="5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Debt Securities Issued by States and Political Subdivisions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66,312</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66,312</w:t>
            </w: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Securities Issued by U.S. Government-Sponsored Enterprises</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r>
      <w:tr>
        <w:trPr>
          <w:trHeight w:val="188"/>
        </w:trPr>
        <w:tc>
          <w:tcPr>
            <w:tcW w:w="52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Debt Securities Issued by Corporations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735,643</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735,643</w:t>
            </w: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Collateralized Mortgage Obligations Issued by:</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88"/>
        </w:trPr>
        <w:tc>
          <w:tcPr>
            <w:tcW w:w="52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Residential - Government Agencies or Sponsored Enterprises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1,488,382</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1,488,382</w:t>
            </w: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Commercial - Government Agencies or Sponsored Enterprises</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329,836</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329,836</w:t>
            </w:r>
          </w:p>
        </w:tc>
      </w:tr>
      <w:tr>
        <w:trPr>
          <w:trHeight w:val="189"/>
        </w:trPr>
        <w:tc>
          <w:tcPr>
            <w:tcW w:w="520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Commercial - Non Agency</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60,645</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60,645</w:t>
            </w:r>
          </w:p>
        </w:tc>
      </w:tr>
      <w:tr>
        <w:trPr>
          <w:trHeight w:val="28"/>
        </w:trPr>
        <w:tc>
          <w:tcPr>
            <w:tcW w:w="5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4"/>
        </w:trPr>
        <w:tc>
          <w:tcPr>
            <w:tcW w:w="5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Collateralized Mortgage Obligations</w:t>
            </w: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1,878,863</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1,878,863</w:t>
            </w:r>
          </w:p>
        </w:tc>
      </w:tr>
      <w:tr>
        <w:trPr>
          <w:trHeight w:val="182"/>
        </w:trPr>
        <w:tc>
          <w:tcPr>
            <w:tcW w:w="52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rPr>
              <w:t>Mortgage-Backed Securities Issued by:</w:t>
            </w: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1"/>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Residential - Government Agencies or Sponsored Enterprises</w:t>
            </w:r>
          </w:p>
        </w:tc>
        <w:tc>
          <w:tcPr>
            <w:tcW w:w="3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610,715</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610,715</w:t>
            </w:r>
          </w:p>
        </w:tc>
      </w:tr>
      <w:tr>
        <w:trPr>
          <w:trHeight w:val="182"/>
        </w:trPr>
        <w:tc>
          <w:tcPr>
            <w:tcW w:w="5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Investment Securities Available-for-Sale</w:t>
            </w:r>
          </w:p>
        </w:tc>
        <w:tc>
          <w:tcPr>
            <w:tcW w:w="3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119,223</w:t>
            </w: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3,391,429</w:t>
            </w: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3,510,652</w:t>
            </w:r>
          </w:p>
        </w:tc>
      </w:tr>
      <w:tr>
        <w:trPr>
          <w:trHeight w:val="28"/>
        </w:trPr>
        <w:tc>
          <w:tcPr>
            <w:tcW w:w="5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4,369</w:t>
            </w: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4,369</w:t>
            </w:r>
          </w:p>
        </w:tc>
      </w:tr>
      <w:tr>
        <w:trPr>
          <w:trHeight w:val="18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Mortgage Servicing Rights</w:t>
            </w:r>
          </w:p>
        </w:tc>
        <w:tc>
          <w:tcPr>
            <w:tcW w:w="3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Compensation Plan Assets</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15,959</w:t>
            </w: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15,959</w:t>
            </w:r>
          </w:p>
        </w:tc>
      </w:tr>
      <w:tr>
        <w:trPr>
          <w:trHeight w:val="216"/>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 xml:space="preserve">Derivatives </w:t>
            </w:r>
            <w:r>
              <w:rPr>
                <w:rFonts w:ascii="Times New Roman" w:cs="Times New Roman" w:eastAsia="Times New Roman" w:hAnsi="Times New Roman"/>
                <w:sz w:val="17"/>
                <w:szCs w:val="17"/>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99,536</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99,581</w:t>
            </w:r>
          </w:p>
        </w:tc>
      </w:tr>
      <w:tr>
        <w:trPr>
          <w:trHeight w:val="23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 Measured at Fair Value on a Recurring Basis as of December 31, 2025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135,182</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3,495,334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36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3,631,112</w:t>
            </w: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8"/>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Derivatives </w:t>
            </w:r>
            <w:r>
              <w:rPr>
                <w:rFonts w:ascii="Times New Roman" w:cs="Times New Roman" w:eastAsia="Times New Roman" w:hAnsi="Times New Roman"/>
                <w:sz w:val="17"/>
                <w:szCs w:val="17"/>
                <w:color w:val="auto"/>
                <w:vertAlign w:val="superscript"/>
              </w:rPr>
              <w:t>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107,205</w:t>
            </w:r>
          </w:p>
        </w:tc>
      </w:tr>
      <w:tr>
        <w:trPr>
          <w:trHeight w:val="182"/>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Measured at Fair Value on a Recurring Basis as of December 31, 2025</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107,205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107,205</w:t>
            </w:r>
          </w:p>
        </w:tc>
      </w:tr>
      <w:tr>
        <w:trPr>
          <w:trHeight w:val="28"/>
        </w:trPr>
        <w:tc>
          <w:tcPr>
            <w:tcW w:w="5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 w:hanging="72"/>
        <w:spacing w:after="0"/>
        <w:tabs>
          <w:tab w:leader="none" w:pos="8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 fair value of each class of derivatives is shown in Note 10.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As of March 31, 2026 and December 31, 2025, there were no assets or liabilities with nonrecurring fair value adjustments. Additionally, there were no nonrecurring fair value adjustments during the three months ended March 31, 2026 and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unpaid principal balance of the Company’s residential mortgage loans held for sale as of March 31, 2026 and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 Fair Value Less</w:t>
            </w:r>
          </w:p>
        </w:tc>
      </w:tr>
      <w:tr>
        <w:trPr>
          <w:trHeight w:val="19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80" w:type="dxa"/>
            <w:vAlign w:val="bottom"/>
          </w:tcPr>
          <w:p>
            <w:pPr>
              <w:spacing w:after="0"/>
              <w:rPr>
                <w:sz w:val="16"/>
                <w:szCs w:val="16"/>
                <w:color w:val="auto"/>
              </w:rPr>
            </w:pPr>
          </w:p>
        </w:tc>
        <w:tc>
          <w:tcPr>
            <w:tcW w:w="1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 Unpaid Principal</w:t>
            </w: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 Unpaid Principal</w:t>
            </w:r>
          </w:p>
        </w:tc>
      </w:tr>
      <w:tr>
        <w:trPr>
          <w:trHeight w:val="37"/>
        </w:trPr>
        <w:tc>
          <w:tcPr>
            <w:tcW w:w="36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 for Sale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3,609</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3,600</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5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 for Sale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4,369</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4,313</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bl>
    <w:p>
      <w:pPr>
        <w:spacing w:after="0" w:line="27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Changes in the estimated fair value of residential mortgage loans held for sale are reported as a component of mortgage banking income in the Company’s unaudited consolidated statements of income. For the three months ended March 31, 2026 and 2025, the net gains or losses from the change in fair value of the Company’s residential mortgage loans held for sale were immaterial.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presents the carrying amount, fair value, and placement in the fair value hierarchy of the Company’s financial instruments not recorded at fair value on a recurring basis as of March 31, 2026 and December 31, 2025.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of Des Moines and Federal Reserve Bank stock, the carrying amount is a reasonable estimate of fair value as these securities can only be redeemed or sold at their par value and only to the respective issuing government supported institution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or to another member institution. For financial liabilities such as noninterest-bearing demand, interest-bearing demand, and savings deposits, the carrying amount is the estimate of fair value due to these products having no stated maturity.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100" w:type="dxa"/>
            <w:vAlign w:val="bottom"/>
            <w:tcBorders>
              <w:bottom w:val="single" w:sz="8" w:color="auto"/>
            </w:tcBorders>
          </w:tcPr>
          <w:p>
            <w:pPr>
              <w:spacing w:after="0"/>
              <w:rPr>
                <w:sz w:val="19"/>
                <w:szCs w:val="19"/>
                <w:color w:val="auto"/>
              </w:rPr>
            </w:pPr>
          </w:p>
        </w:tc>
      </w:tr>
      <w:tr>
        <w:trPr>
          <w:trHeight w:val="164"/>
        </w:trPr>
        <w:tc>
          <w:tcPr>
            <w:tcW w:w="3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Identical Assets or</w:t>
            </w:r>
          </w:p>
        </w:tc>
        <w:tc>
          <w:tcPr>
            <w:tcW w:w="240" w:type="dxa"/>
            <w:vAlign w:val="bottom"/>
          </w:tcPr>
          <w:p>
            <w:pPr>
              <w:spacing w:after="0"/>
              <w:rPr>
                <w:sz w:val="15"/>
                <w:szCs w:val="15"/>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5"/>
                <w:szCs w:val="15"/>
                <w:color w:val="auto"/>
              </w:rPr>
            </w:pP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6"/>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5"/>
                <w:szCs w:val="15"/>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7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3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7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7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4,163,261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3,549,687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115,426</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3,434,261</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13,898,932</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13,559,337</w:t>
            </w:r>
          </w:p>
        </w:tc>
        <w:tc>
          <w:tcPr>
            <w:tcW w:w="12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13,559,337</w:t>
            </w:r>
          </w:p>
        </w:tc>
      </w:tr>
      <w:tr>
        <w:trPr>
          <w:trHeight w:val="25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2,736,485</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2,725,655</w:t>
            </w:r>
          </w:p>
        </w:tc>
        <w:tc>
          <w:tcPr>
            <w:tcW w:w="12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2,725,655</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51,081</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51,081</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1</w:t>
            </w:r>
          </w:p>
        </w:tc>
        <w:tc>
          <w:tcPr>
            <w:tcW w:w="7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550,000</w:t>
            </w:r>
          </w:p>
        </w:tc>
        <w:tc>
          <w:tcPr>
            <w:tcW w:w="280" w:type="dxa"/>
            <w:vAlign w:val="bottom"/>
          </w:tcPr>
          <w:p>
            <w:pPr>
              <w:spacing w:after="0"/>
              <w:rPr>
                <w:sz w:val="21"/>
                <w:szCs w:val="21"/>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553,482</w:t>
            </w:r>
          </w:p>
        </w:tc>
        <w:tc>
          <w:tcPr>
            <w:tcW w:w="120" w:type="dxa"/>
            <w:vAlign w:val="bottom"/>
          </w:tcPr>
          <w:p>
            <w:pPr>
              <w:spacing w:after="0"/>
              <w:rPr>
                <w:sz w:val="21"/>
                <w:szCs w:val="21"/>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553,482</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7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4,245,681</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3,651,966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115,747</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3,536,219</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13,784,829</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13,423,382</w:t>
            </w:r>
          </w:p>
        </w:tc>
        <w:tc>
          <w:tcPr>
            <w:tcW w:w="12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13,423,382</w:t>
            </w:r>
          </w:p>
        </w:tc>
      </w:tr>
      <w:tr>
        <w:trPr>
          <w:trHeight w:val="25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2,781,082</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2,774,104</w:t>
            </w:r>
          </w:p>
        </w:tc>
        <w:tc>
          <w:tcPr>
            <w:tcW w:w="12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2,774,104</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51,407</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51,407</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1"/>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1</w:t>
            </w:r>
          </w:p>
        </w:tc>
        <w:tc>
          <w:tcPr>
            <w:tcW w:w="7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550,000</w:t>
            </w:r>
          </w:p>
        </w:tc>
        <w:tc>
          <w:tcPr>
            <w:tcW w:w="280" w:type="dxa"/>
            <w:vAlign w:val="bottom"/>
          </w:tcPr>
          <w:p>
            <w:pPr>
              <w:spacing w:after="0"/>
              <w:rPr>
                <w:sz w:val="24"/>
                <w:szCs w:val="2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555,622</w:t>
            </w:r>
          </w:p>
        </w:tc>
        <w:tc>
          <w:tcPr>
            <w:tcW w:w="120" w:type="dxa"/>
            <w:vAlign w:val="bottom"/>
          </w:tcPr>
          <w:p>
            <w:pPr>
              <w:spacing w:after="0"/>
              <w:rPr>
                <w:sz w:val="24"/>
                <w:szCs w:val="24"/>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555,622</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Excludes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(“MD&amp;A”) of Financial Condition and Results of Operations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Company and its operations and is focused on our financial results for the first quarter of 2026, including comparisons of year-to-year performance, trends, and updates from the Company’s most recent 10-K filing. Discussion and analysis of our 2025 fiscal year, as well as the year-to-year comparison between fiscal years 2025 and 2024, are included in Part II, Item 7. “Management's Discussion and Analysis of Financial Condition and Results of Operations,” of our Annual Report on Form 10-K for the fiscal year ended December 31, 2025, filed with the SEC on February 24,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Words such as “believes,” “anticipates,” “expects,” “intends,” “targeted,” and similar expressions are intended to identify forward-looking statements but are not the exclusive means of identifying such statements. We also may make forward-looking statements in our other documents filed with or furnished to the U.S. Securities and Exchange Commission (the “SEC”). In addition, our senior management may provide forward-looking statements orally to analysts, investors, representatives of the media and others. Given these risks and uncertainties, you should not place undue reliance on any forward-looking statement as a prediction of our actual results.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forward-looking statements are based on numerous assumptions, any of which could prove to be inaccurate, and actual results may differ materially from those projected due to global economic conditions and a variety of risks and uncertainties, including, but not limited to: (1) Our business is sensitive to regional business and economic conditions, in particular those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Guam and other Pacific Islands; (2) Our loan portfolio is largely secured by real estate, and a downturn in the real estate market may adversely affect our results of operations; (3) Significant changes to the size, structure, powers and operations of the federal government, the effects of any prolonged shutdown of the federal government, changes to U.S. economic policies, and uncertainties regarding the potential for these changes may cause economic disruptions that could, in turn, adversely impact our business, results of operations and financial condition; (4) A sustained period of high inflation could pose a risk to local economies and the financial performance of the Bank;</w:t>
      </w:r>
    </w:p>
    <w:p>
      <w:pPr>
        <w:spacing w:after="0" w:line="2" w:lineRule="exact"/>
        <w:rPr>
          <w:sz w:val="20"/>
          <w:szCs w:val="20"/>
          <w:color w:val="auto"/>
        </w:rPr>
      </w:pPr>
    </w:p>
    <w:p>
      <w:pPr>
        <w:ind w:firstLine="8"/>
        <w:spacing w:after="0" w:line="25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the governmental responses to it could have a material adverse impact on the Bank and its customers; (6) Disruptions, instability and failures in the banking industry may negatively impact us; (7) Any reduction in defense spending by the federal government in the state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could adversely impact the economy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(8) Changes in interest rates could adversely impact our results of operations and capital; (9) Our allowance for credit losses may prove to be insufficient to absorb losses or appropriately reflect, at any given time, the inherent risk of loss in our loan portfolio; (10) Consumer protection initiatives and court decisions related to the foreclosure process affect our remedies as a creditor; (11) Changes in the capital markets could materially affect the level of assets under management and the demand for our other fee-based services; (12) The Parent’s liquidity is dependent on dividends from the Bank; (13) There can be no assurance that the Parent will continue to declare cash dividends; (14) Fiscal and monetary policy changes may significantly impact our profitability and liquidity; (15) Legislation and regulatory initiatives affecting the financial services industry, including new interpretations, restrictions and requirements, could detrimentally affect the Company’s business; (16) Changes in income tax laws and interpretations, or in accounting standards, could materially affect our financial condition or results of operations; (17) A failure in or breach of our operational systems, information systems, or infrastructure, or those of our third-party vendors and other service providers, may result in financial losses, loss of customers, or damage to our reputation; (18) An interruption or breach in security of our information systems or those related to merchants and third-party vendors, including as a result of cyber-attacks, could disrupt our business, result in the disclosure or misuse of confidential or proprietary information, damage our reputation, or result in financial losses; (19) Our mortgage banking income may experience significant volatility; (20) Our mortgage loan servicing business may be impacted if we do not meet our obligations, or if servicing standards change; (21) Risks related to representation and warranty provisions may impact our mortgage loan servicing business; (22) Risks relating to residential mortgage loan servicing activities may adversely affect our results; (23) The requirement to record certain assets and liabilities at fair value may adversely affect our financial results (24) Natural disasters and adverse weather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may negatively affect real estate property values and our operations</w:t>
      </w:r>
    </w:p>
    <w:p>
      <w:pPr>
        <w:spacing w:after="0" w:line="6" w:lineRule="exact"/>
        <w:rPr>
          <w:rFonts w:ascii="Times New Roman" w:cs="Times New Roman" w:eastAsia="Times New Roman" w:hAnsi="Times New Roman"/>
          <w:sz w:val="18"/>
          <w:szCs w:val="18"/>
          <w:color w:val="auto"/>
        </w:rPr>
      </w:pPr>
    </w:p>
    <w:p>
      <w:pPr>
        <w:ind w:firstLine="8"/>
        <w:spacing w:after="0" w:line="253" w:lineRule="auto"/>
        <w:tabs>
          <w:tab w:leader="none" w:pos="3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adversely affect our business; (26) Our future performance will depend on our ability to respond timely to technological change; (27) The development and use of AI present risks and challenges that may adversely impact our business; (28) Negative public opinion could damage our reputation and adversely impact our earnings and liquidity (29) We are subject to certain litigation, and our expenses related to this litigation may adversely affect our results; (30) Our performance depends on attracting and retaining key employees and skilled personnel to operate our business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effectively; (31) The soundness of other financial institutions may adversely impact our financial condition or results of operations; and (32) We have experienced increases in FDIC insurance assessments.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risks and uncertainties that could cause actual results to differ materially from our historical experience and our expectations and projections include but are not limited to those described in Item 1A. “Risk Factors,” Item 7. “Management’s Discussion and Analysis of Financial Condition and Results of Operations,” and elsewhere in our most recent Annual Report on Form 10-K and in subsequent SEC filings.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the federal securities laws.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Announcements</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the Company intends to announce financial and other information to the Company’s investors using the Company’s investor relations website at https://ir.boh.com, social media channels, press releases, and public conference calls and webcasts, all for purposes of complying with the Company’s disclosure obligations under Regulation FD. Accordingly, investors should monitor these channels, as information is updated, and new information is posted.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were prepared in accordance with U.S. generally accepted accounting principles (“GAAP”) and follow general practices within the industries in which we operate. Application of GAAP requires us to make estimates that affect the amounts reported in the Consolidated Financial Statements and accompanying notes. Most accounting estimates are not considered by management to be critical accounting estimates. Critical accounting estimates are those estimates made in accordance with GAAP that involve a significant level of estimation uncertainty and have had or are reasonably likely to have a material impact on our financial condition or results of operations. In determining which accounting estimates are critical accounting estimates, we consider, among other things, whether the application of GAAP requires management to make difficult, subjective, and complex judgments about matters that are inherently uncertain and whether it is likely that materially different results would be reported under different conditions or different assumptions. The accounting estimates that we believe are most critical in preparing our Consolidated Financial Statements are presented in the section titled “Critical Accounting Estimates” in Item 7. “Management’s Discussion and Analysis of Financial Condition and Results of Operations” included in the Company’s Annual Report on Form 10-K for the year ended December 31, 2025. There have been no significant changes in the Company’s application of critical accounting estimates since December 31,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a regional financial services company serving businesses, consumers, and governments in Hawai‘i, Guam, and other Pacific Islands. Our principal operating subsidiary, the Bank, was founded in 1897.</w:t>
      </w:r>
    </w:p>
    <w:p>
      <w:pPr>
        <w:spacing w:after="0" w:line="13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Our business strategy is to use our unique market knowledge, prudent management discipline and brand strength to deliver exceptional value to our stakeholders. Our business plan is balanced between growth and risk management while maintaining flexibility to adjust to economic changes. We will continue to focus on providing customers with best-in-class service and an innovative mix of products and services. We will also remain focused on delivering strong financial results while maintaining prudent risk and capital management strategies and affirming our commitment to support our local communities.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Hawai‘i Economy</w:t>
      </w:r>
    </w:p>
    <w:p>
      <w:pPr>
        <w:spacing w:after="0" w:line="187" w:lineRule="exact"/>
        <w:rPr>
          <w:sz w:val="20"/>
          <w:szCs w:val="20"/>
          <w:color w:val="auto"/>
        </w:rPr>
      </w:pPr>
    </w:p>
    <w:p>
      <w:pPr>
        <w:ind w:right="20"/>
        <w:spacing w:after="0" w:line="211" w:lineRule="exact"/>
        <w:rPr>
          <w:sz w:val="20"/>
          <w:szCs w:val="20"/>
          <w:color w:val="auto"/>
        </w:rPr>
      </w:pPr>
      <w:r>
        <w:rPr>
          <w:rFonts w:ascii="Times New Roman" w:cs="Times New Roman" w:eastAsia="Times New Roman" w:hAnsi="Times New Roman"/>
          <w:sz w:val="18"/>
          <w:szCs w:val="18"/>
          <w:color w:val="auto"/>
        </w:rPr>
        <w:t>As of March 31, 2026, Hawai‘i’s economy continues to experience slow and uneven growth amid lingering uncertainty. Tourism conditions have stabilized but remain soft, with visitor volumes flat overall as continued weakness in most international markets offsets a modest recovery from Japan. Visitor spending has been supported by higher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visitor expenditures, particularly from U.S. mainland travelers, even as arrivals lag. Construction continues to provide a key source of stability, driven by elevated federal and military infrastructure projects and Maui rebuilding activity, although growth is expected to slow from recent highs. Labor market conditions have improved modestly following federal workforce reductions, and Hawai‘i’s unemployment rate remains historically low at 2.6% in January 2026, well below the national level of 4.3%. Inflationary pressures persist as the pass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effect of tariffs and tariff uncertainty, as well as the impact of recent military conflict on gasoline and electricity, continues to affect consumer prices. Recent Kona low storm events have also resulted in localized economic stress, with related impacts still evolving. Hawai‘i’s economy is expected to expand at a modest pace in 2026, constrained by ongoing federal policy uncertainty and a gradual recovery in tourism, but with</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uncertainty due to the impact on travel of higher jet fuel prices and other increased travel costs and potential erosion of consumer confidence negatively impacting middle-class tourism demand.</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first three months of 2026, the median price of single-family home sales on Oahu increased by 2.6% while the median price of condominiums remained flat compared to the same period in 2025. The volume of single-family homes sales on Oahu increased 10.9% and condominium sales decreased 3.6% compared to the same period in 2025. Inventory of single-family homes and condominiums on Oahu was 2.8 months and 6.3 months, respectively, for the first quarter of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Summary</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for the first quarter of 2026 was $57.4 million, an increase of $13.4 million, or 31%, compared to the same period in 2025. Diluted earnings per common share was $1.30 for the first quarter of 2026, an increase of $0.33, or 34%, compared to the same period in 2025.</w:t>
      </w:r>
    </w:p>
    <w:p>
      <w:pPr>
        <w:spacing w:after="0" w:line="121" w:lineRule="exact"/>
        <w:rPr>
          <w:sz w:val="20"/>
          <w:szCs w:val="20"/>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average common equity for the first quarter of 2026 was 13.90% compared with 11.80% in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for the first quarter of 2026 was $151.0 million, an increase of 20%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was 2.74% in the first quarter of 2026, an increase of 42 basis points from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credit losses for the first quarter of 2026 and 2025 was $1.8 million and $3.3 million, respectively.</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was $41.3 million in the first quarter of 2026, a decrease of 6%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was $116.1 million in the first quarter of 2026, an increase of 5%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for the first quarter of 2026 was 22.9% compared with 21.7% for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were $23.9 billion as of March 31, 2026, a decrease of 1.1% from December 31, 2025.</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and leases were $14.2 billion as of March 31, 2026, an increase of 0.8% from December 31, 2025.</w:t>
      </w:r>
    </w:p>
    <w:p>
      <w:pPr>
        <w:spacing w:after="0" w:line="63" w:lineRule="exact"/>
        <w:rPr>
          <w:rFonts w:ascii="Times New Roman" w:cs="Times New Roman" w:eastAsia="Times New Roman" w:hAnsi="Times New Roman"/>
          <w:sz w:val="18"/>
          <w:szCs w:val="18"/>
          <w:color w:val="auto"/>
        </w:rPr>
      </w:pPr>
    </w:p>
    <w:p>
      <w:pPr>
        <w:ind w:left="1140" w:right="240" w:hanging="484"/>
        <w:spacing w:after="0" w:line="266"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allowance for credit losses on loans and leases was $147.0 million as of March 31, 2026, an increase of $0.2 million from December 31, 2025. The ratio of the allowance for credit losses to total loans and leases outstanding was 1.04% at the end of the quarter, unchanged from December 31, 2025.</w:t>
      </w:r>
    </w:p>
    <w:p>
      <w:pPr>
        <w:spacing w:after="0" w:line="13" w:lineRule="exact"/>
        <w:rPr>
          <w:rFonts w:ascii="Times New Roman" w:cs="Times New Roman" w:eastAsia="Times New Roman" w:hAnsi="Times New Roman"/>
          <w:sz w:val="18"/>
          <w:szCs w:val="18"/>
          <w:color w:val="auto"/>
        </w:rPr>
      </w:pPr>
    </w:p>
    <w:p>
      <w:pPr>
        <w:ind w:left="1140" w:hanging="484"/>
        <w:spacing w:after="0" w:line="258"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loan and lease charge-offs during the first quarter of 2026 were $1.1 million or 3 basis points annualized of total average loans and leases outstanding. Net loan and lease charge-offs for the first quarter of 2026 were comprised of charge-offs of $4.1 million partially offset by recoveries of $3.0 million. Compared to the same quarter of 2025, net loan and lease charge-offs decreased by $3.3 million. Net loan and lease charge-offs to average loans and leases outstanding during the first quarter of 2026 was 0.03% compared to 0.13% in the same period last year.</w:t>
      </w:r>
    </w:p>
    <w:p>
      <w:pPr>
        <w:spacing w:after="0" w:line="21" w:lineRule="exact"/>
        <w:rPr>
          <w:rFonts w:ascii="Times New Roman" w:cs="Times New Roman" w:eastAsia="Times New Roman" w:hAnsi="Times New Roman"/>
          <w:sz w:val="18"/>
          <w:szCs w:val="18"/>
          <w:color w:val="auto"/>
        </w:rPr>
      </w:pPr>
    </w:p>
    <w:p>
      <w:pPr>
        <w:ind w:left="1140" w:right="40" w:hanging="484"/>
        <w:spacing w:after="0" w:line="281"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non-performing assets (“NPAs”) were $12.1 million as of March 31, 2026, down $2.1 million from December 31, 2025. NPAs were 9 basis points of total loans and leases and foreclosed real estate at the end of the quarter, down 1 basis point from December 31, 2025.</w:t>
      </w:r>
    </w:p>
    <w:p>
      <w:pPr>
        <w:spacing w:after="0" w:line="1" w:lineRule="exact"/>
        <w:rPr>
          <w:rFonts w:ascii="Times New Roman" w:cs="Times New Roman" w:eastAsia="Times New Roman" w:hAnsi="Times New Roman"/>
          <w:sz w:val="18"/>
          <w:szCs w:val="18"/>
          <w:color w:val="auto"/>
        </w:rPr>
      </w:pPr>
    </w:p>
    <w:p>
      <w:pPr>
        <w:ind w:left="1140" w:right="220" w:hanging="484"/>
        <w:spacing w:after="0" w:line="281"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securities portfolio was $7.9 billion as of March 31, 2026, an increase of 1.7% from December 31, 2025. The investment portfolio remains largely comprised of securities issued by U.S. government agencies and U.S. government-sponsored enterprises.</w:t>
      </w:r>
    </w:p>
    <w:p>
      <w:pPr>
        <w:spacing w:after="0" w:line="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$21.0 billion as of March 31, 2026 and $21.2 billion as of December 31, 2025.</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shareholders’ equity was $1.9 billion as of March 31, 2026 and December 31, 2025.</w:t>
      </w:r>
    </w:p>
    <w:p>
      <w:pPr>
        <w:spacing w:after="0" w:line="63" w:lineRule="exact"/>
        <w:rPr>
          <w:rFonts w:ascii="Times New Roman" w:cs="Times New Roman" w:eastAsia="Times New Roman" w:hAnsi="Times New Roman"/>
          <w:sz w:val="18"/>
          <w:szCs w:val="18"/>
          <w:color w:val="auto"/>
        </w:rPr>
      </w:pPr>
    </w:p>
    <w:p>
      <w:pPr>
        <w:ind w:left="1140" w:right="260" w:hanging="484"/>
        <w:spacing w:after="0" w:line="266" w:lineRule="auto"/>
        <w:tabs>
          <w:tab w:leader="none" w:pos="11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we repurchased 194,096 shares of common stock at an average cost per share of $77.84 and a total cost of $15.1 million under the share repurchase program. Total remaining buyback authority under the share repurchase program was $105.9 million at March 31, 2026.</w:t>
      </w:r>
    </w:p>
    <w:p>
      <w:pPr>
        <w:spacing w:after="0" w:line="1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quarterly dividend of $0.70 per common share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Unaudited Statements of Income</w:t>
      </w:r>
    </w:p>
    <w:p>
      <w:pPr>
        <w:spacing w:after="0" w:line="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Average balances, related income and expenses, and resulting yields and rates are presented in Table 1. An analysis of the change in net interest income, on a taxable-equivalent basis, is presented in Table 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Average Balances and Interest Rates - Taxable-Equivalent Basis ¹</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2"/>
                <w:szCs w:val="12"/>
                <w:b w:val="1"/>
                <w:bCs w:val="1"/>
                <w:color w:val="auto"/>
                <w:w w:val="93"/>
              </w:rPr>
              <w:t>Table 1</w:t>
            </w:r>
          </w:p>
        </w:tc>
        <w:tc>
          <w:tcPr>
            <w:tcW w:w="0" w:type="dxa"/>
            <w:vAlign w:val="bottom"/>
          </w:tcPr>
          <w:p>
            <w:pPr>
              <w:spacing w:after="0"/>
              <w:rPr>
                <w:sz w:val="1"/>
                <w:szCs w:val="1"/>
                <w:color w:val="auto"/>
              </w:rPr>
            </w:pPr>
          </w:p>
        </w:tc>
      </w:tr>
      <w:tr>
        <w:trPr>
          <w:trHeight w:val="183"/>
        </w:trPr>
        <w:tc>
          <w:tcPr>
            <w:tcW w:w="4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2"/>
                <w:szCs w:val="12"/>
                <w:b w:val="1"/>
                <w:bCs w:val="1"/>
                <w:color w:val="auto"/>
              </w:rPr>
              <w:t>Three Months Ended March 31, 2026</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2"/>
                <w:szCs w:val="12"/>
                <w:b w:val="1"/>
                <w:bCs w:val="1"/>
                <w:color w:val="auto"/>
              </w:rPr>
              <w:t>Three Months Ended March 31, 2025</w:t>
            </w:r>
          </w:p>
        </w:tc>
        <w:tc>
          <w:tcPr>
            <w:tcW w:w="0" w:type="dxa"/>
            <w:vAlign w:val="bottom"/>
          </w:tcPr>
          <w:p>
            <w:pPr>
              <w:spacing w:after="0"/>
              <w:rPr>
                <w:sz w:val="1"/>
                <w:szCs w:val="1"/>
                <w:color w:val="auto"/>
              </w:rPr>
            </w:pPr>
          </w:p>
        </w:tc>
      </w:tr>
      <w:tr>
        <w:trPr>
          <w:trHeight w:val="18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millions)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w w:val="97"/>
              </w:rPr>
              <w:t>Average Balance</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2"/>
                <w:szCs w:val="12"/>
                <w:b w:val="1"/>
                <w:bCs w:val="1"/>
                <w:color w:val="auto"/>
                <w:w w:val="97"/>
              </w:rPr>
              <w:t xml:space="preserve">Income/Expense </w:t>
            </w:r>
            <w:r>
              <w:rPr>
                <w:rFonts w:ascii="Times New Roman" w:cs="Times New Roman" w:eastAsia="Times New Roman" w:hAnsi="Times New Roman"/>
                <w:sz w:val="15"/>
                <w:szCs w:val="15"/>
                <w:b w:val="1"/>
                <w:bCs w:val="1"/>
                <w:color w:val="auto"/>
                <w:w w:val="97"/>
                <w:vertAlign w:val="superscript"/>
              </w:rPr>
              <w:t>2</w:t>
            </w:r>
          </w:p>
        </w:tc>
        <w:tc>
          <w:tcPr>
            <w:tcW w:w="13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2"/>
                <w:szCs w:val="12"/>
                <w:b w:val="1"/>
                <w:bCs w:val="1"/>
                <w:color w:val="auto"/>
                <w:w w:val="97"/>
              </w:rPr>
              <w:t>Average Balance</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w w:val="95"/>
              </w:rPr>
              <w:t xml:space="preserve">Income/Expense </w:t>
            </w:r>
            <w:r>
              <w:rPr>
                <w:rFonts w:ascii="Times New Roman" w:cs="Times New Roman" w:eastAsia="Times New Roman" w:hAnsi="Times New Roman"/>
                <w:sz w:val="15"/>
                <w:szCs w:val="15"/>
                <w:b w:val="1"/>
                <w:bCs w:val="1"/>
                <w:color w:val="auto"/>
                <w:w w:val="95"/>
                <w:vertAlign w:val="superscript"/>
              </w:rPr>
              <w:t>2</w:t>
            </w:r>
          </w:p>
        </w:tc>
        <w:tc>
          <w:tcPr>
            <w:tcW w:w="12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0" w:type="dxa"/>
            <w:vAlign w:val="bottom"/>
          </w:tcPr>
          <w:p>
            <w:pPr>
              <w:spacing w:after="0"/>
              <w:rPr>
                <w:sz w:val="1"/>
                <w:szCs w:val="1"/>
                <w:color w:val="auto"/>
              </w:rPr>
            </w:pPr>
          </w:p>
        </w:tc>
      </w:tr>
      <w:tr>
        <w:trPr>
          <w:trHeight w:val="176"/>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Earning Assets</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7"/>
              </w:rPr>
              <w:t>3.58 %</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7"/>
              </w:rPr>
              <w:t>4.37 %</w:t>
            </w:r>
          </w:p>
        </w:tc>
        <w:tc>
          <w:tcPr>
            <w:tcW w:w="0" w:type="dxa"/>
            <w:vAlign w:val="bottom"/>
          </w:tcPr>
          <w:p>
            <w:pPr>
              <w:spacing w:after="0"/>
              <w:rPr>
                <w:sz w:val="1"/>
                <w:szCs w:val="1"/>
                <w:color w:val="auto"/>
              </w:rPr>
            </w:pPr>
          </w:p>
        </w:tc>
      </w:tr>
      <w:tr>
        <w:trPr>
          <w:trHeight w:val="29"/>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Available-for-Sale</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Taxable</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3,598.1</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2,790.3</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3.47</w:t>
            </w:r>
          </w:p>
        </w:tc>
        <w:tc>
          <w:tcPr>
            <w:tcW w:w="0" w:type="dxa"/>
            <w:vAlign w:val="bottom"/>
          </w:tcPr>
          <w:p>
            <w:pPr>
              <w:spacing w:after="0"/>
              <w:rPr>
                <w:sz w:val="1"/>
                <w:szCs w:val="1"/>
                <w:color w:val="auto"/>
              </w:rPr>
            </w:pPr>
          </w:p>
        </w:tc>
      </w:tr>
      <w:tr>
        <w:trPr>
          <w:trHeight w:val="173"/>
        </w:trPr>
        <w:tc>
          <w:tcPr>
            <w:tcW w:w="4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Non-Taxable</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5.07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5.68</w:t>
            </w:r>
          </w:p>
        </w:tc>
        <w:tc>
          <w:tcPr>
            <w:tcW w:w="0" w:type="dxa"/>
            <w:vAlign w:val="bottom"/>
          </w:tcPr>
          <w:p>
            <w:pPr>
              <w:spacing w:after="0"/>
              <w:rPr>
                <w:sz w:val="1"/>
                <w:szCs w:val="1"/>
                <w:color w:val="auto"/>
              </w:rPr>
            </w:pPr>
          </w:p>
        </w:tc>
      </w:tr>
      <w:tr>
        <w:trPr>
          <w:trHeight w:val="29"/>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Held-to-Maturity</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Taxable</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4,175.4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4,548.6</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29"/>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Non-Taxable</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167"/>
        </w:trPr>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Investment Securities</w:t>
            </w: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7,839.1</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2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7,394.3</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2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29"/>
        </w:trPr>
        <w:tc>
          <w:tcPr>
            <w:tcW w:w="4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6.06</w:t>
            </w:r>
          </w:p>
        </w:tc>
        <w:tc>
          <w:tcPr>
            <w:tcW w:w="0" w:type="dxa"/>
            <w:vAlign w:val="bottom"/>
          </w:tcPr>
          <w:p>
            <w:pPr>
              <w:spacing w:after="0"/>
              <w:rPr>
                <w:sz w:val="1"/>
                <w:szCs w:val="1"/>
                <w:color w:val="auto"/>
              </w:rPr>
            </w:pPr>
          </w:p>
        </w:tc>
      </w:tr>
      <w:tr>
        <w:trPr>
          <w:trHeight w:val="203"/>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Loans and Leases </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Commercial Mortgage</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4,220.6</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5.19</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4,015.2</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5.30</w:t>
            </w:r>
          </w:p>
        </w:tc>
        <w:tc>
          <w:tcPr>
            <w:tcW w:w="0" w:type="dxa"/>
            <w:vAlign w:val="bottom"/>
          </w:tcPr>
          <w:p>
            <w:pPr>
              <w:spacing w:after="0"/>
              <w:rPr>
                <w:sz w:val="1"/>
                <w:szCs w:val="1"/>
                <w:color w:val="auto"/>
              </w:rPr>
            </w:pPr>
          </w:p>
        </w:tc>
      </w:tr>
      <w:tr>
        <w:trPr>
          <w:trHeight w:val="173"/>
        </w:trPr>
        <w:tc>
          <w:tcPr>
            <w:tcW w:w="4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5.06</w:t>
            </w:r>
          </w:p>
        </w:tc>
        <w:tc>
          <w:tcPr>
            <w:tcW w:w="0" w:type="dxa"/>
            <w:vAlign w:val="bottom"/>
          </w:tcPr>
          <w:p>
            <w:pPr>
              <w:spacing w:after="0"/>
              <w:rPr>
                <w:sz w:val="1"/>
                <w:szCs w:val="1"/>
                <w:color w:val="auto"/>
              </w:rPr>
            </w:pPr>
          </w:p>
        </w:tc>
      </w:tr>
      <w:tr>
        <w:trPr>
          <w:trHeight w:val="29"/>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Construction</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215.7</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6.46</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338.5</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7.22</w:t>
            </w:r>
          </w:p>
        </w:tc>
        <w:tc>
          <w:tcPr>
            <w:tcW w:w="0" w:type="dxa"/>
            <w:vAlign w:val="bottom"/>
          </w:tcPr>
          <w:p>
            <w:pPr>
              <w:spacing w:after="0"/>
              <w:rPr>
                <w:sz w:val="1"/>
                <w:szCs w:val="1"/>
                <w:color w:val="auto"/>
              </w:rPr>
            </w:pPr>
          </w:p>
        </w:tc>
      </w:tr>
      <w:tr>
        <w:trPr>
          <w:trHeight w:val="173"/>
        </w:trPr>
        <w:tc>
          <w:tcPr>
            <w:tcW w:w="4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Lease Financing</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3.83</w:t>
            </w:r>
          </w:p>
        </w:tc>
        <w:tc>
          <w:tcPr>
            <w:tcW w:w="0" w:type="dxa"/>
            <w:vAlign w:val="bottom"/>
          </w:tcPr>
          <w:p>
            <w:pPr>
              <w:spacing w:after="0"/>
              <w:rPr>
                <w:sz w:val="1"/>
                <w:szCs w:val="1"/>
                <w:color w:val="auto"/>
              </w:rPr>
            </w:pPr>
          </w:p>
        </w:tc>
      </w:tr>
      <w:tr>
        <w:trPr>
          <w:trHeight w:val="29"/>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Residential Mortgage</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4,781.9</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4,616.7</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73"/>
        </w:trPr>
        <w:tc>
          <w:tcPr>
            <w:tcW w:w="4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Home Equity</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2,103.1</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2,154.4</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4.23</w:t>
            </w:r>
          </w:p>
        </w:tc>
        <w:tc>
          <w:tcPr>
            <w:tcW w:w="0" w:type="dxa"/>
            <w:vAlign w:val="bottom"/>
          </w:tcPr>
          <w:p>
            <w:pPr>
              <w:spacing w:after="0"/>
              <w:rPr>
                <w:sz w:val="1"/>
                <w:szCs w:val="1"/>
                <w:color w:val="auto"/>
              </w:rPr>
            </w:pPr>
          </w:p>
        </w:tc>
      </w:tr>
      <w:tr>
        <w:trPr>
          <w:trHeight w:val="29"/>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Automobile</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684.6</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752.6</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r>
        <w:trPr>
          <w:trHeight w:val="173"/>
        </w:trPr>
        <w:tc>
          <w:tcPr>
            <w:tcW w:w="4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390.0</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7.41</w:t>
            </w:r>
          </w:p>
        </w:tc>
        <w:tc>
          <w:tcPr>
            <w:tcW w:w="0" w:type="dxa"/>
            <w:vAlign w:val="bottom"/>
          </w:tcPr>
          <w:p>
            <w:pPr>
              <w:spacing w:after="0"/>
              <w:rPr>
                <w:sz w:val="1"/>
                <w:szCs w:val="1"/>
                <w:color w:val="auto"/>
              </w:rPr>
            </w:pPr>
          </w:p>
        </w:tc>
      </w:tr>
      <w:tr>
        <w:trPr>
          <w:trHeight w:val="29"/>
        </w:trPr>
        <w:tc>
          <w:tcPr>
            <w:tcW w:w="4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Loans and Leases</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14,083.9</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14,062.2</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164.4</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4.72</w:t>
            </w:r>
          </w:p>
        </w:tc>
        <w:tc>
          <w:tcPr>
            <w:tcW w:w="0" w:type="dxa"/>
            <w:vAlign w:val="bottom"/>
          </w:tcPr>
          <w:p>
            <w:pPr>
              <w:spacing w:after="0"/>
              <w:rPr>
                <w:sz w:val="1"/>
                <w:szCs w:val="1"/>
                <w:color w:val="auto"/>
              </w:rPr>
            </w:pPr>
          </w:p>
        </w:tc>
      </w:tr>
      <w:tr>
        <w:trPr>
          <w:trHeight w:val="167"/>
        </w:trPr>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3"/>
                <w:szCs w:val="13"/>
                <w:color w:val="auto"/>
              </w:rPr>
              <w:t>6.67</w:t>
            </w:r>
          </w:p>
        </w:tc>
        <w:tc>
          <w:tcPr>
            <w:tcW w:w="0" w:type="dxa"/>
            <w:vAlign w:val="bottom"/>
          </w:tcPr>
          <w:p>
            <w:pPr>
              <w:spacing w:after="0"/>
              <w:rPr>
                <w:sz w:val="1"/>
                <w:szCs w:val="1"/>
                <w:color w:val="auto"/>
              </w:rPr>
            </w:pPr>
          </w:p>
        </w:tc>
      </w:tr>
      <w:tr>
        <w:trPr>
          <w:trHeight w:val="30"/>
        </w:trPr>
        <w:tc>
          <w:tcPr>
            <w:tcW w:w="4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Earning Assets</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22,381.0</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223.6</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22,023.9</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3.95</w:t>
            </w:r>
          </w:p>
        </w:tc>
        <w:tc>
          <w:tcPr>
            <w:tcW w:w="0" w:type="dxa"/>
            <w:vAlign w:val="bottom"/>
          </w:tcPr>
          <w:p>
            <w:pPr>
              <w:spacing w:after="0"/>
              <w:rPr>
                <w:sz w:val="1"/>
                <w:szCs w:val="1"/>
                <w:color w:val="auto"/>
              </w:rPr>
            </w:pPr>
          </w:p>
        </w:tc>
      </w:tr>
      <w:tr>
        <w:trPr>
          <w:trHeight w:val="166"/>
        </w:trPr>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Non-Earning Assets</w:t>
            </w: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1,534.3</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1,614.2</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2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CFF0FC"/>
            </w:tcBorders>
          </w:tcPr>
          <w:p>
            <w:pPr>
              <w:spacing w:after="0"/>
              <w:rPr>
                <w:sz w:val="2"/>
                <w:szCs w:val="2"/>
                <w:color w:val="auto"/>
              </w:rPr>
            </w:pPr>
          </w:p>
        </w:tc>
        <w:tc>
          <w:tcPr>
            <w:tcW w:w="12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CFF0FC"/>
            </w:tcBorders>
          </w:tcPr>
          <w:p>
            <w:pPr>
              <w:spacing w:after="0"/>
              <w:rPr>
                <w:sz w:val="2"/>
                <w:szCs w:val="2"/>
                <w:color w:val="auto"/>
              </w:rPr>
            </w:pPr>
          </w:p>
        </w:tc>
        <w:tc>
          <w:tcPr>
            <w:tcW w:w="12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23,915.3</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23,638.1</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Interest-Bearing Deposits</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Demand</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3,839.0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7"/>
              </w:rPr>
              <w:t>0.69 %</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3,773.4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7"/>
              </w:rPr>
              <w:t>0.76 %</w:t>
            </w:r>
          </w:p>
        </w:tc>
        <w:tc>
          <w:tcPr>
            <w:tcW w:w="0" w:type="dxa"/>
            <w:vAlign w:val="bottom"/>
          </w:tcPr>
          <w:p>
            <w:pPr>
              <w:spacing w:after="0"/>
              <w:rPr>
                <w:sz w:val="1"/>
                <w:szCs w:val="1"/>
                <w:color w:val="auto"/>
              </w:rPr>
            </w:pPr>
          </w:p>
        </w:tc>
      </w:tr>
      <w:tr>
        <w:trPr>
          <w:trHeight w:val="30"/>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Savings</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8,668.4</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8,544.5</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73"/>
        </w:trPr>
        <w:tc>
          <w:tcPr>
            <w:tcW w:w="4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Time</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2,753.6</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2.89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3,037.3</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22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3.67</w:t>
            </w:r>
          </w:p>
        </w:tc>
        <w:tc>
          <w:tcPr>
            <w:tcW w:w="0" w:type="dxa"/>
            <w:vAlign w:val="bottom"/>
          </w:tcPr>
          <w:p>
            <w:pPr>
              <w:spacing w:after="0"/>
              <w:rPr>
                <w:sz w:val="1"/>
                <w:szCs w:val="1"/>
                <w:color w:val="auto"/>
              </w:rPr>
            </w:pPr>
          </w:p>
        </w:tc>
      </w:tr>
      <w:tr>
        <w:trPr>
          <w:trHeight w:val="30"/>
        </w:trPr>
        <w:tc>
          <w:tcPr>
            <w:tcW w:w="4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Interest-Bearing Deposits</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15,261.0</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15,355.2</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166"/>
        </w:trPr>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Securities Sold Under Agreements to Repurchase</w:t>
            </w: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2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30"/>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Debt</w:t>
            </w: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560.9</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578.2</w:t>
            </w: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4.24</w:t>
            </w:r>
          </w:p>
        </w:tc>
        <w:tc>
          <w:tcPr>
            <w:tcW w:w="0" w:type="dxa"/>
            <w:vAlign w:val="bottom"/>
          </w:tcPr>
          <w:p>
            <w:pPr>
              <w:spacing w:after="0"/>
              <w:rPr>
                <w:sz w:val="1"/>
                <w:szCs w:val="1"/>
                <w:color w:val="auto"/>
              </w:rPr>
            </w:pPr>
          </w:p>
        </w:tc>
      </w:tr>
      <w:tr>
        <w:trPr>
          <w:trHeight w:val="166"/>
        </w:trPr>
        <w:tc>
          <w:tcPr>
            <w:tcW w:w="4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Interest-Bearing Liabilities</w:t>
            </w: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15,871.9</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2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16,010.1</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12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30"/>
        </w:trPr>
        <w:tc>
          <w:tcPr>
            <w:tcW w:w="4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1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bottom w:val="single" w:sz="8" w:color="CFF0FC"/>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Interest Rate Spread</w:t>
            </w: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CFF0FC"/>
            </w:tcBorders>
            <w:vMerge w:val="restart"/>
          </w:tcPr>
          <w:p>
            <w:pPr>
              <w:ind w:left="840"/>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Borders>
              <w:top w:val="single" w:sz="8" w:color="CFF0FC"/>
              <w:bottom w:val="single" w:sz="8" w:color="CFF0FC"/>
            </w:tcBorders>
            <w:vMerge w:val="restart"/>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CFF0FC"/>
            </w:tcBorders>
            <w:vMerge w:val="restart"/>
          </w:tcPr>
          <w:p>
            <w:pPr>
              <w:ind w:left="840"/>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line="20" w:lineRule="exact"/>
              <w:rPr>
                <w:sz w:val="1"/>
                <w:szCs w:val="1"/>
                <w:color w:val="auto"/>
              </w:rPr>
            </w:pPr>
          </w:p>
        </w:tc>
      </w:tr>
      <w:tr>
        <w:trPr>
          <w:trHeight w:val="120"/>
        </w:trPr>
        <w:tc>
          <w:tcPr>
            <w:tcW w:w="4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Interest Margin</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73"/>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Noninterest-Bearing Demand Deposits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5,654.4</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5,314.3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521.8</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638.1</w:t>
            </w:r>
          </w:p>
        </w:tc>
        <w:tc>
          <w:tcPr>
            <w:tcW w:w="10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1,867.2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1,675.6</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CFF0FC"/>
            </w:tcBorders>
          </w:tcPr>
          <w:p>
            <w:pPr>
              <w:spacing w:after="0"/>
              <w:rPr>
                <w:sz w:val="2"/>
                <w:szCs w:val="2"/>
                <w:color w:val="auto"/>
              </w:rPr>
            </w:pPr>
          </w:p>
        </w:tc>
        <w:tc>
          <w:tcPr>
            <w:tcW w:w="12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20" w:type="dxa"/>
            <w:vAlign w:val="bottom"/>
            <w:tcBorders>
              <w:bottom w:val="single" w:sz="8" w:color="CFF0FC"/>
            </w:tcBorders>
          </w:tcPr>
          <w:p>
            <w:pPr>
              <w:spacing w:after="0"/>
              <w:rPr>
                <w:sz w:val="2"/>
                <w:szCs w:val="2"/>
                <w:color w:val="auto"/>
              </w:rPr>
            </w:pPr>
          </w:p>
        </w:tc>
        <w:tc>
          <w:tcPr>
            <w:tcW w:w="12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23,915.3</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23,638.1</w:t>
            </w: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400" w:hanging="392"/>
        <w:spacing w:after="0"/>
        <w:tabs>
          <w:tab w:leader="none" w:pos="40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Due to rounding, the amounts presented in this table may not tie to other amounts presented elsewhere in this report.</w:t>
      </w:r>
    </w:p>
    <w:p>
      <w:pPr>
        <w:ind w:left="400" w:hanging="392"/>
        <w:spacing w:after="0" w:line="206" w:lineRule="auto"/>
        <w:tabs>
          <w:tab w:leader="none" w:pos="400"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Interest income includes taxable-equivalent basis adjustments, based upon a federal statutory tax rate of 21%, of $1.4 million and $1.5 million for the three months ended March 31, 2026 and 2025, respectively.</w:t>
      </w:r>
    </w:p>
    <w:p>
      <w:pPr>
        <w:ind w:left="400" w:hanging="392"/>
        <w:spacing w:after="0" w:line="198" w:lineRule="auto"/>
        <w:tabs>
          <w:tab w:leader="none" w:pos="40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Non-performing loans and leases are included in the respective average loan and lease balances.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Analysis of Change in Net Interest Income - Taxable-Equivalent Basis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2</w:t>
            </w:r>
          </w:p>
        </w:tc>
        <w:tc>
          <w:tcPr>
            <w:tcW w:w="0" w:type="dxa"/>
            <w:vAlign w:val="bottom"/>
          </w:tcPr>
          <w:p>
            <w:pPr>
              <w:spacing w:after="0"/>
              <w:rPr>
                <w:sz w:val="1"/>
                <w:szCs w:val="1"/>
                <w:color w:val="auto"/>
              </w:rPr>
            </w:pPr>
          </w:p>
        </w:tc>
      </w:tr>
      <w:tr>
        <w:trPr>
          <w:trHeight w:val="193"/>
        </w:trPr>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4"/>
          </w:tcPr>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gridSpan w:val="4"/>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Compared to March 31, 2025</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9"/>
                <w:szCs w:val="9"/>
                <w:b w:val="1"/>
                <w:bCs w:val="1"/>
                <w:color w:val="auto"/>
              </w:rPr>
              <w:t>1</w:t>
            </w:r>
          </w:p>
        </w:tc>
        <w:tc>
          <w:tcPr>
            <w:tcW w:w="320" w:type="dxa"/>
            <w:vAlign w:val="bottom"/>
          </w:tcPr>
          <w:p>
            <w:pPr>
              <w:spacing w:after="0"/>
              <w:rPr>
                <w:sz w:val="16"/>
                <w:szCs w:val="16"/>
                <w:color w:val="auto"/>
              </w:rPr>
            </w:pPr>
          </w:p>
        </w:tc>
        <w:tc>
          <w:tcPr>
            <w:tcW w:w="114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9"/>
                <w:szCs w:val="9"/>
                <w:b w:val="1"/>
                <w:bCs w:val="1"/>
                <w:color w:val="auto"/>
              </w:rPr>
              <w:t>1</w:t>
            </w:r>
          </w:p>
        </w:tc>
        <w:tc>
          <w:tcPr>
            <w:tcW w:w="50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6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center"/>
              <w:ind w:left="740"/>
              <w:spacing w:after="0"/>
              <w:rPr>
                <w:sz w:val="20"/>
                <w:szCs w:val="20"/>
                <w:color w:val="auto"/>
              </w:rPr>
            </w:pPr>
            <w:r>
              <w:rPr>
                <w:rFonts w:ascii="Times New Roman" w:cs="Times New Roman" w:eastAsia="Times New Roman" w:hAnsi="Times New Roman"/>
                <w:sz w:val="16"/>
                <w:szCs w:val="16"/>
                <w:color w:val="auto"/>
              </w:rPr>
              <w:t>(1.2)</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5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Available-for-Sale</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left="780"/>
              <w:spacing w:after="0"/>
              <w:rPr>
                <w:sz w:val="20"/>
                <w:szCs w:val="20"/>
                <w:color w:val="auto"/>
              </w:rPr>
            </w:pPr>
            <w:r>
              <w:rPr>
                <w:rFonts w:ascii="Times New Roman" w:cs="Times New Roman" w:eastAsia="Times New Roman" w:hAnsi="Times New Roman"/>
                <w:sz w:val="16"/>
                <w:szCs w:val="16"/>
                <w:color w:val="auto"/>
                <w:w w:val="99"/>
              </w:rPr>
              <w:t>7.5</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33"/>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Non-Taxable</w:t>
            </w:r>
          </w:p>
        </w:tc>
        <w:tc>
          <w:tcPr>
            <w:tcW w:w="280" w:type="dxa"/>
            <w:vAlign w:val="bottom"/>
          </w:tcPr>
          <w:p>
            <w:pPr>
              <w:spacing w:after="0"/>
              <w:rPr>
                <w:sz w:val="20"/>
                <w:szCs w:val="20"/>
                <w:color w:val="auto"/>
              </w:rPr>
            </w:pPr>
          </w:p>
        </w:tc>
        <w:tc>
          <w:tcPr>
            <w:tcW w:w="1180" w:type="dxa"/>
            <w:vAlign w:val="bottom"/>
          </w:tcPr>
          <w:p>
            <w:pPr>
              <w:jc w:val="center"/>
              <w:ind w:left="780"/>
              <w:spacing w:after="0"/>
              <w:rPr>
                <w:sz w:val="20"/>
                <w:szCs w:val="20"/>
                <w:color w:val="auto"/>
              </w:rPr>
            </w:pPr>
            <w:r>
              <w:rPr>
                <w:rFonts w:ascii="Times New Roman" w:cs="Times New Roman" w:eastAsia="Times New Roman" w:hAnsi="Times New Roman"/>
                <w:sz w:val="16"/>
                <w:szCs w:val="16"/>
                <w:color w:val="auto"/>
                <w:w w:val="99"/>
              </w:rPr>
              <w:t>0.1</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Held-to-Maturity</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280" w:type="dxa"/>
            <w:vAlign w:val="bottom"/>
          </w:tcPr>
          <w:p>
            <w:pPr>
              <w:spacing w:after="0"/>
              <w:rPr>
                <w:sz w:val="20"/>
                <w:szCs w:val="20"/>
                <w:color w:val="auto"/>
              </w:rPr>
            </w:pPr>
          </w:p>
        </w:tc>
        <w:tc>
          <w:tcPr>
            <w:tcW w:w="1180" w:type="dxa"/>
            <w:vAlign w:val="bottom"/>
          </w:tcPr>
          <w:p>
            <w:pPr>
              <w:jc w:val="center"/>
              <w:ind w:left="740"/>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6"/>
        </w:trPr>
        <w:tc>
          <w:tcPr>
            <w:tcW w:w="68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Non-Taxable</w:t>
            </w: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center"/>
              <w:ind w:left="780"/>
              <w:spacing w:after="0"/>
              <w:rPr>
                <w:sz w:val="20"/>
                <w:szCs w:val="20"/>
                <w:color w:val="auto"/>
              </w:rPr>
            </w:pPr>
            <w:r>
              <w:rPr>
                <w:rFonts w:ascii="Times New Roman" w:cs="Times New Roman" w:eastAsia="Times New Roman" w:hAnsi="Times New Roman"/>
                <w:sz w:val="16"/>
                <w:szCs w:val="16"/>
                <w:color w:val="auto"/>
                <w:w w:val="99"/>
              </w:rPr>
              <w:t>0.0</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780"/>
              <w:spacing w:after="0"/>
              <w:rPr>
                <w:sz w:val="20"/>
                <w:szCs w:val="20"/>
                <w:color w:val="auto"/>
              </w:rPr>
            </w:pPr>
            <w:r>
              <w:rPr>
                <w:rFonts w:ascii="Times New Roman" w:cs="Times New Roman" w:eastAsia="Times New Roman" w:hAnsi="Times New Roman"/>
                <w:sz w:val="16"/>
                <w:szCs w:val="16"/>
                <w:color w:val="auto"/>
                <w:w w:val="99"/>
              </w:rPr>
              <w:t>6.0</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4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left="780"/>
              <w:spacing w:after="0"/>
              <w:rPr>
                <w:sz w:val="20"/>
                <w:szCs w:val="20"/>
                <w:color w:val="auto"/>
              </w:rPr>
            </w:pPr>
            <w:r>
              <w:rPr>
                <w:rFonts w:ascii="Times New Roman" w:cs="Times New Roman" w:eastAsia="Times New Roman" w:hAnsi="Times New Roman"/>
                <w:sz w:val="16"/>
                <w:szCs w:val="16"/>
                <w:color w:val="auto"/>
                <w:w w:val="99"/>
              </w:rPr>
              <w:t>0.0</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3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and Leases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left="780"/>
              <w:spacing w:after="0"/>
              <w:rPr>
                <w:sz w:val="20"/>
                <w:szCs w:val="20"/>
                <w:color w:val="auto"/>
              </w:rPr>
            </w:pPr>
            <w:r>
              <w:rPr>
                <w:rFonts w:ascii="Times New Roman" w:cs="Times New Roman" w:eastAsia="Times New Roman" w:hAnsi="Times New Roman"/>
                <w:sz w:val="16"/>
                <w:szCs w:val="16"/>
                <w:color w:val="auto"/>
                <w:w w:val="99"/>
              </w:rPr>
              <w:t>2.7</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3"/>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tcPr>
          <w:p>
            <w:pPr>
              <w:spacing w:after="0"/>
              <w:rPr>
                <w:sz w:val="20"/>
                <w:szCs w:val="20"/>
                <w:color w:val="auto"/>
              </w:rPr>
            </w:pPr>
          </w:p>
        </w:tc>
        <w:tc>
          <w:tcPr>
            <w:tcW w:w="1180" w:type="dxa"/>
            <w:vAlign w:val="bottom"/>
          </w:tcPr>
          <w:p>
            <w:pPr>
              <w:jc w:val="center"/>
              <w:ind w:left="740"/>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5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left="740"/>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3"/>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Lease Financing</w:t>
            </w:r>
          </w:p>
        </w:tc>
        <w:tc>
          <w:tcPr>
            <w:tcW w:w="280" w:type="dxa"/>
            <w:vAlign w:val="bottom"/>
          </w:tcPr>
          <w:p>
            <w:pPr>
              <w:spacing w:after="0"/>
              <w:rPr>
                <w:sz w:val="20"/>
                <w:szCs w:val="20"/>
                <w:color w:val="auto"/>
              </w:rPr>
            </w:pPr>
          </w:p>
        </w:tc>
        <w:tc>
          <w:tcPr>
            <w:tcW w:w="1180" w:type="dxa"/>
            <w:vAlign w:val="bottom"/>
          </w:tcPr>
          <w:p>
            <w:pPr>
              <w:jc w:val="center"/>
              <w:ind w:left="780"/>
              <w:spacing w:after="0"/>
              <w:rPr>
                <w:sz w:val="20"/>
                <w:szCs w:val="20"/>
                <w:color w:val="auto"/>
              </w:rPr>
            </w:pPr>
            <w:r>
              <w:rPr>
                <w:rFonts w:ascii="Times New Roman" w:cs="Times New Roman" w:eastAsia="Times New Roman" w:hAnsi="Times New Roman"/>
                <w:sz w:val="16"/>
                <w:szCs w:val="16"/>
                <w:color w:val="auto"/>
                <w:w w:val="99"/>
              </w:rPr>
              <w:t>0.0</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left="780"/>
              <w:spacing w:after="0"/>
              <w:rPr>
                <w:sz w:val="20"/>
                <w:szCs w:val="20"/>
                <w:color w:val="auto"/>
              </w:rPr>
            </w:pPr>
            <w:r>
              <w:rPr>
                <w:rFonts w:ascii="Times New Roman" w:cs="Times New Roman" w:eastAsia="Times New Roman" w:hAnsi="Times New Roman"/>
                <w:sz w:val="16"/>
                <w:szCs w:val="16"/>
                <w:color w:val="auto"/>
                <w:w w:val="99"/>
              </w:rPr>
              <w:t>1.6</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3"/>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280" w:type="dxa"/>
            <w:vAlign w:val="bottom"/>
          </w:tcPr>
          <w:p>
            <w:pPr>
              <w:spacing w:after="0"/>
              <w:rPr>
                <w:sz w:val="20"/>
                <w:szCs w:val="20"/>
                <w:color w:val="auto"/>
              </w:rPr>
            </w:pPr>
          </w:p>
        </w:tc>
        <w:tc>
          <w:tcPr>
            <w:tcW w:w="1180" w:type="dxa"/>
            <w:vAlign w:val="bottom"/>
          </w:tcPr>
          <w:p>
            <w:pPr>
              <w:jc w:val="center"/>
              <w:ind w:left="740"/>
              <w:spacing w:after="0"/>
              <w:rPr>
                <w:sz w:val="20"/>
                <w:szCs w:val="20"/>
                <w:color w:val="auto"/>
              </w:rPr>
            </w:pPr>
            <w:r>
              <w:rPr>
                <w:rFonts w:ascii="Times New Roman" w:cs="Times New Roman" w:eastAsia="Times New Roman" w:hAnsi="Times New Roman"/>
                <w:sz w:val="16"/>
                <w:szCs w:val="16"/>
                <w:color w:val="auto"/>
              </w:rPr>
              <w:t>(0.5)</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5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left="740"/>
              <w:spacing w:after="0"/>
              <w:rPr>
                <w:sz w:val="20"/>
                <w:szCs w:val="20"/>
                <w:color w:val="auto"/>
              </w:rPr>
            </w:pPr>
            <w:r>
              <w:rPr>
                <w:rFonts w:ascii="Times New Roman" w:cs="Times New Roman" w:eastAsia="Times New Roman" w:hAnsi="Times New Roman"/>
                <w:sz w:val="16"/>
                <w:szCs w:val="16"/>
                <w:color w:val="auto"/>
              </w:rPr>
              <w:t>(0.9)</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780"/>
              <w:spacing w:after="0"/>
              <w:rPr>
                <w:sz w:val="20"/>
                <w:szCs w:val="20"/>
                <w:color w:val="auto"/>
              </w:rPr>
            </w:pPr>
            <w:r>
              <w:rPr>
                <w:rFonts w:ascii="Times New Roman" w:cs="Times New Roman" w:eastAsia="Times New Roman" w:hAnsi="Times New Roman"/>
                <w:sz w:val="16"/>
                <w:szCs w:val="16"/>
                <w:color w:val="auto"/>
                <w:w w:val="99"/>
              </w:rPr>
              <w:t>0.3</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36"/>
        </w:trPr>
        <w:tc>
          <w:tcPr>
            <w:tcW w:w="6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 and Leases</w:t>
            </w: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center"/>
              <w:ind w:left="740"/>
              <w:spacing w:after="0"/>
              <w:rPr>
                <w:sz w:val="20"/>
                <w:szCs w:val="20"/>
                <w:color w:val="auto"/>
              </w:rPr>
            </w:pPr>
            <w:r>
              <w:rPr>
                <w:rFonts w:ascii="Times New Roman" w:cs="Times New Roman" w:eastAsia="Times New Roman" w:hAnsi="Times New Roman"/>
                <w:sz w:val="16"/>
                <w:szCs w:val="16"/>
                <w:color w:val="auto"/>
              </w:rPr>
              <w:t>(0.3)</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5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780"/>
              <w:spacing w:after="0"/>
              <w:rPr>
                <w:sz w:val="20"/>
                <w:szCs w:val="20"/>
                <w:color w:val="auto"/>
              </w:rPr>
            </w:pPr>
            <w:r>
              <w:rPr>
                <w:rFonts w:ascii="Times New Roman" w:cs="Times New Roman" w:eastAsia="Times New Roman" w:hAnsi="Times New Roman"/>
                <w:sz w:val="16"/>
                <w:szCs w:val="16"/>
                <w:color w:val="auto"/>
                <w:w w:val="99"/>
              </w:rPr>
              <w:t>0.4</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6"/>
        </w:trPr>
        <w:tc>
          <w:tcPr>
            <w:tcW w:w="6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center"/>
              <w:ind w:left="780"/>
              <w:spacing w:after="0"/>
              <w:rPr>
                <w:sz w:val="20"/>
                <w:szCs w:val="20"/>
                <w:color w:val="auto"/>
              </w:rPr>
            </w:pPr>
            <w:r>
              <w:rPr>
                <w:rFonts w:ascii="Times New Roman" w:cs="Times New Roman" w:eastAsia="Times New Roman" w:hAnsi="Times New Roman"/>
                <w:sz w:val="16"/>
                <w:szCs w:val="16"/>
                <w:color w:val="auto"/>
                <w:w w:val="99"/>
              </w:rPr>
              <w:t>4.9</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5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Demand</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left="780"/>
              <w:spacing w:after="0"/>
              <w:rPr>
                <w:sz w:val="20"/>
                <w:szCs w:val="20"/>
                <w:color w:val="auto"/>
              </w:rPr>
            </w:pPr>
            <w:r>
              <w:rPr>
                <w:rFonts w:ascii="Times New Roman" w:cs="Times New Roman" w:eastAsia="Times New Roman" w:hAnsi="Times New Roman"/>
                <w:sz w:val="16"/>
                <w:szCs w:val="16"/>
                <w:color w:val="auto"/>
                <w:w w:val="99"/>
              </w:rPr>
              <w:t>0.2</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3"/>
        </w:trPr>
        <w:tc>
          <w:tcPr>
            <w:tcW w:w="6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w:t>
            </w:r>
          </w:p>
        </w:tc>
        <w:tc>
          <w:tcPr>
            <w:tcW w:w="280" w:type="dxa"/>
            <w:vAlign w:val="bottom"/>
          </w:tcPr>
          <w:p>
            <w:pPr>
              <w:spacing w:after="0"/>
              <w:rPr>
                <w:sz w:val="20"/>
                <w:szCs w:val="20"/>
                <w:color w:val="auto"/>
              </w:rPr>
            </w:pPr>
          </w:p>
        </w:tc>
        <w:tc>
          <w:tcPr>
            <w:tcW w:w="1180" w:type="dxa"/>
            <w:vAlign w:val="bottom"/>
          </w:tcPr>
          <w:p>
            <w:pPr>
              <w:jc w:val="center"/>
              <w:ind w:left="780"/>
              <w:spacing w:after="0"/>
              <w:rPr>
                <w:sz w:val="20"/>
                <w:szCs w:val="20"/>
                <w:color w:val="auto"/>
              </w:rPr>
            </w:pPr>
            <w:r>
              <w:rPr>
                <w:rFonts w:ascii="Times New Roman" w:cs="Times New Roman" w:eastAsia="Times New Roman" w:hAnsi="Times New Roman"/>
                <w:sz w:val="16"/>
                <w:szCs w:val="16"/>
                <w:color w:val="auto"/>
                <w:w w:val="99"/>
              </w:rPr>
              <w:t>0.6</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46"/>
        </w:trPr>
        <w:tc>
          <w:tcPr>
            <w:tcW w:w="686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Time</w:t>
            </w: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center"/>
              <w:ind w:left="740"/>
              <w:spacing w:after="0"/>
              <w:rPr>
                <w:sz w:val="20"/>
                <w:szCs w:val="20"/>
                <w:color w:val="auto"/>
              </w:rPr>
            </w:pPr>
            <w:r>
              <w:rPr>
                <w:rFonts w:ascii="Times New Roman" w:cs="Times New Roman" w:eastAsia="Times New Roman" w:hAnsi="Times New Roman"/>
                <w:sz w:val="16"/>
                <w:szCs w:val="16"/>
                <w:color w:val="auto"/>
              </w:rPr>
              <w:t>(2.4)</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5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36"/>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740"/>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43"/>
        </w:trPr>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center"/>
              <w:ind w:left="740"/>
              <w:spacing w:after="0"/>
              <w:rPr>
                <w:sz w:val="20"/>
                <w:szCs w:val="20"/>
                <w:color w:val="auto"/>
              </w:rPr>
            </w:pPr>
            <w:r>
              <w:rPr>
                <w:rFonts w:ascii="Times New Roman" w:cs="Times New Roman" w:eastAsia="Times New Roman" w:hAnsi="Times New Roman"/>
                <w:sz w:val="16"/>
                <w:szCs w:val="16"/>
                <w:color w:val="auto"/>
              </w:rPr>
              <w:t>(0.3)</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5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6"/>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Debt</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left="740"/>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2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center"/>
              <w:ind w:left="740"/>
              <w:spacing w:after="0"/>
              <w:rPr>
                <w:sz w:val="20"/>
                <w:szCs w:val="20"/>
                <w:color w:val="auto"/>
              </w:rPr>
            </w:pPr>
            <w:r>
              <w:rPr>
                <w:rFonts w:ascii="Times New Roman" w:cs="Times New Roman" w:eastAsia="Times New Roman" w:hAnsi="Times New Roman"/>
                <w:sz w:val="16"/>
                <w:szCs w:val="16"/>
                <w:color w:val="auto"/>
              </w:rPr>
              <w:t>(2.1)</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5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56"/>
        </w:trPr>
        <w:tc>
          <w:tcPr>
            <w:tcW w:w="6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center"/>
              <w:ind w:left="780"/>
              <w:spacing w:after="0"/>
              <w:rPr>
                <w:sz w:val="20"/>
                <w:szCs w:val="20"/>
                <w:color w:val="auto"/>
              </w:rPr>
            </w:pPr>
            <w:r>
              <w:rPr>
                <w:rFonts w:ascii="Times New Roman" w:cs="Times New Roman" w:eastAsia="Times New Roman" w:hAnsi="Times New Roman"/>
                <w:sz w:val="16"/>
                <w:szCs w:val="16"/>
                <w:color w:val="auto"/>
                <w:w w:val="99"/>
              </w:rPr>
              <w:t>7.0</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20" w:right="100" w:hanging="412"/>
        <w:spacing w:after="0" w:line="230" w:lineRule="auto"/>
        <w:tabs>
          <w:tab w:leader="none" w:pos="413"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change in interest income or expense due to both rate and volume has been allocated between the factors in proportion to the relationship of the absolute dollar amounts of the change in each.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18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9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average balance of our earning assets for the three months ended March 31, 2026 increased by $357.1 million or 2% compared to the same period last year. The increase was primarily due to an increase in the average balance of available-for-sale investment securities. As compared to the same period last year, yields on our investment securities portfolio increased by 29 basis points during the three months ended March 31, 2026 primarily due to the amortization of lower yielding</w:t>
      </w:r>
    </w:p>
    <w:p>
      <w:pPr>
        <w:sectPr>
          <w:pgSz w:w="11900" w:h="16838" w:orient="portrait"/>
          <w:cols w:equalWidth="0" w:num="1">
            <w:col w:w="11240"/>
          </w:cols>
          <w:pgMar w:left="320" w:top="117" w:right="33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investments being reinvested into new investments at higher current interest rates, as well as the impact of the repositioning of a portion of our AFS securities portfolio in the fourth quarter of 2025, which resulted in a higher-yielding securities mix. As compared to the same period last year, yields on our loan and lease portfolio increased by 3 basis points during the three months ended March 31, 2026. The increase primarily reflects the continued amortization of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yielding loans along with the origination of new loans at higher prevailing interest rates. This benefit was partially offset by lower income from interest rate swaps and the repricing of certain variable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loans following recent Federal Reserve rate cuts.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average balance of our interest-bearing liabilities for the three months ended March 31, 2026 decreased by $138.2 million or 1% compared to the same period in 2025 primarily due to a decrease in time deposits. As compared to the same period last year, the cost of our interest-bearing liabilities decreased by 42 basis points during the three months ended March 31, 2026 primarily due to a decrease in the prevailing interest rate environment, which was driven by 175 basis points of interest rate cuts by the Federal Open Market Committee from September 2024 through December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3 presents the components of noninterest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3</w:t>
            </w:r>
          </w:p>
        </w:tc>
        <w:tc>
          <w:tcPr>
            <w:tcW w:w="0" w:type="dxa"/>
            <w:vAlign w:val="bottom"/>
          </w:tcPr>
          <w:p>
            <w:pPr>
              <w:spacing w:after="0"/>
              <w:rPr>
                <w:sz w:val="1"/>
                <w:szCs w:val="1"/>
                <w:color w:val="auto"/>
              </w:rPr>
            </w:pPr>
          </w:p>
        </w:tc>
      </w:tr>
      <w:tr>
        <w:trPr>
          <w:trHeight w:val="193"/>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6"/>
                <w:szCs w:val="16"/>
                <w:color w:val="auto"/>
              </w:rPr>
            </w:pPr>
          </w:p>
        </w:tc>
        <w:tc>
          <w:tcPr>
            <w:tcW w:w="114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14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37"/>
        </w:trPr>
        <w:tc>
          <w:tcPr>
            <w:tcW w:w="5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 and Asset Management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11,741</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Fees, Exchange, and Other Service Charges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32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14,437</w:t>
            </w:r>
          </w:p>
        </w:tc>
        <w:tc>
          <w:tcPr>
            <w:tcW w:w="180" w:type="dxa"/>
            <w:vAlign w:val="bottom"/>
          </w:tcPr>
          <w:p>
            <w:pPr>
              <w:spacing w:after="0"/>
              <w:rPr>
                <w:sz w:val="20"/>
                <w:szCs w:val="20"/>
                <w:color w:val="auto"/>
              </w:rPr>
            </w:pPr>
          </w:p>
        </w:tc>
        <w:tc>
          <w:tcPr>
            <w:tcW w:w="14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(3,509)</w:t>
            </w:r>
          </w:p>
        </w:tc>
        <w:tc>
          <w:tcPr>
            <w:tcW w:w="14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8,440</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8,259</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181</w:t>
            </w:r>
          </w:p>
        </w:tc>
        <w:tc>
          <w:tcPr>
            <w:tcW w:w="1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32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3,611</w:t>
            </w:r>
          </w:p>
        </w:tc>
        <w:tc>
          <w:tcPr>
            <w:tcW w:w="180" w:type="dxa"/>
            <w:vAlign w:val="bottom"/>
          </w:tcPr>
          <w:p>
            <w:pPr>
              <w:spacing w:after="0"/>
              <w:rPr>
                <w:sz w:val="20"/>
                <w:szCs w:val="20"/>
                <w:color w:val="auto"/>
              </w:rPr>
            </w:pP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536</w:t>
            </w:r>
          </w:p>
        </w:tc>
        <w:tc>
          <w:tcPr>
            <w:tcW w:w="14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and Insurance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1,555</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w:t>
            </w:r>
          </w:p>
        </w:tc>
        <w:tc>
          <w:tcPr>
            <w:tcW w:w="14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Banking</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32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988</w:t>
            </w:r>
          </w:p>
        </w:tc>
        <w:tc>
          <w:tcPr>
            <w:tcW w:w="180" w:type="dxa"/>
            <w:vAlign w:val="bottom"/>
          </w:tcPr>
          <w:p>
            <w:pPr>
              <w:spacing w:after="0"/>
              <w:rPr>
                <w:sz w:val="20"/>
                <w:szCs w:val="20"/>
                <w:color w:val="auto"/>
              </w:rPr>
            </w:pPr>
          </w:p>
        </w:tc>
        <w:tc>
          <w:tcPr>
            <w:tcW w:w="14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(112)</w:t>
            </w:r>
          </w:p>
        </w:tc>
        <w:tc>
          <w:tcPr>
            <w:tcW w:w="14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Losses, Net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335</w:t>
            </w:r>
          </w:p>
        </w:tc>
        <w:tc>
          <w:tcPr>
            <w:tcW w:w="14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5,074</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(775)</w:t>
            </w:r>
          </w:p>
        </w:tc>
        <w:tc>
          <w:tcPr>
            <w:tcW w:w="14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62"/>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41,332</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44,058</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Fees, exchange, and other service charges decreased by </w:t>
      </w:r>
      <w:r>
        <w:rPr>
          <w:rFonts w:ascii="Times New Roman" w:cs="Times New Roman" w:eastAsia="Times New Roman" w:hAnsi="Times New Roman"/>
          <w:sz w:val="16"/>
          <w:szCs w:val="16"/>
          <w:color w:val="auto"/>
        </w:rPr>
        <w:t>$3.5 million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6"/>
          <w:szCs w:val="16"/>
          <w:color w:val="auto"/>
        </w:rPr>
        <w:t>24%</w:t>
      </w:r>
      <w:r>
        <w:rPr>
          <w:rFonts w:ascii="Times New Roman" w:cs="Times New Roman" w:eastAsia="Times New Roman" w:hAnsi="Times New Roman"/>
          <w:sz w:val="18"/>
          <w:szCs w:val="18"/>
          <w:color w:val="auto"/>
        </w:rPr>
        <w:t xml:space="preserve"> in the first quarter of 2026 compared to the same period last year, primarily due to lower merchant income following the sale of our merchant services portfolio in the fourth quarter of 2025.</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Bank-owned life insurance increased by $0.5 million or 15% in the first quarter of 2026 compared to the same period last year, primarily due to an increase in death benefits received.</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income decreased by $0.8 million or 15% in the first quarter of 2026 compared to the same period last year. This decrease was primarily due to an insurance settlement recognized in the first quarter of 2025 and lower foreign exchange volumes during the first quarter of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 presents the components of noninterest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4</w:t>
            </w:r>
          </w:p>
        </w:tc>
        <w:tc>
          <w:tcPr>
            <w:tcW w:w="0" w:type="dxa"/>
            <w:vAlign w:val="bottom"/>
          </w:tcPr>
          <w:p>
            <w:pPr>
              <w:spacing w:after="0"/>
              <w:rPr>
                <w:sz w:val="1"/>
                <w:szCs w:val="1"/>
                <w:color w:val="auto"/>
              </w:rPr>
            </w:pPr>
          </w:p>
        </w:tc>
      </w:tr>
      <w:tr>
        <w:trPr>
          <w:trHeight w:val="193"/>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6"/>
                <w:szCs w:val="16"/>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140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37"/>
        </w:trPr>
        <w:tc>
          <w:tcPr>
            <w:tcW w:w="5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38,990</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38,242</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7,282</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3,781</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108.0</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Incentive Compensation</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510</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Taxes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555</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and Other Benefits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4,597</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5,061</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(464)</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Medical, Dental, and Life Insurance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(315)</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Commission Expense</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Separation Expense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668</w:t>
            </w: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824.7</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Salaries and Benefits</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68,457</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62,884</w:t>
            </w:r>
          </w:p>
        </w:tc>
        <w:tc>
          <w:tcPr>
            <w:tcW w:w="2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5,573</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10,782</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223</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Equipment</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10,611</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419</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Processing</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FDIC Insurance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1,077</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Advertising</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200" w:type="dxa"/>
            <w:vAlign w:val="bottom"/>
          </w:tcPr>
          <w:p>
            <w:pPr>
              <w:spacing w:after="0"/>
              <w:rPr>
                <w:sz w:val="20"/>
                <w:szCs w:val="20"/>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518</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Delivery and Postage Services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3"/>
        </w:trPr>
        <w:tc>
          <w:tcPr>
            <w:tcW w:w="5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Mileage Program Travel</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Broker's Charges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3"/>
        </w:trPr>
        <w:tc>
          <w:tcPr>
            <w:tcW w:w="5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Merchant Transaction and Card Processing Fees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20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(1,680)</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46"/>
        </w:trPr>
        <w:tc>
          <w:tcPr>
            <w:tcW w:w="53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7,606</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8,407</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(801)</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13,695</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15,651</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(1,956)</w:t>
            </w: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62"/>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116,071</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110,459</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5,612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Total salaries and benefits expense increased by $5.6 million or 8.9% in the first quarter of 2026 compared to the same period last year, primarily due to an increase in share-based compensation related to the accelerated vesting of restricted stock awards pursuant to the retirement provisions of performance-based restricted stock awards granted in 2024 and 2025, as well as increases in base salaries and separation expense. These increases were partially offset by decreases in retirement and other benefits expense and medical, dental, and life insurance expense.</w:t>
      </w:r>
    </w:p>
    <w:p>
      <w:pPr>
        <w:spacing w:after="0" w:line="1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FDIC insurance expense increased by $1.1 million or 65.6% for the first quarter of 2026 compared to the same period last year, primarily due to a partial recovery of the FDIC special assessment in 2025, partially offset by a lower FDIC assessment rate in the current period.</w:t>
      </w:r>
    </w:p>
    <w:p>
      <w:pPr>
        <w:spacing w:after="0" w:line="12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Total other expense decreased by $2.0 million or 12.5% for the first quarter of 2026 compared to the same period last year, primarily due to lower merchant transaction and card processing fees following the sale of our merchant services portfolio in the fourth quarter of 2025. This was partially offset by an increase in advertising expense.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 presents our provision for income taxes and effective tax rates.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Income Taxes and Effective Tax Rates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5</w:t>
            </w:r>
          </w:p>
        </w:tc>
        <w:tc>
          <w:tcPr>
            <w:tcW w:w="0" w:type="dxa"/>
            <w:vAlign w:val="bottom"/>
          </w:tcPr>
          <w:p>
            <w:pPr>
              <w:spacing w:after="0"/>
              <w:rPr>
                <w:sz w:val="1"/>
                <w:szCs w:val="1"/>
                <w:color w:val="auto"/>
              </w:rPr>
            </w:pPr>
          </w:p>
        </w:tc>
      </w:tr>
      <w:tr>
        <w:trPr>
          <w:trHeight w:val="193"/>
        </w:trPr>
        <w:tc>
          <w:tcPr>
            <w:tcW w:w="8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3"/>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17,069</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12,171</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22.91 %</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21.67 %</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provision for income taxes was $17.1 million in the first quarter of 2026, an increase of $4.9 million compared to the same period in 2025. The effective tax rate for the first quarter of 2026 was 22.9%, an increase from 21.7% for the same period in 2025. The higher effective tax rate in the first quarter of 2026 compared to the same period last year was primarily due to an increase in nondeductible compensation and an increase in tax expense from discrete items.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Unaudited Statements of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8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Cash and cash equivalents were $425.1 million as of March 31, 2026, a decrease of $521.4 million or 55.1% from the prior year. The decrease was primarily due to an increase in our investment portfolio.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value of our investment securities portfolio was $7.9 billion and $7.8 billion as of March 31, 2026 and December 31, 2025, respectively. The increase was primarily due to the purchase of $372.2 million in available-for-sale investment securities during the three months ended March 31, 2026. The increase was partially offset by the amortization of existing securities.</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continually evaluate our investment securities portfolio in conjunction with our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adjust hedge positions, and change the proportion of investments made into the AFS and held-to-maturity (“HTM”) investment categories.</w:t>
      </w:r>
    </w:p>
    <w:p>
      <w:pPr>
        <w:spacing w:after="0" w:line="13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Mortgage-backed securities issued by Ginnie Mae, Fannie Mae, and Freddie Mac represent the largest concentration in our portfolio. As of March 31, 2026, the issuers of these securities carry credit ratings equivalent to those of the U.S. Government, reflecting the explicit and/or implicit guarantees provided.</w:t>
      </w:r>
    </w:p>
    <w:p>
      <w:pPr>
        <w:spacing w:after="0" w:line="14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Net unrealized losses in our AFS and HTM investment securities were $777.3 million as of March 31, 2026 and $739.8 million as of December 31, 2025. In addition, we transferred AFS investment securities to the HTM category in 2022. At the time of transfer, these securities had a fair value of $1.3 billion. The unrealized losses at the time of transfer remain in accumulated other comprehensive income and are amortized over the estimated remaining life of the securities through an adjustment to the effective yield of the HTM portfolio. The unamortized balance of these losses was $149.7 million and $155.0 million as of March 31, 2026 and December 31, 2025, respectively. See Note 7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to the unaudited Consolidated Financial Statements for more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6 presents the composition of our loan and lease portfolio by major categories.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Loan and Lease Portfolio Balances</w:t>
            </w:r>
          </w:p>
        </w:tc>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w w:val="97"/>
              </w:rPr>
              <w:t>Table 6</w:t>
            </w:r>
          </w:p>
        </w:tc>
      </w:tr>
      <w:tr>
        <w:trPr>
          <w:trHeight w:val="18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120" w:type="dxa"/>
            <w:vAlign w:val="bottom"/>
          </w:tcPr>
          <w:p>
            <w:pPr>
              <w:spacing w:after="0"/>
              <w:rPr>
                <w:sz w:val="16"/>
                <w:szCs w:val="16"/>
                <w:color w:val="auto"/>
              </w:rPr>
            </w:pPr>
          </w:p>
        </w:tc>
        <w:tc>
          <w:tcPr>
            <w:tcW w:w="14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6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3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4,341,448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4,205,791</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135,657</w:t>
            </w:r>
          </w:p>
        </w:tc>
        <w:tc>
          <w:tcPr>
            <w:tcW w:w="16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3.2 %</w:t>
            </w:r>
          </w:p>
        </w:tc>
      </w:tr>
      <w:tr>
        <w:trPr>
          <w:trHeight w:val="25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1,575,207</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1,584,245</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(9,038)</w:t>
            </w:r>
          </w:p>
        </w:tc>
        <w:tc>
          <w:tcPr>
            <w:tcW w:w="16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(0.6)</w:t>
            </w: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1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204,993</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208,584</w:t>
            </w:r>
          </w:p>
        </w:tc>
        <w:tc>
          <w:tcPr>
            <w:tcW w:w="32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(3,591)</w:t>
            </w:r>
          </w:p>
        </w:tc>
        <w:tc>
          <w:tcPr>
            <w:tcW w:w="16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(1.7)</w:t>
            </w:r>
          </w:p>
        </w:tc>
      </w:tr>
      <w:tr>
        <w:trPr>
          <w:trHeight w:val="246"/>
        </w:trPr>
        <w:tc>
          <w:tcPr>
            <w:tcW w:w="3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1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84,651</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88,303</w:t>
            </w: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(3,652)</w:t>
            </w:r>
          </w:p>
        </w:tc>
        <w:tc>
          <w:tcPr>
            <w:tcW w:w="16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(4.1)</w:t>
            </w:r>
          </w:p>
        </w:tc>
      </w:tr>
      <w:tr>
        <w:trPr>
          <w:trHeight w:val="236"/>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6,206,299</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6,086,923</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119,376</w:t>
            </w:r>
          </w:p>
        </w:tc>
        <w:tc>
          <w:tcPr>
            <w:tcW w:w="16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color w:val="auto"/>
              </w:rPr>
              <w:t>2.0</w:t>
            </w: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4,800,256</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4,775,502</w:t>
            </w:r>
          </w:p>
        </w:tc>
        <w:tc>
          <w:tcPr>
            <w:tcW w:w="320" w:type="dxa"/>
            <w:vAlign w:val="bottom"/>
          </w:tcPr>
          <w:p>
            <w:pPr>
              <w:spacing w:after="0"/>
              <w:rPr>
                <w:sz w:val="20"/>
                <w:szCs w:val="20"/>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24,754</w:t>
            </w:r>
          </w:p>
        </w:tc>
        <w:tc>
          <w:tcPr>
            <w:tcW w:w="1640" w:type="dxa"/>
            <w:vAlign w:val="bottom"/>
          </w:tcPr>
          <w:p>
            <w:pPr>
              <w:ind w:left="1240"/>
              <w:spacing w:after="0"/>
              <w:rPr>
                <w:sz w:val="20"/>
                <w:szCs w:val="20"/>
                <w:color w:val="auto"/>
              </w:rPr>
            </w:pPr>
            <w:r>
              <w:rPr>
                <w:rFonts w:ascii="Times New Roman" w:cs="Times New Roman" w:eastAsia="Times New Roman" w:hAnsi="Times New Roman"/>
                <w:sz w:val="16"/>
                <w:szCs w:val="16"/>
                <w:color w:val="auto"/>
              </w:rPr>
              <w:t>0.5</w:t>
            </w:r>
          </w:p>
        </w:tc>
      </w:tr>
      <w:tr>
        <w:trPr>
          <w:trHeight w:val="25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2,095,521</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2,114,809</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(19,288)</w:t>
            </w:r>
          </w:p>
        </w:tc>
        <w:tc>
          <w:tcPr>
            <w:tcW w:w="16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(0.9)</w:t>
            </w: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680,570</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690,376</w:t>
            </w:r>
          </w:p>
        </w:tc>
        <w:tc>
          <w:tcPr>
            <w:tcW w:w="32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(9,806)</w:t>
            </w:r>
          </w:p>
        </w:tc>
        <w:tc>
          <w:tcPr>
            <w:tcW w:w="16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(1.4)</w:t>
            </w:r>
          </w:p>
        </w:tc>
      </w:tr>
      <w:tr>
        <w:trPr>
          <w:trHeight w:val="246"/>
        </w:trPr>
        <w:tc>
          <w:tcPr>
            <w:tcW w:w="3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410,165</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414,440</w:t>
            </w: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(4,275)</w:t>
            </w:r>
          </w:p>
        </w:tc>
        <w:tc>
          <w:tcPr>
            <w:tcW w:w="16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(1.0)</w:t>
            </w:r>
          </w:p>
        </w:tc>
      </w:tr>
      <w:tr>
        <w:trPr>
          <w:trHeight w:val="236"/>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7,986,512</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7,995,127</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(8,615)</w:t>
            </w:r>
          </w:p>
        </w:tc>
        <w:tc>
          <w:tcPr>
            <w:tcW w:w="16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(0.1)</w:t>
            </w:r>
          </w:p>
        </w:tc>
      </w:tr>
      <w:tr>
        <w:trPr>
          <w:trHeight w:val="262"/>
        </w:trPr>
        <w:tc>
          <w:tcPr>
            <w:tcW w:w="3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14,192,811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14,082,050</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110,761</w:t>
            </w:r>
          </w:p>
        </w:tc>
        <w:tc>
          <w:tcPr>
            <w:tcW w:w="164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0.8 %</w:t>
            </w: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Total loans and leases as of March 31, 2026 increased by $110.8 million or 0.8% from December 31, 2025, primarily due to growth in our commercial loans. This was partially offset by decreases in our consumer loans.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Commercial loans and leases as of March 31, 2026 increased by $119.4 million or 2.0% from December 31, 2025, primarily due to an increase in our commercial mortgage portfolio, which increased by $135.7 million or 3.2% largely as a result of new originations. This was partially offset by paydowns in our commercial and industrial portfolio. Consumer loans and leases as of March 31, 2026 decreased by $8.6 million or 0.1% from December 31, 2025, primarily due to paydowns in our home equity portfolio and reduced demand for automobile loans. This was partially offset by an increase in our residential mortgage loans, which increased by $24.8 million or 0.5% primarily due to increased production.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presents an additional breakdown of the Company’s commercial mortgage portfolio.</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Breakdown</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w w:val="97"/>
              </w:rPr>
              <w:t>Table 7</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1"/>
                <w:szCs w:val="11"/>
                <w:color w:val="auto"/>
              </w:rPr>
            </w:pPr>
          </w:p>
        </w:tc>
        <w:tc>
          <w:tcPr>
            <w:tcW w:w="9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060" w:type="dxa"/>
            <w:vAlign w:val="bottom"/>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 Owner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04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 Owner</w:t>
            </w:r>
          </w:p>
        </w:tc>
        <w:tc>
          <w:tcPr>
            <w:tcW w:w="0" w:type="dxa"/>
            <w:vAlign w:val="bottom"/>
          </w:tcPr>
          <w:p>
            <w:pPr>
              <w:spacing w:after="0"/>
              <w:rPr>
                <w:sz w:val="1"/>
                <w:szCs w:val="1"/>
                <w:color w:val="auto"/>
              </w:rPr>
            </w:pPr>
          </w:p>
        </w:tc>
      </w:tr>
      <w:tr>
        <w:trPr>
          <w:trHeight w:val="195"/>
        </w:trPr>
        <w:tc>
          <w:tcPr>
            <w:tcW w:w="4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0" w:type="dxa"/>
            <w:vAlign w:val="bottom"/>
          </w:tcPr>
          <w:p>
            <w:pPr>
              <w:spacing w:after="0"/>
              <w:rPr>
                <w:sz w:val="1"/>
                <w:szCs w:val="1"/>
                <w:color w:val="auto"/>
              </w:rPr>
            </w:pPr>
          </w:p>
        </w:tc>
      </w:tr>
      <w:tr>
        <w:trPr>
          <w:trHeight w:val="214"/>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1,224,045</w:t>
            </w:r>
          </w:p>
        </w:tc>
        <w:tc>
          <w:tcPr>
            <w:tcW w:w="132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28 %</w:t>
            </w:r>
          </w:p>
        </w:tc>
        <w:tc>
          <w:tcPr>
            <w:tcW w:w="10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1,203,151</w:t>
            </w:r>
          </w:p>
        </w:tc>
        <w:tc>
          <w:tcPr>
            <w:tcW w:w="13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29 %</w:t>
            </w:r>
          </w:p>
        </w:tc>
        <w:tc>
          <w:tcPr>
            <w:tcW w:w="10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802,818</w:t>
            </w:r>
          </w:p>
        </w:tc>
        <w:tc>
          <w:tcPr>
            <w:tcW w:w="13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18</w:t>
            </w:r>
          </w:p>
        </w:tc>
        <w:tc>
          <w:tcPr>
            <w:tcW w:w="10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776,260</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730,155</w:t>
            </w:r>
          </w:p>
        </w:tc>
        <w:tc>
          <w:tcPr>
            <w:tcW w:w="13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17</w:t>
            </w:r>
          </w:p>
        </w:tc>
        <w:tc>
          <w:tcPr>
            <w:tcW w:w="10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696,492</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Lodging</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646,154</w:t>
            </w:r>
          </w:p>
        </w:tc>
        <w:tc>
          <w:tcPr>
            <w:tcW w:w="13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15</w:t>
            </w: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649,196</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331,433</w:t>
            </w:r>
          </w:p>
        </w:tc>
        <w:tc>
          <w:tcPr>
            <w:tcW w:w="132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8</w:t>
            </w:r>
          </w:p>
        </w:tc>
        <w:tc>
          <w:tcPr>
            <w:tcW w:w="1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336,144</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8</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606,843</w:t>
            </w:r>
          </w:p>
        </w:tc>
        <w:tc>
          <w:tcPr>
            <w:tcW w:w="13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14</w:t>
            </w:r>
          </w:p>
        </w:tc>
        <w:tc>
          <w:tcPr>
            <w:tcW w:w="10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544,548</w:t>
            </w:r>
          </w:p>
        </w:tc>
        <w:tc>
          <w:tcPr>
            <w:tcW w:w="13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3"/>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Commercial Mortgage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4,341,448</w:t>
            </w:r>
          </w:p>
        </w:tc>
        <w:tc>
          <w:tcPr>
            <w:tcW w:w="1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100 %</w:t>
            </w:r>
          </w:p>
        </w:tc>
        <w:tc>
          <w:tcPr>
            <w:tcW w:w="10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4,205,791</w:t>
            </w: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100 %</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400" w:hanging="392"/>
        <w:spacing w:after="0"/>
        <w:tabs>
          <w:tab w:leader="none" w:pos="40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 includes unamortized loan origination fees.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8 presents the geographic distribution of our loan and lease portfolio.</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Distribution of Loan and Lease Portfolio</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8</w:t>
            </w:r>
          </w:p>
        </w:tc>
      </w:tr>
      <w:tr>
        <w:trPr>
          <w:trHeight w:val="214"/>
        </w:trPr>
        <w:tc>
          <w:tcPr>
            <w:tcW w:w="4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Other Pacific</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2"/>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line="232" w:lineRule="exact"/>
              <w:rPr>
                <w:sz w:val="20"/>
                <w:szCs w:val="20"/>
                <w:color w:val="auto"/>
              </w:rPr>
            </w:pPr>
            <w:r>
              <w:rPr>
                <w:rFonts w:ascii="Times New Roman" w:cs="Times New Roman" w:eastAsia="Times New Roman" w:hAnsi="Times New Roman"/>
                <w:sz w:val="16"/>
                <w:szCs w:val="16"/>
                <w:b w:val="1"/>
                <w:bCs w:val="1"/>
                <w:color w:val="auto"/>
                <w:w w:val="98"/>
              </w:rPr>
              <w:t xml:space="preserve">U.S. Mainland </w:t>
            </w:r>
            <w:r>
              <w:rPr>
                <w:rFonts w:ascii="Times New Roman" w:cs="Times New Roman" w:eastAsia="Times New Roman" w:hAnsi="Times New Roman"/>
                <w:sz w:val="21"/>
                <w:szCs w:val="21"/>
                <w:b w:val="1"/>
                <w:bCs w:val="1"/>
                <w:color w:val="auto"/>
                <w:w w:val="98"/>
                <w:vertAlign w:val="superscript"/>
              </w:rPr>
              <w:t>1</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Guam</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Islands</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23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5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3,927,797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243,316</w:t>
            </w:r>
          </w:p>
        </w:tc>
        <w:tc>
          <w:tcPr>
            <w:tcW w:w="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169,917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418</w:t>
            </w: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4,341,448</w:t>
            </w:r>
          </w:p>
        </w:tc>
      </w:tr>
      <w:tr>
        <w:trPr>
          <w:trHeight w:val="23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4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1,355,980</w:t>
            </w: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136,786</w:t>
            </w:r>
          </w:p>
        </w:tc>
        <w:tc>
          <w:tcPr>
            <w:tcW w:w="32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62,567</w:t>
            </w:r>
          </w:p>
        </w:tc>
        <w:tc>
          <w:tcPr>
            <w:tcW w:w="1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19,874</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1,575,207</w:t>
            </w: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204,993</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204,993</w:t>
            </w:r>
          </w:p>
        </w:tc>
      </w:tr>
      <w:tr>
        <w:trPr>
          <w:trHeight w:val="237"/>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84,400</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251</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84,651</w:t>
            </w:r>
          </w:p>
        </w:tc>
      </w:tr>
      <w:tr>
        <w:trPr>
          <w:trHeight w:val="237"/>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5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5,573,170</w:t>
            </w:r>
          </w:p>
        </w:tc>
        <w:tc>
          <w:tcPr>
            <w:tcW w:w="1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380,102</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232,735</w:t>
            </w: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20,292</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6,206,299</w:t>
            </w:r>
          </w:p>
        </w:tc>
      </w:tr>
      <w:tr>
        <w:trPr>
          <w:trHeight w:val="23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4,723,056</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5,368</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71,592</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240</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4,800,256</w:t>
            </w:r>
          </w:p>
        </w:tc>
      </w:tr>
      <w:tr>
        <w:trPr>
          <w:trHeight w:val="23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54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2,049,510</w:t>
            </w: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c>
          <w:tcPr>
            <w:tcW w:w="32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45,975</w:t>
            </w:r>
          </w:p>
        </w:tc>
        <w:tc>
          <w:tcPr>
            <w:tcW w:w="1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2,095,521</w:t>
            </w: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541,997</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110,879</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27,694</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680,570</w:t>
            </w:r>
          </w:p>
        </w:tc>
      </w:tr>
      <w:tr>
        <w:trPr>
          <w:trHeight w:val="237"/>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354,892</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53,162</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2,111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410,165</w:t>
            </w:r>
          </w:p>
        </w:tc>
      </w:tr>
      <w:tr>
        <w:trPr>
          <w:trHeight w:val="237"/>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5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7,669,455</w:t>
            </w:r>
          </w:p>
        </w:tc>
        <w:tc>
          <w:tcPr>
            <w:tcW w:w="1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5,404</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281,608</w:t>
            </w: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30,045</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7,986,512</w:t>
            </w:r>
          </w:p>
        </w:tc>
      </w:tr>
      <w:tr>
        <w:trPr>
          <w:trHeight w:val="236"/>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13,242,625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385,506</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514,343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50,337</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14,192,811</w:t>
            </w:r>
          </w:p>
        </w:tc>
      </w:tr>
      <w:tr>
        <w:trPr>
          <w:trHeight w:val="262"/>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Percentage of Total Loans and Leases</w:t>
            </w:r>
          </w:p>
        </w:tc>
        <w:tc>
          <w:tcPr>
            <w:tcW w:w="5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4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3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3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40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r>
        <w:trPr>
          <w:trHeight w:val="62"/>
        </w:trPr>
        <w:tc>
          <w:tcPr>
            <w:tcW w:w="4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5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3,788,244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244,812</w:t>
            </w:r>
          </w:p>
        </w:tc>
        <w:tc>
          <w:tcPr>
            <w:tcW w:w="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172,315</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420</w:t>
            </w: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4,205,791</w:t>
            </w:r>
          </w:p>
        </w:tc>
      </w:tr>
      <w:tr>
        <w:trPr>
          <w:trHeight w:val="23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54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1,370,467</w:t>
            </w: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135,563</w:t>
            </w:r>
          </w:p>
        </w:tc>
        <w:tc>
          <w:tcPr>
            <w:tcW w:w="32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63,498</w:t>
            </w:r>
          </w:p>
        </w:tc>
        <w:tc>
          <w:tcPr>
            <w:tcW w:w="1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14,717</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1,584,245</w:t>
            </w: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208,584</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208,584</w:t>
            </w:r>
          </w:p>
        </w:tc>
      </w:tr>
      <w:tr>
        <w:trPr>
          <w:trHeight w:val="236"/>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88,027</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276</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88,303</w:t>
            </w:r>
          </w:p>
        </w:tc>
      </w:tr>
      <w:tr>
        <w:trPr>
          <w:trHeight w:val="237"/>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5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5,455,322</w:t>
            </w:r>
          </w:p>
        </w:tc>
        <w:tc>
          <w:tcPr>
            <w:tcW w:w="1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380,375</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236,089</w:t>
            </w: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15,137</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6,086,923</w:t>
            </w:r>
          </w:p>
        </w:tc>
      </w:tr>
      <w:tr>
        <w:trPr>
          <w:trHeight w:val="23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4,699,089</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5,388</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70,767</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258</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4,775,502</w:t>
            </w:r>
          </w:p>
        </w:tc>
      </w:tr>
      <w:tr>
        <w:trPr>
          <w:trHeight w:val="23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54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2,070,246</w:t>
            </w:r>
          </w:p>
        </w:tc>
        <w:tc>
          <w:tcPr>
            <w:tcW w:w="140" w:type="dxa"/>
            <w:vAlign w:val="bottom"/>
          </w:tcPr>
          <w:p>
            <w:pPr>
              <w:spacing w:after="0"/>
              <w:rPr>
                <w:sz w:val="20"/>
                <w:szCs w:val="20"/>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32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44,526</w:t>
            </w:r>
          </w:p>
        </w:tc>
        <w:tc>
          <w:tcPr>
            <w:tcW w:w="180" w:type="dxa"/>
            <w:vAlign w:val="bottom"/>
          </w:tcPr>
          <w:p>
            <w:pPr>
              <w:spacing w:after="0"/>
              <w:rPr>
                <w:sz w:val="20"/>
                <w:szCs w:val="20"/>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2,114,809</w:t>
            </w:r>
          </w:p>
        </w:tc>
      </w:tr>
      <w:tr>
        <w:trPr>
          <w:trHeight w:val="253"/>
        </w:trPr>
        <w:tc>
          <w:tcPr>
            <w:tcW w:w="4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548,585</w:t>
            </w: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112,084</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29,707</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690,376</w:t>
            </w:r>
          </w:p>
        </w:tc>
      </w:tr>
      <w:tr>
        <w:trPr>
          <w:trHeight w:val="236"/>
        </w:trPr>
        <w:tc>
          <w:tcPr>
            <w:tcW w:w="4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358,190</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54,030</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2,220</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414,440</w:t>
            </w:r>
          </w:p>
        </w:tc>
      </w:tr>
      <w:tr>
        <w:trPr>
          <w:trHeight w:val="237"/>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5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7,676,110</w:t>
            </w:r>
          </w:p>
        </w:tc>
        <w:tc>
          <w:tcPr>
            <w:tcW w:w="1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5,425</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281,407</w:t>
            </w:r>
          </w:p>
        </w:tc>
        <w:tc>
          <w:tcPr>
            <w:tcW w:w="1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32,185</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7,995,127</w:t>
            </w:r>
          </w:p>
        </w:tc>
      </w:tr>
      <w:tr>
        <w:trPr>
          <w:trHeight w:val="236"/>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13,131,432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385,800</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517,496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47,322</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14,082,050</w:t>
            </w:r>
          </w:p>
        </w:tc>
      </w:tr>
      <w:tr>
        <w:trPr>
          <w:trHeight w:val="262"/>
        </w:trPr>
        <w:tc>
          <w:tcPr>
            <w:tcW w:w="4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Percentage of Total Loans and Leases</w:t>
            </w:r>
          </w:p>
        </w:tc>
        <w:tc>
          <w:tcPr>
            <w:tcW w:w="54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4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32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3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40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20" w:right="40" w:hanging="412"/>
        <w:spacing w:after="0" w:line="230" w:lineRule="auto"/>
        <w:tabs>
          <w:tab w:leader="none" w:pos="413"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secured loans and leases, classification is made based on where the collateral is located. For unsecured loans and leases, classification is made based on the location where the majority of the borrower’s business operations are conducted.</w:t>
      </w:r>
    </w:p>
    <w:p>
      <w:pPr>
        <w:spacing w:after="0" w:line="2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commercial and consumer lending activities are concentrated primarily in Hawai‘i and the West Pacific. Our commercial loan and lease portfolio to borrowers based on the U.S. Mainland includes participation in shared national credits for customers whose operations and assets extend beyond Hawai‘i.</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9 presents the major components of other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6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Table 9</w:t>
            </w:r>
          </w:p>
        </w:tc>
      </w:tr>
      <w:tr>
        <w:trPr>
          <w:trHeight w:val="186"/>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20" w:type="dxa"/>
            <w:vAlign w:val="bottom"/>
          </w:tcPr>
          <w:p>
            <w:pPr>
              <w:spacing w:after="0"/>
              <w:rPr>
                <w:sz w:val="16"/>
                <w:szCs w:val="16"/>
                <w:color w:val="auto"/>
              </w:rPr>
            </w:pPr>
          </w:p>
        </w:tc>
        <w:tc>
          <w:tcPr>
            <w:tcW w:w="14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6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38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7"/>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Low-Income Housing and Other Equity Investments</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224,714</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(9,393)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and Tax Receivable</w:t>
            </w:r>
          </w:p>
        </w:tc>
        <w:tc>
          <w:tcPr>
            <w:tcW w:w="6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137,489</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138,350</w:t>
            </w:r>
          </w:p>
        </w:tc>
        <w:tc>
          <w:tcPr>
            <w:tcW w:w="32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(861)</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r>
      <w:tr>
        <w:trPr>
          <w:trHeight w:val="25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6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104,426</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99,581</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4,845</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Home Loan Bank of Des Moines Stock</w:t>
            </w:r>
          </w:p>
        </w:tc>
        <w:tc>
          <w:tcPr>
            <w:tcW w:w="6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w:t>
            </w:r>
          </w:p>
        </w:tc>
        <w:tc>
          <w:tcPr>
            <w:tcW w:w="320" w:type="dxa"/>
            <w:vAlign w:val="bottom"/>
          </w:tcPr>
          <w:p>
            <w:pPr>
              <w:spacing w:after="0"/>
              <w:rPr>
                <w:sz w:val="20"/>
                <w:szCs w:val="20"/>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Reserve Bank Stock</w:t>
            </w:r>
          </w:p>
        </w:tc>
        <w:tc>
          <w:tcPr>
            <w:tcW w:w="6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30,901</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30,770</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131</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6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26,967</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24,156</w:t>
            </w:r>
          </w:p>
        </w:tc>
        <w:tc>
          <w:tcPr>
            <w:tcW w:w="320" w:type="dxa"/>
            <w:vAlign w:val="bottom"/>
          </w:tcPr>
          <w:p>
            <w:pPr>
              <w:spacing w:after="0"/>
              <w:rPr>
                <w:sz w:val="20"/>
                <w:szCs w:val="20"/>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2,811</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r>
      <w:tr>
        <w:trPr>
          <w:trHeight w:val="25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6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16,344</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15,569</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775</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6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12,392</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15,959</w:t>
            </w:r>
          </w:p>
        </w:tc>
        <w:tc>
          <w:tcPr>
            <w:tcW w:w="32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(3,567)</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(22.4)</w:t>
            </w:r>
          </w:p>
        </w:tc>
      </w:tr>
      <w:tr>
        <w:trPr>
          <w:trHeight w:val="25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6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53,952</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47,877</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6,075</w:t>
            </w:r>
          </w:p>
        </w:tc>
        <w:tc>
          <w:tcPr>
            <w:tcW w:w="1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r>
      <w:tr>
        <w:trPr>
          <w:trHeight w:val="262"/>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Assets</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632,021</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Prepaid expenses increased by $2.8 million or 12%, primarily due to changes in accruals and timing of payments. Deferred compensation plan assets decreased by $3.6 million or 22%, primarily due to distributions from the executive deferred compensation plan during the three months ended March 31, 2026. Other assets increased by $6.1 million or 13%, primarily driven by improved funded status of the Company’s defined benefit pension plans.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10 presents the composition of our deposits by major customer categories.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1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10</w:t>
            </w:r>
          </w:p>
        </w:tc>
      </w:tr>
      <w:tr>
        <w:trPr>
          <w:trHeight w:val="189"/>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70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6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27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10,530,223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10,466,617</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63,606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70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8,340,279</w:t>
            </w:r>
          </w:p>
        </w:tc>
        <w:tc>
          <w:tcPr>
            <w:tcW w:w="240" w:type="dxa"/>
            <w:vAlign w:val="bottom"/>
          </w:tcPr>
          <w:p>
            <w:pPr>
              <w:spacing w:after="0"/>
              <w:rPr>
                <w:sz w:val="20"/>
                <w:szCs w:val="20"/>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8,597,265</w:t>
            </w:r>
          </w:p>
        </w:tc>
        <w:tc>
          <w:tcPr>
            <w:tcW w:w="320" w:type="dxa"/>
            <w:vAlign w:val="bottom"/>
          </w:tcPr>
          <w:p>
            <w:pPr>
              <w:spacing w:after="0"/>
              <w:rPr>
                <w:sz w:val="20"/>
                <w:szCs w:val="20"/>
                <w:color w:val="auto"/>
              </w:rPr>
            </w:pPr>
          </w:p>
        </w:tc>
        <w:tc>
          <w:tcPr>
            <w:tcW w:w="16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(256,986)</w:t>
            </w:r>
          </w:p>
        </w:tc>
        <w:tc>
          <w:tcPr>
            <w:tcW w:w="16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(3.0)</w:t>
            </w:r>
          </w:p>
        </w:tc>
      </w:tr>
      <w:tr>
        <w:trPr>
          <w:trHeight w:val="246"/>
        </w:trPr>
        <w:tc>
          <w:tcPr>
            <w:tcW w:w="2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and Other</w:t>
            </w:r>
          </w:p>
        </w:tc>
        <w:tc>
          <w:tcPr>
            <w:tcW w:w="17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2,087,428</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2,124,613</w:t>
            </w: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(37,185)</w:t>
            </w:r>
          </w:p>
        </w:tc>
        <w:tc>
          <w:tcPr>
            <w:tcW w:w="16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w:t>
            </w:r>
          </w:p>
        </w:tc>
      </w:tr>
      <w:tr>
        <w:trPr>
          <w:trHeight w:val="236"/>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Deposits</w:t>
            </w: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20,957,930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21,188,495</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(230,565)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7"/>
        </w:trPr>
        <w:tc>
          <w:tcPr>
            <w:tcW w:w="2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Total deposits were $21.0 billion as of March 31, 2026, a decrease of $230.6 million or 1.1% from December 31, 2025. Consumer deposits increased by $63.6 million due to increases of $66.8 million in savings deposits, $30.5 million in non-interest bearing deposits, and $11.6 million in interest-bearing demand deposits, partially offset by a decrease of $45.3 million in time deposits. Commercial deposits decreased by $257.0 million due to decreases of $153.5 million in savings deposits, $126.8 million in non-interest bearing deposits, and $14.7 million in time deposits, partially offset by an increase of $38.1 million in interest-bearing demand deposits. Public and other deposits decreased by $37.2 million due to a decrease of $82.1 million in interest-bearing demand deposits and noninterest-bearing deposits, partially offset by increases of $29.5 million in saving deposits and $15.4 million in time deposits.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11 presents the composition of our savings deposits.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Savings Deposits</w:t>
            </w:r>
          </w:p>
        </w:tc>
        <w:tc>
          <w:tcPr>
            <w:tcW w:w="1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11</w:t>
            </w:r>
          </w:p>
        </w:tc>
      </w:tr>
      <w:tr>
        <w:trPr>
          <w:trHeight w:val="23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5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Regular Savings</w:t>
            </w:r>
          </w:p>
        </w:tc>
        <w:tc>
          <w:tcPr>
            <w:tcW w:w="1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5,521,442</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5,383,975</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137,467</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36"/>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15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3,162,433</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3,357,115</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(194,682)</w:t>
            </w:r>
          </w:p>
        </w:tc>
        <w:tc>
          <w:tcPr>
            <w:tcW w:w="16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(5.8)</w:t>
            </w:r>
          </w:p>
        </w:tc>
      </w:tr>
      <w:tr>
        <w:trPr>
          <w:trHeight w:val="261"/>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Savings Deposits</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8,683,875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8,741,090</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(57,215)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
        </w:trPr>
        <w:tc>
          <w:tcPr>
            <w:tcW w:w="29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increase in Regular Savings was primarily due to increases in consumer deposits of $71.6 million, commercial deposits of $36.3 million, and public deposits of $29.5 million. The decrease in Money Market was primarily due to decreases in commercial deposits of $189.8 million and consumer deposits of $4.8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12 presents the maturity distribution of the estimated uninsured time deposits.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Distribution of Estimated Uninsured Time Deposits</w:t>
            </w:r>
          </w:p>
        </w:tc>
        <w:tc>
          <w:tcPr>
            <w:tcW w:w="9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12</w:t>
            </w:r>
          </w:p>
        </w:tc>
      </w:tr>
      <w:tr>
        <w:trPr>
          <w:trHeight w:val="19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960" w:type="dxa"/>
            <w:vAlign w:val="bottom"/>
          </w:tcPr>
          <w:p>
            <w:pPr>
              <w:spacing w:after="0"/>
              <w:rPr>
                <w:sz w:val="16"/>
                <w:szCs w:val="16"/>
                <w:color w:val="auto"/>
              </w:rPr>
            </w:pPr>
          </w:p>
        </w:tc>
        <w:tc>
          <w:tcPr>
            <w:tcW w:w="15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6"/>
                <w:szCs w:val="16"/>
                <w:color w:val="auto"/>
              </w:rPr>
            </w:pPr>
          </w:p>
        </w:tc>
        <w:tc>
          <w:tcPr>
            <w:tcW w:w="16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60" w:type="dxa"/>
            <w:vAlign w:val="bottom"/>
          </w:tcPr>
          <w:p>
            <w:pPr>
              <w:spacing w:after="0"/>
              <w:rPr>
                <w:sz w:val="16"/>
                <w:szCs w:val="16"/>
                <w:color w:val="auto"/>
              </w:rPr>
            </w:pPr>
          </w:p>
        </w:tc>
        <w:tc>
          <w:tcPr>
            <w:tcW w:w="14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4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Remaining maturity:</w:t>
            </w:r>
          </w:p>
        </w:tc>
        <w:tc>
          <w:tcPr>
            <w:tcW w:w="96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3"/>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Three months or less</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648,587</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613,444</w:t>
            </w:r>
          </w:p>
        </w:tc>
        <w:tc>
          <w:tcPr>
            <w:tcW w:w="4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35,143</w:t>
            </w:r>
          </w:p>
        </w:tc>
      </w:tr>
      <w:tr>
        <w:trPr>
          <w:trHeight w:val="253"/>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After three through six months</w:t>
            </w:r>
          </w:p>
        </w:tc>
        <w:tc>
          <w:tcPr>
            <w:tcW w:w="96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303,832</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396,599</w:t>
            </w:r>
          </w:p>
        </w:tc>
        <w:tc>
          <w:tcPr>
            <w:tcW w:w="4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(92,767)</w:t>
            </w:r>
          </w:p>
        </w:tc>
      </w:tr>
      <w:tr>
        <w:trPr>
          <w:trHeight w:val="233"/>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After six through twelve months</w:t>
            </w:r>
          </w:p>
        </w:tc>
        <w:tc>
          <w:tcPr>
            <w:tcW w:w="960" w:type="dxa"/>
            <w:vAlign w:val="bottom"/>
          </w:tcPr>
          <w:p>
            <w:pPr>
              <w:spacing w:after="0"/>
              <w:rPr>
                <w:sz w:val="20"/>
                <w:szCs w:val="20"/>
                <w:color w:val="auto"/>
              </w:rPr>
            </w:pPr>
          </w:p>
        </w:tc>
        <w:tc>
          <w:tcPr>
            <w:tcW w:w="1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349,771</w:t>
            </w:r>
          </w:p>
        </w:tc>
        <w:tc>
          <w:tcPr>
            <w:tcW w:w="280" w:type="dxa"/>
            <w:vAlign w:val="bottom"/>
          </w:tcPr>
          <w:p>
            <w:pPr>
              <w:spacing w:after="0"/>
              <w:rPr>
                <w:sz w:val="20"/>
                <w:szCs w:val="20"/>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320,938</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28,833</w:t>
            </w:r>
          </w:p>
        </w:tc>
      </w:tr>
      <w:tr>
        <w:trPr>
          <w:trHeight w:val="246"/>
        </w:trPr>
        <w:tc>
          <w:tcPr>
            <w:tcW w:w="49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After twelve months</w:t>
            </w:r>
          </w:p>
        </w:tc>
        <w:tc>
          <w:tcPr>
            <w:tcW w:w="96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89,717</w:t>
            </w:r>
          </w:p>
        </w:tc>
        <w:tc>
          <w:tcPr>
            <w:tcW w:w="2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86,151</w:t>
            </w:r>
          </w:p>
        </w:tc>
        <w:tc>
          <w:tcPr>
            <w:tcW w:w="4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3,566</w:t>
            </w:r>
          </w:p>
        </w:tc>
      </w:tr>
      <w:tr>
        <w:trPr>
          <w:trHeight w:val="237"/>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1,391,907</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1,417,132</w:t>
            </w:r>
          </w:p>
        </w:tc>
        <w:tc>
          <w:tcPr>
            <w:tcW w:w="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(25,225)</w:t>
            </w:r>
          </w:p>
        </w:tc>
      </w:tr>
      <w:tr>
        <w:trPr>
          <w:trHeight w:val="27"/>
        </w:trPr>
        <w:tc>
          <w:tcPr>
            <w:tcW w:w="4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amounts are estimated based on the portion of account balances in excess of FDIC insurance limits.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Securities sold under agreements to repurchase were $50.0 million as of both March 31, 2026 and December 31, 2025. As of March 31, 2026, our remaining repurchase agreement was at a fixed interest rate of 3.89% with a remaining maturity of 3.6 years. Our repurchase agreement was accounted for as a collateralized financing arrangement (i.e., a secured borrowing) and not as a sale and subsequent repurchase of securities. Our remaining repurchase agreement with a private institution may be terminated at earlier specified dates by either the private institution or the Company. See Note 6 </w:t>
      </w:r>
      <w:r>
        <w:rPr>
          <w:rFonts w:ascii="Times New Roman" w:cs="Times New Roman" w:eastAsia="Times New Roman" w:hAnsi="Times New Roman"/>
          <w:sz w:val="18"/>
          <w:szCs w:val="18"/>
          <w:i w:val="1"/>
          <w:iCs w:val="1"/>
          <w:color w:val="auto"/>
        </w:rPr>
        <w:t>Securities Sold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Under Agreements to Repurchase </w:t>
      </w:r>
      <w:r>
        <w:rPr>
          <w:rFonts w:ascii="Times New Roman" w:cs="Times New Roman" w:eastAsia="Times New Roman" w:hAnsi="Times New Roman"/>
          <w:sz w:val="18"/>
          <w:szCs w:val="18"/>
          <w:color w:val="auto"/>
        </w:rPr>
        <w:t>to the unaudited Consolidated Financial Statements for more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13 presents the composition of our other debt.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Debt</w:t>
            </w:r>
          </w:p>
        </w:tc>
        <w:tc>
          <w:tcPr>
            <w:tcW w:w="1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w w:val="96"/>
              </w:rPr>
              <w:t>Table 13</w:t>
            </w:r>
          </w:p>
        </w:tc>
      </w:tr>
      <w:tr>
        <w:trPr>
          <w:trHeight w:val="186"/>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0" w:type="dxa"/>
            <w:vAlign w:val="bottom"/>
          </w:tcPr>
          <w:p>
            <w:pPr>
              <w:spacing w:after="0"/>
              <w:rPr>
                <w:sz w:val="16"/>
                <w:szCs w:val="16"/>
                <w:color w:val="auto"/>
              </w:rPr>
            </w:pPr>
          </w:p>
        </w:tc>
        <w:tc>
          <w:tcPr>
            <w:tcW w:w="154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6"/>
                <w:szCs w:val="16"/>
                <w:color w:val="auto"/>
              </w:rPr>
            </w:pPr>
          </w:p>
        </w:tc>
        <w:tc>
          <w:tcPr>
            <w:tcW w:w="16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6"/>
                <w:szCs w:val="16"/>
                <w:color w:val="auto"/>
              </w:rPr>
            </w:pPr>
          </w:p>
        </w:tc>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Dollar Change</w:t>
            </w:r>
          </w:p>
        </w:tc>
      </w:tr>
      <w:tr>
        <w:trPr>
          <w:trHeight w:val="37"/>
        </w:trPr>
        <w:tc>
          <w:tcPr>
            <w:tcW w:w="45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of Des Moines Advances</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550,000</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550,000</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w:t>
            </w:r>
          </w:p>
        </w:tc>
      </w:tr>
      <w:tr>
        <w:trPr>
          <w:trHeight w:val="237"/>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1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8,150</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8,176</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left="1119"/>
              <w:spacing w:after="0"/>
              <w:rPr>
                <w:sz w:val="20"/>
                <w:szCs w:val="20"/>
                <w:color w:val="auto"/>
              </w:rPr>
            </w:pPr>
            <w:r>
              <w:rPr>
                <w:rFonts w:ascii="Times New Roman" w:cs="Times New Roman" w:eastAsia="Times New Roman" w:hAnsi="Times New Roman"/>
                <w:sz w:val="16"/>
                <w:szCs w:val="16"/>
                <w:color w:val="auto"/>
              </w:rPr>
              <w:t>(26)</w:t>
            </w:r>
          </w:p>
        </w:tc>
      </w:tr>
      <w:tr>
        <w:trPr>
          <w:trHeight w:val="262"/>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558,150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558,176</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center"/>
              <w:ind w:left="1119"/>
              <w:spacing w:after="0"/>
              <w:rPr>
                <w:sz w:val="20"/>
                <w:szCs w:val="20"/>
                <w:color w:val="auto"/>
              </w:rPr>
            </w:pPr>
            <w:r>
              <w:rPr>
                <w:rFonts w:ascii="Times New Roman" w:cs="Times New Roman" w:eastAsia="Times New Roman" w:hAnsi="Times New Roman"/>
                <w:sz w:val="16"/>
                <w:szCs w:val="16"/>
                <w:color w:val="auto"/>
              </w:rPr>
              <w:t>(26)</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Business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segments are defined as Consumer Banking, Commercial Banking, and Treasury and Other.</w:t>
      </w:r>
    </w:p>
    <w:p>
      <w:pPr>
        <w:spacing w:after="0" w:line="19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Table 14 summarizes net income (loss) from our business segments. Additional information about segment performance is presented in Note 9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Segments </w:t>
      </w:r>
      <w:r>
        <w:rPr>
          <w:rFonts w:ascii="Times New Roman" w:cs="Times New Roman" w:eastAsia="Times New Roman" w:hAnsi="Times New Roman"/>
          <w:sz w:val="18"/>
          <w:szCs w:val="18"/>
          <w:color w:val="auto"/>
        </w:rPr>
        <w:t>to the unaudited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Segment Net Income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14</w:t>
            </w:r>
          </w:p>
        </w:tc>
        <w:tc>
          <w:tcPr>
            <w:tcW w:w="0" w:type="dxa"/>
            <w:vAlign w:val="bottom"/>
          </w:tcPr>
          <w:p>
            <w:pPr>
              <w:spacing w:after="0"/>
              <w:rPr>
                <w:sz w:val="1"/>
                <w:szCs w:val="1"/>
                <w:color w:val="auto"/>
              </w:rPr>
            </w:pPr>
          </w:p>
        </w:tc>
      </w:tr>
      <w:tr>
        <w:trPr>
          <w:trHeight w:val="193"/>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3"/>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6"/>
                <w:szCs w:val="16"/>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13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37"/>
        </w:trPr>
        <w:tc>
          <w:tcPr>
            <w:tcW w:w="55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Banking</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center"/>
              <w:ind w:left="301"/>
              <w:spacing w:after="0"/>
              <w:rPr>
                <w:sz w:val="20"/>
                <w:szCs w:val="20"/>
                <w:color w:val="auto"/>
              </w:rPr>
            </w:pPr>
            <w:r>
              <w:rPr>
                <w:rFonts w:ascii="Times New Roman" w:cs="Times New Roman" w:eastAsia="Times New Roman" w:hAnsi="Times New Roman"/>
                <w:sz w:val="16"/>
                <w:szCs w:val="16"/>
                <w:color w:val="auto"/>
                <w:w w:val="99"/>
              </w:rPr>
              <w:t>31,900</w:t>
            </w:r>
          </w:p>
        </w:tc>
        <w:tc>
          <w:tcPr>
            <w:tcW w:w="3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center"/>
              <w:ind w:left="342"/>
              <w:spacing w:after="0"/>
              <w:rPr>
                <w:sz w:val="20"/>
                <w:szCs w:val="20"/>
                <w:color w:val="auto"/>
              </w:rPr>
            </w:pPr>
            <w:r>
              <w:rPr>
                <w:rFonts w:ascii="Times New Roman" w:cs="Times New Roman" w:eastAsia="Times New Roman" w:hAnsi="Times New Roman"/>
                <w:sz w:val="16"/>
                <w:szCs w:val="16"/>
                <w:color w:val="auto"/>
                <w:w w:val="99"/>
              </w:rPr>
              <w:t>29,452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2,448</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Commercial Banking</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6"/>
                <w:szCs w:val="16"/>
                <w:color w:val="auto"/>
                <w:w w:val="99"/>
              </w:rPr>
              <w:t>39,066</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342"/>
              <w:spacing w:after="0"/>
              <w:rPr>
                <w:sz w:val="20"/>
                <w:szCs w:val="20"/>
                <w:color w:val="auto"/>
              </w:rPr>
            </w:pPr>
            <w:r>
              <w:rPr>
                <w:rFonts w:ascii="Times New Roman" w:cs="Times New Roman" w:eastAsia="Times New Roman" w:hAnsi="Times New Roman"/>
                <w:sz w:val="16"/>
                <w:szCs w:val="16"/>
                <w:color w:val="auto"/>
                <w:w w:val="99"/>
              </w:rPr>
              <w:t>31,689</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7,377</w:t>
            </w: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43"/>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center"/>
              <w:ind w:left="301"/>
              <w:spacing w:after="0"/>
              <w:rPr>
                <w:sz w:val="20"/>
                <w:szCs w:val="20"/>
                <w:color w:val="auto"/>
              </w:rPr>
            </w:pPr>
            <w:r>
              <w:rPr>
                <w:rFonts w:ascii="Times New Roman" w:cs="Times New Roman" w:eastAsia="Times New Roman" w:hAnsi="Times New Roman"/>
                <w:sz w:val="16"/>
                <w:szCs w:val="16"/>
                <w:color w:val="auto"/>
                <w:w w:val="99"/>
              </w:rPr>
              <w:t>70,966</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center"/>
              <w:ind w:left="342"/>
              <w:spacing w:after="0"/>
              <w:rPr>
                <w:sz w:val="20"/>
                <w:szCs w:val="20"/>
                <w:color w:val="auto"/>
              </w:rPr>
            </w:pPr>
            <w:r>
              <w:rPr>
                <w:rFonts w:ascii="Times New Roman" w:cs="Times New Roman" w:eastAsia="Times New Roman" w:hAnsi="Times New Roman"/>
                <w:sz w:val="16"/>
                <w:szCs w:val="16"/>
                <w:color w:val="auto"/>
                <w:w w:val="99"/>
              </w:rPr>
              <w:t>61,141</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9,825</w:t>
            </w:r>
          </w:p>
        </w:tc>
        <w:tc>
          <w:tcPr>
            <w:tcW w:w="14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Treasury and Other</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left="281"/>
              <w:spacing w:after="0"/>
              <w:rPr>
                <w:sz w:val="20"/>
                <w:szCs w:val="20"/>
                <w:color w:val="auto"/>
              </w:rPr>
            </w:pPr>
            <w:r>
              <w:rPr>
                <w:rFonts w:ascii="Times New Roman" w:cs="Times New Roman" w:eastAsia="Times New Roman" w:hAnsi="Times New Roman"/>
                <w:sz w:val="16"/>
                <w:szCs w:val="16"/>
                <w:color w:val="auto"/>
                <w:w w:val="98"/>
              </w:rPr>
              <w:t>(13,534)</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302"/>
              <w:spacing w:after="0"/>
              <w:rPr>
                <w:sz w:val="20"/>
                <w:szCs w:val="20"/>
                <w:color w:val="auto"/>
              </w:rPr>
            </w:pPr>
            <w:r>
              <w:rPr>
                <w:rFonts w:ascii="Times New Roman" w:cs="Times New Roman" w:eastAsia="Times New Roman" w:hAnsi="Times New Roman"/>
                <w:sz w:val="16"/>
                <w:szCs w:val="16"/>
                <w:color w:val="auto"/>
              </w:rPr>
              <w:t>(17,156)</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3,622</w:t>
            </w: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61"/>
        </w:trPr>
        <w:tc>
          <w:tcPr>
            <w:tcW w:w="5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center"/>
              <w:ind w:left="301"/>
              <w:spacing w:after="0"/>
              <w:rPr>
                <w:sz w:val="20"/>
                <w:szCs w:val="20"/>
                <w:color w:val="auto"/>
              </w:rPr>
            </w:pPr>
            <w:r>
              <w:rPr>
                <w:rFonts w:ascii="Times New Roman" w:cs="Times New Roman" w:eastAsia="Times New Roman" w:hAnsi="Times New Roman"/>
                <w:sz w:val="16"/>
                <w:szCs w:val="16"/>
                <w:color w:val="auto"/>
                <w:w w:val="99"/>
              </w:rPr>
              <w:t>57,432</w:t>
            </w:r>
          </w:p>
        </w:tc>
        <w:tc>
          <w:tcPr>
            <w:tcW w:w="32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center"/>
              <w:ind w:left="342"/>
              <w:spacing w:after="0"/>
              <w:rPr>
                <w:sz w:val="20"/>
                <w:szCs w:val="20"/>
                <w:color w:val="auto"/>
              </w:rPr>
            </w:pPr>
            <w:r>
              <w:rPr>
                <w:rFonts w:ascii="Times New Roman" w:cs="Times New Roman" w:eastAsia="Times New Roman" w:hAnsi="Times New Roman"/>
                <w:sz w:val="16"/>
                <w:szCs w:val="16"/>
                <w:color w:val="auto"/>
                <w:w w:val="99"/>
              </w:rPr>
              <w:t>43,985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13,447</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bottom w:val="single" w:sz="8" w:color="auto"/>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increased by $2.4 million or 8% in the first quarter of 2026 compared to the same period last year, primarily due to an increase in net interest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a decrease in the provision for credit losses. This was partially offset by an increase in noninterest expense. Net interest income increased by</w:t>
      </w:r>
    </w:p>
    <w:p>
      <w:pPr>
        <w:spacing w:after="0" w:line="234" w:lineRule="auto"/>
        <w:rPr>
          <w:sz w:val="20"/>
          <w:szCs w:val="20"/>
          <w:color w:val="auto"/>
        </w:rPr>
      </w:pPr>
      <w:r>
        <w:rPr>
          <w:rFonts w:ascii="Times New Roman" w:cs="Times New Roman" w:eastAsia="Times New Roman" w:hAnsi="Times New Roman"/>
          <w:sz w:val="18"/>
          <w:szCs w:val="18"/>
          <w:color w:val="auto"/>
        </w:rPr>
        <w:t>$10.7 million or 11%, primarily due to higher deposit spreads on higher deposit balances. The provision for credit losses decreased by $0.6 million or 18%,</w:t>
      </w:r>
    </w:p>
    <w:p>
      <w:pPr>
        <w:spacing w:after="0" w:line="235" w:lineRule="auto"/>
        <w:rPr>
          <w:sz w:val="20"/>
          <w:szCs w:val="20"/>
          <w:color w:val="auto"/>
        </w:rPr>
      </w:pPr>
      <w:r>
        <w:rPr>
          <w:rFonts w:ascii="Times New Roman" w:cs="Times New Roman" w:eastAsia="Times New Roman" w:hAnsi="Times New Roman"/>
          <w:sz w:val="18"/>
          <w:szCs w:val="18"/>
          <w:color w:val="auto"/>
        </w:rPr>
        <w:t>primarily due to lower net charge-offs in the auto loan portfolio. Noninterest expense increased by $7.9 million or 9%, primarily due to higher allocated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and support unit costs and higher salaries &amp; benefits expense.</w:t>
      </w:r>
    </w:p>
    <w:p>
      <w:pPr>
        <w:sectPr>
          <w:pgSz w:w="11900" w:h="16838" w:orient="portrait"/>
          <w:cols w:equalWidth="0" w:num="1">
            <w:col w:w="11240"/>
          </w:cols>
          <w:pgMar w:left="320" w:top="117"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18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Net income increased by $7.4 million or 23% in the first quarter of 2026 compared to the same period last year, primarily due to an increase in net interest income and a decrease in noninterest expense, partially offset by a decrease in noninterest income. Net interest income increased by $8.1 million or 15%, primarily due to higher average deposit balances and spreads, which increased segment net interest income under our funds transfer pricing methodology, partially offset by lower loan balances. Noninterest income decreased by $3.5 million or 46%, primarily due to a reduction in merchant revenue following the sale of the Bank’s merchant services portfolio in the fourth quarter of 2025, lower loan and commitment fees, and reduced gains on sale of leased assets, partially offset by an increase in account analysis fees. Noninterest expense decreased by $2.9 million or 15%, primarily due to lower merchant transaction processing fees, salaries and benefits, equipment expenses, and allocated administrative, support unit and treasury expenses, partially offset by increases in data processing, customer derivative broker charges, and allocated branch expenses.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17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Net loss decreased by $3.6 million or 21% in the first quarter of 2026 compared to the same period last year, primarily due to a decrease in net interest expense and an increase in noninterest income, partially offset by an increase in the provision for credit losses and an increase in noninterest expense. Net interest expense decreased by $6.4 million or 25%, primarily due to an increase in interest income from higher earning asset balances and yields. Noninterest income increased by $0.9 million or 30%, primarily due to an increase in BOLI and COLI income and a decrease in investment securities losses. Noninterest expense increased by $0.6 million or 14%, primarily due to higher salaries and benefits expense. The provision for credit losses and income taxes in this business segment represents the residual amounts to arrive at the total amount for the Company.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Risk Profile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0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We actively manage exposures with deteriorating asset quality to reduce levels of potential loss exposure and closely monitor our reserves and capital to address both anticipated and unforeseen issues. Risk management activities include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 and Accruing Loans and Leases Past Due 90 Days or More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15 presents information on NPAs and accruing loans and leases past due 90 days or more.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Non-Performing Assets and Accruing Loans and Leases Past Due 90 Days or More</w:t>
            </w:r>
          </w:p>
        </w:tc>
        <w:tc>
          <w:tcPr>
            <w:tcW w:w="1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15</w:t>
            </w:r>
          </w:p>
        </w:tc>
        <w:tc>
          <w:tcPr>
            <w:tcW w:w="0" w:type="dxa"/>
            <w:vAlign w:val="bottom"/>
          </w:tcPr>
          <w:p>
            <w:pPr>
              <w:spacing w:after="0"/>
              <w:rPr>
                <w:sz w:val="1"/>
                <w:szCs w:val="1"/>
                <w:color w:val="auto"/>
              </w:rPr>
            </w:pPr>
          </w:p>
        </w:tc>
      </w:tr>
      <w:tr>
        <w:trPr>
          <w:trHeight w:val="19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Pr>
          <w:p>
            <w:pPr>
              <w:spacing w:after="0"/>
              <w:rPr>
                <w:sz w:val="16"/>
                <w:szCs w:val="16"/>
                <w:color w:val="auto"/>
              </w:rPr>
            </w:pPr>
          </w:p>
        </w:tc>
        <w:tc>
          <w:tcPr>
            <w:tcW w:w="150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6"/>
                <w:szCs w:val="16"/>
                <w:color w:val="auto"/>
              </w:rPr>
            </w:pPr>
          </w:p>
        </w:tc>
        <w:tc>
          <w:tcPr>
            <w:tcW w:w="168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40" w:type="dxa"/>
            <w:vAlign w:val="bottom"/>
          </w:tcPr>
          <w:p>
            <w:pPr>
              <w:spacing w:after="0"/>
              <w:rPr>
                <w:sz w:val="16"/>
                <w:szCs w:val="16"/>
                <w:color w:val="auto"/>
              </w:rPr>
            </w:pPr>
          </w:p>
        </w:tc>
        <w:tc>
          <w:tcPr>
            <w:tcW w:w="146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Non-Performing Assets</w:t>
            </w:r>
          </w:p>
        </w:tc>
        <w:tc>
          <w:tcPr>
            <w:tcW w:w="4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Non-Accrual Loans and Leases</w:t>
            </w: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Commercial</w:t>
            </w:r>
          </w:p>
        </w:tc>
        <w:tc>
          <w:tcPr>
            <w:tcW w:w="4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Commercial Mortgage</w:t>
            </w:r>
          </w:p>
        </w:tc>
        <w:tc>
          <w:tcPr>
            <w:tcW w:w="42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2,085</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(2,085)</w:t>
            </w: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1,860</w:t>
            </w: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1,940</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(80)</w:t>
            </w:r>
          </w:p>
        </w:tc>
        <w:tc>
          <w:tcPr>
            <w:tcW w:w="0" w:type="dxa"/>
            <w:vAlign w:val="bottom"/>
          </w:tcPr>
          <w:p>
            <w:pPr>
              <w:spacing w:after="0"/>
              <w:rPr>
                <w:sz w:val="1"/>
                <w:szCs w:val="1"/>
                <w:color w:val="auto"/>
              </w:rPr>
            </w:pPr>
          </w:p>
        </w:tc>
      </w:tr>
      <w:tr>
        <w:trPr>
          <w:trHeight w:val="202"/>
        </w:trPr>
        <w:tc>
          <w:tcPr>
            <w:tcW w:w="5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Total Commercial</w:t>
            </w:r>
          </w:p>
        </w:tc>
        <w:tc>
          <w:tcPr>
            <w:tcW w:w="4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1,860</w:t>
            </w: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4,025</w:t>
            </w: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(2,165)</w:t>
            </w: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Consumer</w:t>
            </w:r>
          </w:p>
        </w:tc>
        <w:tc>
          <w:tcPr>
            <w:tcW w:w="4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Residential Mortgage</w:t>
            </w:r>
          </w:p>
        </w:tc>
        <w:tc>
          <w:tcPr>
            <w:tcW w:w="420" w:type="dxa"/>
            <w:vAlign w:val="bottom"/>
          </w:tcPr>
          <w:p>
            <w:pPr>
              <w:spacing w:after="0"/>
              <w:rPr>
                <w:sz w:val="18"/>
                <w:szCs w:val="18"/>
                <w:color w:val="auto"/>
              </w:rPr>
            </w:pPr>
          </w:p>
        </w:tc>
        <w:tc>
          <w:tcPr>
            <w:tcW w:w="1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5,410</w:t>
            </w:r>
          </w:p>
        </w:tc>
        <w:tc>
          <w:tcPr>
            <w:tcW w:w="320" w:type="dxa"/>
            <w:vAlign w:val="bottom"/>
          </w:tcPr>
          <w:p>
            <w:pPr>
              <w:spacing w:after="0"/>
              <w:rPr>
                <w:sz w:val="18"/>
                <w:szCs w:val="18"/>
                <w:color w:val="auto"/>
              </w:rPr>
            </w:pPr>
          </w:p>
        </w:tc>
        <w:tc>
          <w:tcPr>
            <w:tcW w:w="16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5,382</w:t>
            </w:r>
          </w:p>
        </w:tc>
        <w:tc>
          <w:tcPr>
            <w:tcW w:w="440" w:type="dxa"/>
            <w:vAlign w:val="bottom"/>
          </w:tcPr>
          <w:p>
            <w:pPr>
              <w:spacing w:after="0"/>
              <w:rPr>
                <w:sz w:val="18"/>
                <w:szCs w:val="18"/>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28</w:t>
            </w: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Home Equity</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4,525</w:t>
            </w: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4,469</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202"/>
        </w:trPr>
        <w:tc>
          <w:tcPr>
            <w:tcW w:w="5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5"/>
                <w:szCs w:val="15"/>
                <w:color w:val="auto"/>
              </w:rPr>
              <w:t>Total Consumer</w:t>
            </w:r>
          </w:p>
        </w:tc>
        <w:tc>
          <w:tcPr>
            <w:tcW w:w="4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9,935</w:t>
            </w: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9,851</w:t>
            </w: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Non-Accrual Loans and Leases</w:t>
            </w:r>
          </w:p>
        </w:tc>
        <w:tc>
          <w:tcPr>
            <w:tcW w:w="4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11,795</w:t>
            </w: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13,876</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(2,081)</w:t>
            </w:r>
          </w:p>
        </w:tc>
        <w:tc>
          <w:tcPr>
            <w:tcW w:w="0" w:type="dxa"/>
            <w:vAlign w:val="bottom"/>
          </w:tcPr>
          <w:p>
            <w:pPr>
              <w:spacing w:after="0"/>
              <w:rPr>
                <w:sz w:val="1"/>
                <w:szCs w:val="1"/>
                <w:color w:val="auto"/>
              </w:rPr>
            </w:pPr>
          </w:p>
        </w:tc>
      </w:tr>
      <w:tr>
        <w:trPr>
          <w:trHeight w:val="201"/>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Foreclosed Real Estate</w:t>
            </w:r>
          </w:p>
        </w:tc>
        <w:tc>
          <w:tcPr>
            <w:tcW w:w="4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295</w:t>
            </w: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295</w:t>
            </w: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Non-Performing Assets</w:t>
            </w:r>
          </w:p>
        </w:tc>
        <w:tc>
          <w:tcPr>
            <w:tcW w:w="42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12,090</w:t>
            </w:r>
          </w:p>
        </w:tc>
        <w:tc>
          <w:tcPr>
            <w:tcW w:w="3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14,171</w:t>
            </w:r>
          </w:p>
        </w:tc>
        <w:tc>
          <w:tcPr>
            <w:tcW w:w="44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(2,081)</w:t>
            </w:r>
          </w:p>
        </w:tc>
        <w:tc>
          <w:tcPr>
            <w:tcW w:w="0" w:type="dxa"/>
            <w:vAlign w:val="bottom"/>
          </w:tcPr>
          <w:p>
            <w:pPr>
              <w:spacing w:after="0"/>
              <w:rPr>
                <w:sz w:val="1"/>
                <w:szCs w:val="1"/>
                <w:color w:val="auto"/>
              </w:rPr>
            </w:pP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Accruing Loans and Leases Past Due 90 Days or More</w:t>
            </w: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4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Residential Mortgage</w:t>
            </w:r>
          </w:p>
        </w:tc>
        <w:tc>
          <w:tcPr>
            <w:tcW w:w="42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10,733</w:t>
            </w: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8,834</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1,899</w:t>
            </w: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Home Equity</w:t>
            </w:r>
          </w:p>
        </w:tc>
        <w:tc>
          <w:tcPr>
            <w:tcW w:w="4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1,556</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2,152</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(596)</w:t>
            </w:r>
          </w:p>
        </w:tc>
        <w:tc>
          <w:tcPr>
            <w:tcW w:w="0" w:type="dxa"/>
            <w:vAlign w:val="bottom"/>
          </w:tcPr>
          <w:p>
            <w:pPr>
              <w:spacing w:after="0"/>
              <w:rPr>
                <w:sz w:val="1"/>
                <w:szCs w:val="1"/>
                <w:color w:val="auto"/>
              </w:rPr>
            </w:pPr>
          </w:p>
        </w:tc>
      </w:tr>
      <w:tr>
        <w:trPr>
          <w:trHeight w:val="208"/>
        </w:trPr>
        <w:tc>
          <w:tcPr>
            <w:tcW w:w="5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Automobile</w:t>
            </w:r>
          </w:p>
        </w:tc>
        <w:tc>
          <w:tcPr>
            <w:tcW w:w="420" w:type="dxa"/>
            <w:vAlign w:val="bottom"/>
          </w:tcPr>
          <w:p>
            <w:pPr>
              <w:spacing w:after="0"/>
              <w:rPr>
                <w:sz w:val="18"/>
                <w:szCs w:val="18"/>
                <w:color w:val="auto"/>
              </w:rPr>
            </w:pPr>
          </w:p>
        </w:tc>
        <w:tc>
          <w:tcPr>
            <w:tcW w:w="1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672</w:t>
            </w:r>
          </w:p>
        </w:tc>
        <w:tc>
          <w:tcPr>
            <w:tcW w:w="320" w:type="dxa"/>
            <w:vAlign w:val="bottom"/>
          </w:tcPr>
          <w:p>
            <w:pPr>
              <w:spacing w:after="0"/>
              <w:rPr>
                <w:sz w:val="18"/>
                <w:szCs w:val="18"/>
                <w:color w:val="auto"/>
              </w:rPr>
            </w:pPr>
          </w:p>
        </w:tc>
        <w:tc>
          <w:tcPr>
            <w:tcW w:w="16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520</w:t>
            </w:r>
          </w:p>
        </w:tc>
        <w:tc>
          <w:tcPr>
            <w:tcW w:w="440" w:type="dxa"/>
            <w:vAlign w:val="bottom"/>
          </w:tcPr>
          <w:p>
            <w:pPr>
              <w:spacing w:after="0"/>
              <w:rPr>
                <w:sz w:val="18"/>
                <w:szCs w:val="18"/>
                <w:color w:val="auto"/>
              </w:rPr>
            </w:pP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152</w:t>
            </w: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764</w:t>
            </w: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753</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1"/>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Consumer</w:t>
            </w:r>
          </w:p>
        </w:tc>
        <w:tc>
          <w:tcPr>
            <w:tcW w:w="4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13,725</w:t>
            </w:r>
          </w:p>
        </w:tc>
        <w:tc>
          <w:tcPr>
            <w:tcW w:w="3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12,259</w:t>
            </w: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1,466</w:t>
            </w: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Accruing Loans and Leases Past Due 90 Days or More</w:t>
            </w:r>
          </w:p>
        </w:tc>
        <w:tc>
          <w:tcPr>
            <w:tcW w:w="42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13,725</w:t>
            </w:r>
          </w:p>
        </w:tc>
        <w:tc>
          <w:tcPr>
            <w:tcW w:w="3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12,259</w:t>
            </w:r>
          </w:p>
        </w:tc>
        <w:tc>
          <w:tcPr>
            <w:tcW w:w="44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1,466</w:t>
            </w:r>
          </w:p>
        </w:tc>
        <w:tc>
          <w:tcPr>
            <w:tcW w:w="0" w:type="dxa"/>
            <w:vAlign w:val="bottom"/>
          </w:tcPr>
          <w:p>
            <w:pPr>
              <w:spacing w:after="0"/>
              <w:rPr>
                <w:sz w:val="1"/>
                <w:szCs w:val="1"/>
                <w:color w:val="auto"/>
              </w:rPr>
            </w:pP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Loans and Leases</w:t>
            </w:r>
          </w:p>
        </w:tc>
        <w:tc>
          <w:tcPr>
            <w:tcW w:w="42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14,192,811</w:t>
            </w:r>
          </w:p>
        </w:tc>
        <w:tc>
          <w:tcPr>
            <w:tcW w:w="3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68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14,082,050</w:t>
            </w:r>
          </w:p>
        </w:tc>
        <w:tc>
          <w:tcPr>
            <w:tcW w:w="4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110,761</w:t>
            </w: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Ratio of Non-Accrual Loans and Leases to Total Loans and Leases</w:t>
            </w:r>
          </w:p>
        </w:tc>
        <w:tc>
          <w:tcPr>
            <w:tcW w:w="42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0.08 %</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0.10 %</w:t>
            </w: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(0.02)%</w:t>
            </w:r>
          </w:p>
        </w:tc>
        <w:tc>
          <w:tcPr>
            <w:tcW w:w="0" w:type="dxa"/>
            <w:vAlign w:val="bottom"/>
          </w:tcPr>
          <w:p>
            <w:pPr>
              <w:spacing w:after="0"/>
              <w:rPr>
                <w:sz w:val="1"/>
                <w:szCs w:val="1"/>
                <w:color w:val="auto"/>
              </w:rPr>
            </w:pPr>
          </w:p>
        </w:tc>
      </w:tr>
      <w:tr>
        <w:trPr>
          <w:trHeight w:val="208"/>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Ratio of Non-Performing Assets to Total Loans and Leases and Foreclosed Real Estate</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0.09 %</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0.10 %</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Ratio of Non-Performing Assets to Total Assets</w:t>
            </w:r>
          </w:p>
        </w:tc>
        <w:tc>
          <w:tcPr>
            <w:tcW w:w="4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0.05 %</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0.06 %</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199"/>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Ratio of Commercial Non-Performing Assets to Total Commercial Loans and Leases</w:t>
            </w:r>
          </w:p>
        </w:tc>
        <w:tc>
          <w:tcPr>
            <w:tcW w:w="420" w:type="dxa"/>
            <w:vAlign w:val="bottom"/>
          </w:tcPr>
          <w:p>
            <w:pPr>
              <w:spacing w:after="0"/>
              <w:rPr>
                <w:sz w:val="17"/>
                <w:szCs w:val="17"/>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0.03 %</w:t>
            </w:r>
          </w:p>
        </w:tc>
        <w:tc>
          <w:tcPr>
            <w:tcW w:w="320" w:type="dxa"/>
            <w:vAlign w:val="bottom"/>
          </w:tcPr>
          <w:p>
            <w:pPr>
              <w:spacing w:after="0"/>
              <w:rPr>
                <w:sz w:val="17"/>
                <w:szCs w:val="17"/>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0.07 %</w:t>
            </w:r>
          </w:p>
        </w:tc>
        <w:tc>
          <w:tcPr>
            <w:tcW w:w="44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 Commercial Foreclosed Real Estate</w:t>
            </w:r>
          </w:p>
        </w:tc>
        <w:tc>
          <w:tcPr>
            <w:tcW w:w="4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Ratio of Consumer Non-Performing Assets to Total Consumer Loans and Leases and</w:t>
            </w:r>
          </w:p>
        </w:tc>
        <w:tc>
          <w:tcPr>
            <w:tcW w:w="4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0.13 %</w:t>
            </w:r>
          </w:p>
        </w:tc>
        <w:tc>
          <w:tcPr>
            <w:tcW w:w="32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0.13 %</w:t>
            </w:r>
          </w:p>
        </w:tc>
        <w:tc>
          <w:tcPr>
            <w:tcW w:w="44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0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Consumer Foreclosed Real Estate</w:t>
            </w:r>
          </w:p>
        </w:tc>
        <w:tc>
          <w:tcPr>
            <w:tcW w:w="4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vMerge w:val="continue"/>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vMerge w:val="continue"/>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Ratio of Non-Performing Assets and Accruing Loans and Leases Past Due 90 Days or</w:t>
            </w:r>
          </w:p>
        </w:tc>
        <w:tc>
          <w:tcPr>
            <w:tcW w:w="420" w:type="dxa"/>
            <w:vAlign w:val="bottom"/>
          </w:tcPr>
          <w:p>
            <w:pPr>
              <w:spacing w:after="0"/>
              <w:rPr>
                <w:sz w:val="17"/>
                <w:szCs w:val="17"/>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0.18 %</w:t>
            </w:r>
          </w:p>
        </w:tc>
        <w:tc>
          <w:tcPr>
            <w:tcW w:w="320" w:type="dxa"/>
            <w:vAlign w:val="bottom"/>
          </w:tcPr>
          <w:p>
            <w:pPr>
              <w:spacing w:after="0"/>
              <w:rPr>
                <w:sz w:val="17"/>
                <w:szCs w:val="17"/>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0.19 %</w:t>
            </w:r>
          </w:p>
        </w:tc>
        <w:tc>
          <w:tcPr>
            <w:tcW w:w="44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More to Total Loans and Leases and Foreclosed Real Estate</w:t>
            </w:r>
          </w:p>
        </w:tc>
        <w:tc>
          <w:tcPr>
            <w:tcW w:w="4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Changes in Non-Performing Assets</w:t>
            </w:r>
          </w:p>
        </w:tc>
        <w:tc>
          <w:tcPr>
            <w:tcW w:w="4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2025</w:t>
            </w:r>
          </w:p>
        </w:tc>
        <w:tc>
          <w:tcPr>
            <w:tcW w:w="42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14,171</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w:t>
            </w:r>
            <w:r>
              <w:rPr>
                <w:rFonts w:ascii="Times New Roman" w:cs="Times New Roman" w:eastAsia="Times New Roman" w:hAnsi="Times New Roman"/>
                <w:sz w:val="19"/>
                <w:szCs w:val="19"/>
                <w:color w:val="auto"/>
                <w:vertAlign w:val="superscript"/>
              </w:rPr>
              <w:t>1</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1,010</w:t>
            </w: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Reductions</w:t>
            </w: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Payments</w:t>
            </w:r>
          </w:p>
        </w:tc>
        <w:tc>
          <w:tcPr>
            <w:tcW w:w="4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(2,744)</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Return to Accrual Status</w:t>
            </w:r>
          </w:p>
        </w:tc>
        <w:tc>
          <w:tcPr>
            <w:tcW w:w="420" w:type="dxa"/>
            <w:vAlign w:val="bottom"/>
          </w:tcPr>
          <w:p>
            <w:pPr>
              <w:spacing w:after="0"/>
              <w:rPr>
                <w:sz w:val="18"/>
                <w:szCs w:val="18"/>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(341)</w:t>
            </w: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Charge-offs/Write-downs</w:t>
            </w:r>
            <w:r>
              <w:rPr>
                <w:rFonts w:ascii="Times New Roman" w:cs="Times New Roman" w:eastAsia="Times New Roman" w:hAnsi="Times New Roman"/>
                <w:sz w:val="19"/>
                <w:szCs w:val="19"/>
                <w:color w:val="auto"/>
                <w:vertAlign w:val="superscript"/>
              </w:rPr>
              <w:t>1</w:t>
            </w:r>
          </w:p>
        </w:tc>
        <w:tc>
          <w:tcPr>
            <w:tcW w:w="4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(6)</w:t>
            </w: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Reductions</w:t>
            </w:r>
          </w:p>
        </w:tc>
        <w:tc>
          <w:tcPr>
            <w:tcW w:w="420" w:type="dxa"/>
            <w:vAlign w:val="bottom"/>
          </w:tcPr>
          <w:p>
            <w:pPr>
              <w:spacing w:after="0"/>
              <w:rPr>
                <w:sz w:val="17"/>
                <w:szCs w:val="17"/>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(3,091)</w:t>
            </w: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6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2026</w:t>
            </w:r>
          </w:p>
        </w:tc>
        <w:tc>
          <w:tcPr>
            <w:tcW w:w="42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12,090</w:t>
            </w:r>
          </w:p>
        </w:tc>
        <w:tc>
          <w:tcPr>
            <w:tcW w:w="3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400" w:hanging="392"/>
        <w:spacing w:after="0"/>
        <w:tabs>
          <w:tab w:leader="none" w:pos="40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loans that are fully charged-off and placed on non-accrual status during the same period.</w:t>
      </w:r>
    </w:p>
    <w:p>
      <w:pPr>
        <w:spacing w:after="0" w:line="16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NPAs consist of non-accrual loans and leases and foreclosed real estate. Changes in the level of non-accrual loans and leases typically are caused by loans and leases that reach a specified past due status, offset by reductions for loans and leases that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are charged-off, written down, paid down, sold, transferred to foreclosed real estate, or are no longer classified as non-accrual because they have returned to accrual status.</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Non-accrual loans and leases as of March 31, 2026 were $11.8 million, a decrease of $2.1 million or 15% from December 31, 2025 primarily due to a $2.1 million payoff of a commercial mortgage in the first quarter of 2026. As of March 31, 2026, our residential mortgage non-accrual loans were comprised of 16 loans with a weighted average current loan-to-value ratio of 69%. As of March 31, 2026, our home equity non-accrual loans were comprised of 55 loans with a weighted average current loan-to-value ratio of 42%.</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was $0.3 million as of March 31, 2026 and December 31,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 Past Due 90 Days or More and Still Accruing Interest</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Loans and leases past due 90 days or more and still accruing interest were $13.7 million as of March 31, 2026, a $1.5 million or 12% increase from December 31, 2025. The increase was primarily in our residential mortgage portfolio, partially offset by a decrease in our home equity portfolio. This category includes loans and leases that are well-secured and in the process of collection, as well as loans and leases that have not reached the specified past due status to be placed on non-accrual.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Credit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presents the activity in our reserve for credit losses.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Reserve for Credit Losses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16</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4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58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360" w:type="dxa"/>
            <w:vAlign w:val="bottom"/>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58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148,403</w:t>
            </w:r>
          </w:p>
        </w:tc>
        <w:tc>
          <w:tcPr>
            <w:tcW w:w="4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150,649</w:t>
            </w:r>
          </w:p>
        </w:tc>
        <w:tc>
          <w:tcPr>
            <w:tcW w:w="0" w:type="dxa"/>
            <w:vAlign w:val="bottom"/>
          </w:tcPr>
          <w:p>
            <w:pPr>
              <w:spacing w:after="0"/>
              <w:rPr>
                <w:sz w:val="1"/>
                <w:szCs w:val="1"/>
                <w:color w:val="auto"/>
              </w:rPr>
            </w:pPr>
          </w:p>
        </w:tc>
      </w:tr>
      <w:tr>
        <w:trPr>
          <w:trHeight w:val="23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 w:type="dxa"/>
            <w:vAlign w:val="bottom"/>
            <w:shd w:val="clear" w:color="auto" w:fill="CCEEFF"/>
          </w:tcPr>
          <w:p>
            <w:pPr>
              <w:spacing w:after="0"/>
              <w:rPr>
                <w:sz w:val="21"/>
                <w:szCs w:val="21"/>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Commercial</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20" w:type="dxa"/>
            <w:vAlign w:val="bottom"/>
          </w:tcPr>
          <w:p>
            <w:pPr>
              <w:spacing w:after="0"/>
              <w:rPr>
                <w:sz w:val="20"/>
                <w:szCs w:val="20"/>
                <w:color w:val="auto"/>
              </w:rPr>
            </w:pP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(230)</w:t>
            </w:r>
          </w:p>
        </w:tc>
        <w:tc>
          <w:tcPr>
            <w:tcW w:w="4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(1,399)</w:t>
            </w:r>
          </w:p>
        </w:tc>
        <w:tc>
          <w:tcPr>
            <w:tcW w:w="0" w:type="dxa"/>
            <w:vAlign w:val="bottom"/>
          </w:tcPr>
          <w:p>
            <w:pPr>
              <w:spacing w:after="0"/>
              <w:rPr>
                <w:sz w:val="1"/>
                <w:szCs w:val="1"/>
                <w:color w:val="auto"/>
              </w:rPr>
            </w:pPr>
          </w:p>
        </w:tc>
      </w:tr>
      <w:tr>
        <w:trPr>
          <w:trHeight w:val="253"/>
        </w:trPr>
        <w:tc>
          <w:tcPr>
            <w:tcW w:w="120" w:type="dxa"/>
            <w:vAlign w:val="bottom"/>
            <w:shd w:val="clear" w:color="auto" w:fill="CCEEFF"/>
          </w:tcPr>
          <w:p>
            <w:pPr>
              <w:spacing w:after="0"/>
              <w:rPr>
                <w:sz w:val="21"/>
                <w:szCs w:val="21"/>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Consumer</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Mortgage</w:t>
            </w:r>
          </w:p>
        </w:tc>
        <w:tc>
          <w:tcPr>
            <w:tcW w:w="420" w:type="dxa"/>
            <w:vAlign w:val="bottom"/>
          </w:tcPr>
          <w:p>
            <w:pPr>
              <w:spacing w:after="0"/>
              <w:rPr>
                <w:sz w:val="20"/>
                <w:szCs w:val="20"/>
                <w:color w:val="auto"/>
              </w:rPr>
            </w:pP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w:t>
            </w:r>
          </w:p>
        </w:tc>
        <w:tc>
          <w:tcPr>
            <w:tcW w:w="46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120" w:type="dxa"/>
            <w:vAlign w:val="bottom"/>
            <w:shd w:val="clear" w:color="auto" w:fill="CCEEFF"/>
          </w:tcPr>
          <w:p>
            <w:pPr>
              <w:spacing w:after="0"/>
              <w:rPr>
                <w:sz w:val="21"/>
                <w:szCs w:val="21"/>
                <w:color w:val="auto"/>
              </w:rPr>
            </w:pPr>
          </w:p>
        </w:tc>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Equity</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Automobile</w:t>
            </w:r>
          </w:p>
        </w:tc>
        <w:tc>
          <w:tcPr>
            <w:tcW w:w="420" w:type="dxa"/>
            <w:vAlign w:val="bottom"/>
          </w:tcPr>
          <w:p>
            <w:pPr>
              <w:spacing w:after="0"/>
              <w:rPr>
                <w:sz w:val="20"/>
                <w:szCs w:val="20"/>
                <w:color w:val="auto"/>
              </w:rPr>
            </w:pPr>
          </w:p>
        </w:tc>
        <w:tc>
          <w:tcPr>
            <w:tcW w:w="14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(1,417)</w:t>
            </w:r>
          </w:p>
        </w:tc>
        <w:tc>
          <w:tcPr>
            <w:tcW w:w="46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(1,751)</w:t>
            </w:r>
          </w:p>
        </w:tc>
        <w:tc>
          <w:tcPr>
            <w:tcW w:w="0" w:type="dxa"/>
            <w:vAlign w:val="bottom"/>
          </w:tcPr>
          <w:p>
            <w:pPr>
              <w:spacing w:after="0"/>
              <w:rPr>
                <w:sz w:val="1"/>
                <w:szCs w:val="1"/>
                <w:color w:val="auto"/>
              </w:rPr>
            </w:pPr>
          </w:p>
        </w:tc>
      </w:tr>
      <w:tr>
        <w:trPr>
          <w:trHeight w:val="246"/>
        </w:trPr>
        <w:tc>
          <w:tcPr>
            <w:tcW w:w="120" w:type="dxa"/>
            <w:vAlign w:val="bottom"/>
            <w:tcBorders>
              <w:bottom w:val="single" w:sz="8" w:color="auto"/>
            </w:tcBorders>
            <w:shd w:val="clear" w:color="auto" w:fill="CCEEFF"/>
          </w:tcPr>
          <w:p>
            <w:pPr>
              <w:spacing w:after="0"/>
              <w:rPr>
                <w:sz w:val="21"/>
                <w:szCs w:val="21"/>
                <w:color w:val="auto"/>
              </w:rPr>
            </w:pPr>
          </w:p>
        </w:tc>
        <w:tc>
          <w:tcPr>
            <w:tcW w:w="74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(2,394)</w:t>
            </w:r>
          </w:p>
        </w:tc>
        <w:tc>
          <w:tcPr>
            <w:tcW w:w="4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(2,484)</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 Charged-Off</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(4,062)</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(5,709)</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Commercial</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 w:type="dxa"/>
            <w:vAlign w:val="bottom"/>
            <w:shd w:val="clear" w:color="auto" w:fill="CCEEFF"/>
          </w:tcPr>
          <w:p>
            <w:pPr>
              <w:spacing w:after="0"/>
              <w:rPr>
                <w:sz w:val="21"/>
                <w:szCs w:val="21"/>
                <w:color w:val="auto"/>
              </w:rPr>
            </w:pPr>
          </w:p>
        </w:tc>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Mortgage</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1,617</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20" w:type="dxa"/>
            <w:vAlign w:val="bottom"/>
          </w:tcPr>
          <w:p>
            <w:pPr>
              <w:spacing w:after="0"/>
              <w:rPr>
                <w:sz w:val="20"/>
                <w:szCs w:val="20"/>
                <w:color w:val="auto"/>
              </w:rPr>
            </w:pP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53</w:t>
            </w:r>
          </w:p>
        </w:tc>
        <w:tc>
          <w:tcPr>
            <w:tcW w:w="46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53"/>
        </w:trPr>
        <w:tc>
          <w:tcPr>
            <w:tcW w:w="120" w:type="dxa"/>
            <w:vAlign w:val="bottom"/>
            <w:shd w:val="clear" w:color="auto" w:fill="CCEEFF"/>
          </w:tcPr>
          <w:p>
            <w:pPr>
              <w:spacing w:after="0"/>
              <w:rPr>
                <w:sz w:val="21"/>
                <w:szCs w:val="21"/>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Consumer</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Mortgage</w:t>
            </w:r>
          </w:p>
        </w:tc>
        <w:tc>
          <w:tcPr>
            <w:tcW w:w="420" w:type="dxa"/>
            <w:vAlign w:val="bottom"/>
          </w:tcPr>
          <w:p>
            <w:pPr>
              <w:spacing w:after="0"/>
              <w:rPr>
                <w:sz w:val="20"/>
                <w:szCs w:val="20"/>
                <w:color w:val="auto"/>
              </w:rPr>
            </w:pP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11</w:t>
            </w:r>
          </w:p>
        </w:tc>
        <w:tc>
          <w:tcPr>
            <w:tcW w:w="46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53"/>
        </w:trPr>
        <w:tc>
          <w:tcPr>
            <w:tcW w:w="120" w:type="dxa"/>
            <w:vAlign w:val="bottom"/>
            <w:shd w:val="clear" w:color="auto" w:fill="CCEEFF"/>
          </w:tcPr>
          <w:p>
            <w:pPr>
              <w:spacing w:after="0"/>
              <w:rPr>
                <w:sz w:val="21"/>
                <w:szCs w:val="21"/>
                <w:color w:val="auto"/>
              </w:rPr>
            </w:pPr>
          </w:p>
        </w:tc>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Home Equity</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137</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74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Automobile</w:t>
            </w:r>
          </w:p>
        </w:tc>
        <w:tc>
          <w:tcPr>
            <w:tcW w:w="420" w:type="dxa"/>
            <w:vAlign w:val="bottom"/>
          </w:tcPr>
          <w:p>
            <w:pPr>
              <w:spacing w:after="0"/>
              <w:rPr>
                <w:sz w:val="20"/>
                <w:szCs w:val="20"/>
                <w:color w:val="auto"/>
              </w:rPr>
            </w:pP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579</w:t>
            </w:r>
          </w:p>
        </w:tc>
        <w:tc>
          <w:tcPr>
            <w:tcW w:w="46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46"/>
        </w:trPr>
        <w:tc>
          <w:tcPr>
            <w:tcW w:w="120" w:type="dxa"/>
            <w:vAlign w:val="bottom"/>
            <w:tcBorders>
              <w:bottom w:val="single" w:sz="8" w:color="auto"/>
            </w:tcBorders>
            <w:shd w:val="clear" w:color="auto" w:fill="CCEEFF"/>
          </w:tcPr>
          <w:p>
            <w:pPr>
              <w:spacing w:after="0"/>
              <w:rPr>
                <w:sz w:val="21"/>
                <w:szCs w:val="21"/>
                <w:color w:val="auto"/>
              </w:rPr>
            </w:pPr>
          </w:p>
        </w:tc>
        <w:tc>
          <w:tcPr>
            <w:tcW w:w="74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590</w:t>
            </w:r>
          </w:p>
        </w:tc>
        <w:tc>
          <w:tcPr>
            <w:tcW w:w="4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Recoveries on Loans and Leases</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2,987</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Charged-Off - Loans and Leases</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(1,075)</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(4,403)</w:t>
            </w:r>
          </w:p>
        </w:tc>
        <w:tc>
          <w:tcPr>
            <w:tcW w:w="0" w:type="dxa"/>
            <w:vAlign w:val="bottom"/>
          </w:tcPr>
          <w:p>
            <w:pPr>
              <w:spacing w:after="0"/>
              <w:rPr>
                <w:sz w:val="1"/>
                <w:szCs w:val="1"/>
                <w:color w:val="auto"/>
              </w:rPr>
            </w:pPr>
          </w:p>
        </w:tc>
      </w:tr>
      <w:tr>
        <w:trPr>
          <w:trHeight w:val="23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20" w:type="dxa"/>
            <w:vAlign w:val="bottom"/>
            <w:shd w:val="clear" w:color="auto" w:fill="CCEEFF"/>
          </w:tcPr>
          <w:p>
            <w:pPr>
              <w:spacing w:after="0"/>
              <w:rPr>
                <w:sz w:val="21"/>
                <w:szCs w:val="21"/>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Loans and Leases</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1,271</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3,582</w:t>
            </w:r>
          </w:p>
        </w:tc>
        <w:tc>
          <w:tcPr>
            <w:tcW w:w="0" w:type="dxa"/>
            <w:vAlign w:val="bottom"/>
          </w:tcPr>
          <w:p>
            <w:pPr>
              <w:spacing w:after="0"/>
              <w:rPr>
                <w:sz w:val="1"/>
                <w:szCs w:val="1"/>
                <w:color w:val="auto"/>
              </w:rPr>
            </w:pPr>
          </w:p>
        </w:tc>
      </w:tr>
      <w:tr>
        <w:trPr>
          <w:trHeight w:val="236"/>
        </w:trPr>
        <w:tc>
          <w:tcPr>
            <w:tcW w:w="120" w:type="dxa"/>
            <w:vAlign w:val="bottom"/>
            <w:tcBorders>
              <w:bottom w:val="single" w:sz="8" w:color="auto"/>
            </w:tcBorders>
          </w:tcPr>
          <w:p>
            <w:pPr>
              <w:spacing w:after="0"/>
              <w:rPr>
                <w:sz w:val="20"/>
                <w:szCs w:val="20"/>
                <w:color w:val="auto"/>
              </w:rPr>
            </w:pPr>
          </w:p>
        </w:tc>
        <w:tc>
          <w:tcPr>
            <w:tcW w:w="7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Unfunded Commitments</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479</w:t>
            </w:r>
          </w:p>
        </w:tc>
        <w:tc>
          <w:tcPr>
            <w:tcW w:w="4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Provision for Credit Losses</w:t>
            </w: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1,750</w:t>
            </w:r>
          </w:p>
        </w:tc>
        <w:tc>
          <w:tcPr>
            <w:tcW w:w="4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3,250</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149,078</w:t>
            </w:r>
          </w:p>
        </w:tc>
        <w:tc>
          <w:tcPr>
            <w:tcW w:w="4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149,496</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Allowance for Credit Losses - Loans and Leases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146,962</w:t>
            </w:r>
          </w:p>
        </w:tc>
        <w:tc>
          <w:tcPr>
            <w:tcW w:w="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147,707</w:t>
            </w:r>
          </w:p>
        </w:tc>
        <w:tc>
          <w:tcPr>
            <w:tcW w:w="0" w:type="dxa"/>
            <w:vAlign w:val="bottom"/>
          </w:tcPr>
          <w:p>
            <w:pPr>
              <w:spacing w:after="0"/>
              <w:rPr>
                <w:sz w:val="1"/>
                <w:szCs w:val="1"/>
                <w:color w:val="auto"/>
              </w:rPr>
            </w:pPr>
          </w:p>
        </w:tc>
      </w:tr>
      <w:tr>
        <w:trPr>
          <w:trHeight w:val="246"/>
        </w:trPr>
        <w:tc>
          <w:tcPr>
            <w:tcW w:w="120" w:type="dxa"/>
            <w:vAlign w:val="bottom"/>
            <w:tcBorders>
              <w:bottom w:val="single" w:sz="8" w:color="auto"/>
            </w:tcBorders>
            <w:shd w:val="clear" w:color="auto" w:fill="CCEEFF"/>
          </w:tcPr>
          <w:p>
            <w:pPr>
              <w:spacing w:after="0"/>
              <w:rPr>
                <w:sz w:val="21"/>
                <w:szCs w:val="21"/>
                <w:color w:val="auto"/>
              </w:rPr>
            </w:pPr>
          </w:p>
        </w:tc>
        <w:tc>
          <w:tcPr>
            <w:tcW w:w="74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Reserve for Unfunded Commitments</w:t>
            </w: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2,116</w:t>
            </w:r>
          </w:p>
        </w:tc>
        <w:tc>
          <w:tcPr>
            <w:tcW w:w="4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1,789</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Reserve for Credit Losses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149,078</w:t>
            </w:r>
          </w:p>
        </w:tc>
        <w:tc>
          <w:tcPr>
            <w:tcW w:w="4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149,496</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7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75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Loans and Leases Outstanding</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14,083,875</w:t>
            </w:r>
          </w:p>
        </w:tc>
        <w:tc>
          <w:tcPr>
            <w:tcW w:w="46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14,062,173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Ratio of Net Loans and Leases Charged-Off to Average Loans and Leases Outstanding (annualized)</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0.03 %</w:t>
            </w: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0.13 %</w:t>
            </w:r>
          </w:p>
        </w:tc>
        <w:tc>
          <w:tcPr>
            <w:tcW w:w="0" w:type="dxa"/>
            <w:vAlign w:val="bottom"/>
          </w:tcPr>
          <w:p>
            <w:pPr>
              <w:spacing w:after="0"/>
              <w:rPr>
                <w:sz w:val="1"/>
                <w:szCs w:val="1"/>
                <w:color w:val="auto"/>
              </w:rPr>
            </w:pPr>
          </w:p>
        </w:tc>
      </w:tr>
      <w:tr>
        <w:trPr>
          <w:trHeight w:val="253"/>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Ratio of Allowance for Credit Losses to Loans and Leases Outstanding </w:t>
            </w:r>
            <w:r>
              <w:rPr>
                <w:rFonts w:ascii="Times New Roman" w:cs="Times New Roman" w:eastAsia="Times New Roman" w:hAnsi="Times New Roman"/>
                <w:sz w:val="21"/>
                <w:szCs w:val="21"/>
                <w:color w:val="auto"/>
                <w:vertAlign w:val="superscript"/>
              </w:rPr>
              <w:t>1</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74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The numerator comprises the Allowance for Credit Losses - Loans and Leases.</w:t>
            </w: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7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20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March 31, 2026, the Allowance was $147.0 million or 1.04% of total loans and leases outstanding compared with an Allowance of $146.8 million or 1.04% of total loans and leases outstanding as of December 31, 2025.</w:t>
      </w:r>
    </w:p>
    <w:p>
      <w:pPr>
        <w:spacing w:after="0" w:line="12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Net charge-offs on loans and leases for the three months ended March 31, 2026 and 2025 were $1.1 million or 0.03% and $4.4 million or 0.13%, respectively, of total average loans and leases on an annualized basis.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Unfunded Commitments</w:t>
      </w:r>
    </w:p>
    <w:p>
      <w:pPr>
        <w:spacing w:after="0" w:line="20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Unfunded Reserve was $2.1 million as of March 31, 2026, an increase of $0.5 million or 29% from December 31, 2025, primarily due to higher unfunded commitments in our commercial and industrial portfolio. The reserve for unfunded commitments is recorded in other liabilities in the unaudited consolidated statements of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w:t>
      </w:r>
      <w:r>
        <w:rPr>
          <w:rFonts w:ascii="Times New Roman" w:cs="Times New Roman" w:eastAsia="Times New Roman" w:hAnsi="Times New Roman"/>
          <w:sz w:val="18"/>
          <w:szCs w:val="18"/>
          <w:color w:val="0094FF"/>
        </w:rPr>
        <w:t>,</w:t>
      </w:r>
      <w:r>
        <w:rPr>
          <w:rFonts w:ascii="Times New Roman" w:cs="Times New Roman" w:eastAsia="Times New Roman" w:hAnsi="Times New Roman"/>
          <w:sz w:val="18"/>
          <w:szCs w:val="18"/>
          <w:color w:val="auto"/>
        </w:rPr>
        <w:t xml:space="preserve"> the provision for credit losses was $1.8 million, compared to $3.3 million for the same respective period last year. The decrease in the provision for credit losses was primarily due to a $1.6 million recovery of a commercial mortgage loan in the first quarter of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consolidated statements of income and condition. In this management process, we balance market risks with expected returns to enhance earnings performance while managing volatility to an acceptable level.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market risk exposure is interest rate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0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objective of our interest rate risk management process is to optimize net interest income while operating within acceptable limits. This involves balancing expected returns with potential earnings and price volatility due to changes in interest rates over short-term, medium-term, and long-term time horizons, while maintaining adequate levels of funding and liquidity. The potential cash flows, sales, or replacement value of many of our assets and liabilities, especially those that earn or pay interest, are sensitive to changes in interest rates. This interest rate risk arises primarily from our core business activities of extending loans and accepting deposits.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utilize two management guidelines to measure our interest rate risk exposure: 1) net interest income (“NII”) sensitivity, and 2) economic value of equity (“EVE”) sensitivity. NII and EVE sensitivities measure the estimated percentage change in forward looking net-interest income and economic value, respectively, under instantaneous parallel shocks of the yield curve ranging from -400 basis points to +400 basis points. We measure NII sensitivity over two successive 12-month periods to evaluate interest rate risk over short-term and medium-term time horizons. EVE sensitivity, which captures the present value of all on and off-balance sheet positions, measures interest rate risk over a long-term time horizon. The results are measured relative to established limits and early warning indicators that ensure that fluctuation in income and valuation in both up and down rate shocks remain within levels approved by the Asset and Liability Management Committee (“ALCO”) and the Board of Directors. While we recognize that instantaneous parallel shocks of the entire yield curve are unrealistic, we believe that the application of immediate shocks provides us with a sufficient range of sensitivities to frame our risk exposures. We pay particular attention to the rate shock sensitivities within the range of +/-200 basis points, as we believe this range represents the highest probability of rate movements that could occur in the near to medium term. As of March 31, 2026, we remained within applicable guidelines for such scenarios.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ALCO, which is comprised of members of executive management, utilizes several techniques to manage interest rate risk, which include:</w:t>
      </w:r>
    </w:p>
    <w:p>
      <w:pPr>
        <w:spacing w:after="0" w:line="198"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balance sheet mix or altering the interest rate characteristics of assets and liabilities;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product pricing strategies;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characteristics, including mix and duration, of the AFS investment securities portfolio;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derivative financial instruments.</w:t>
      </w:r>
    </w:p>
    <w:p>
      <w:pPr>
        <w:spacing w:after="0" w:line="11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Changes in interest rates may have a material impact on earnings and valuation due to balance sheet cash flow, maturity structure and repricing frequency. The investment portfolio and loan portfolios have significant repricing volumes and cash flows from maturities and paydowns, providing opportunities to redeploy funds in order to respond to changes in the rate environment. These assets are primarily funded by deposit balances, which generally have an indeterminate life. Historically, our deposit base consists primarily of core consumer and commercial deposit relationships. While we strive to position our</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balance sheet to organically reduce volatility in earnings and valuation, primarily through our funding and investment portfolio positioning, as well as product pricing strategies, we have also established a hedging program designed to allow us to adjust the duration of our earning assets synthetically. As of March 31, 2026, our hedging program consisted primarily of pay-fixed interest rate swaps. As interest rates change, we may use different instruments to manage interest rate risk, including caps, floors, swaptions and other commonly utilized derivative instruments. See Note 10 </w:t>
      </w:r>
      <w:r>
        <w:rPr>
          <w:rFonts w:ascii="Times New Roman" w:cs="Times New Roman" w:eastAsia="Times New Roman" w:hAnsi="Times New Roman"/>
          <w:sz w:val="18"/>
          <w:szCs w:val="18"/>
          <w:i w:val="1"/>
          <w:iCs w:val="1"/>
          <w:color w:val="auto"/>
        </w:rPr>
        <w:t>Derivative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to the unaudited Consolidated Financial Statements.</w:t>
      </w:r>
    </w:p>
    <w:p>
      <w:pPr>
        <w:spacing w:after="0" w:line="1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key element in our ongoing process to measure and monitor interest rate risk is the utilization of an asset/liability simulation model. This model attempts to capture the dynamic nature of assets and liabilities in various interest rate environments. It estimates and measures our balance sheet sensitivity to changes in interest rates. Given the structure of our balance sheet, model results are particularly sensitive to changes in prepayment rates on mortgage-related assets and the repricing behavior of interest-bearing deposits. We utilize a model to estimate the prepayment behavior of our mortgage-related assets, which considers the characteristics of the underlying mortgage loans, including rate (used to gauge refinance incentive), seasoning or age, and seasonality. The model’s forecasted results are regularly tested against historical prepayment behavior and is, in the ordinary course, recalibrated if the difference between actual and projected prepayments exceed established guidelines. Separate models are utilized to project interest-bearing deposit repricing behavior and deposit account attrition and average lives in various interest rate environments. These models were developed based upon our historical behavior over several interest rate cycles and are periodically updated. The models’ forecast results are tested against historical results and have been and may continue to be recalibrated.</w:t>
      </w:r>
    </w:p>
    <w:p>
      <w:pPr>
        <w:spacing w:after="0" w:line="1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utilize net interest income simulations to analyze short-term income sensitivities to changes in interest rates. Table 17a presents as of March 31, 2026 and December 31, 2025, an estimate of the change in net interest income over the next twelve months that would result from an immediate change in interest rates, moving in a parallel fashion over the entire yield curve, relative to the measured base case scenario. The base case scenario assumes the consolidated statements of condition and interest rates are generally unchanged.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Sensitivity Profile</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Table 17a</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Impact on Future Annual Net Interest Income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46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rPr>
              <w:t>8,747</w:t>
            </w:r>
          </w:p>
        </w:tc>
        <w:tc>
          <w:tcPr>
            <w:tcW w:w="13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1.4 %  $</w:t>
            </w:r>
          </w:p>
        </w:tc>
        <w:tc>
          <w:tcPr>
            <w:tcW w:w="17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rPr>
              <w:t>32,646</w:t>
            </w:r>
          </w:p>
        </w:tc>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5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rPr>
              <w:t>9,487</w:t>
            </w:r>
          </w:p>
        </w:tc>
        <w:tc>
          <w:tcPr>
            <w:tcW w:w="8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rPr>
              <w:t>27,489</w:t>
            </w:r>
          </w:p>
        </w:tc>
        <w:tc>
          <w:tcPr>
            <w:tcW w:w="8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60" w:type="dxa"/>
            <w:vAlign w:val="bottom"/>
          </w:tcPr>
          <w:p>
            <w:pPr>
              <w:spacing w:after="0"/>
              <w:rPr>
                <w:sz w:val="20"/>
                <w:szCs w:val="20"/>
                <w:color w:val="auto"/>
              </w:rPr>
            </w:pPr>
          </w:p>
        </w:tc>
        <w:tc>
          <w:tcPr>
            <w:tcW w:w="176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rPr>
              <w:t>8,481</w:t>
            </w:r>
          </w:p>
        </w:tc>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rPr>
              <w:t>20,696</w:t>
            </w:r>
          </w:p>
        </w:tc>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5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rPr>
              <w:t>4,901</w:t>
            </w:r>
          </w:p>
        </w:tc>
        <w:tc>
          <w:tcPr>
            <w:tcW w:w="8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6"/>
                <w:szCs w:val="16"/>
                <w:color w:val="auto"/>
              </w:rPr>
              <w:t>11,458</w:t>
            </w:r>
          </w:p>
        </w:tc>
        <w:tc>
          <w:tcPr>
            <w:tcW w:w="8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60" w:type="dxa"/>
            <w:vAlign w:val="bottom"/>
          </w:tcPr>
          <w:p>
            <w:pPr>
              <w:spacing w:after="0"/>
              <w:rPr>
                <w:sz w:val="20"/>
                <w:szCs w:val="20"/>
                <w:color w:val="auto"/>
              </w:rPr>
            </w:pPr>
          </w:p>
        </w:tc>
        <w:tc>
          <w:tcPr>
            <w:tcW w:w="17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rPr>
              <w:t>(3,115)</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rPr>
              <w:t>(8,525)</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5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rPr>
              <w:t>(9,701)</w:t>
            </w:r>
          </w:p>
        </w:tc>
        <w:tc>
          <w:tcPr>
            <w:tcW w:w="8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rPr>
              <w:t>(20,383)</w:t>
            </w:r>
          </w:p>
        </w:tc>
        <w:tc>
          <w:tcPr>
            <w:tcW w:w="8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60" w:type="dxa"/>
            <w:vAlign w:val="bottom"/>
          </w:tcPr>
          <w:p>
            <w:pPr>
              <w:spacing w:after="0"/>
              <w:rPr>
                <w:sz w:val="20"/>
                <w:szCs w:val="20"/>
                <w:color w:val="auto"/>
              </w:rPr>
            </w:pPr>
          </w:p>
        </w:tc>
        <w:tc>
          <w:tcPr>
            <w:tcW w:w="17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rPr>
              <w:t>(34,182)</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rPr>
              <w:t>(48,664)</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46"/>
        </w:trPr>
        <w:tc>
          <w:tcPr>
            <w:tcW w:w="5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rPr>
              <w:t>(72,707)</w:t>
            </w:r>
          </w:p>
        </w:tc>
        <w:tc>
          <w:tcPr>
            <w:tcW w:w="8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760"/>
              <w:spacing w:after="0"/>
              <w:rPr>
                <w:sz w:val="20"/>
                <w:szCs w:val="20"/>
                <w:color w:val="auto"/>
              </w:rPr>
            </w:pPr>
            <w:r>
              <w:rPr>
                <w:rFonts w:ascii="Times New Roman" w:cs="Times New Roman" w:eastAsia="Times New Roman" w:hAnsi="Times New Roman"/>
                <w:sz w:val="16"/>
                <w:szCs w:val="16"/>
                <w:color w:val="auto"/>
              </w:rPr>
              <w:t>(86,935)</w:t>
            </w:r>
          </w:p>
        </w:tc>
        <w:tc>
          <w:tcPr>
            <w:tcW w:w="8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Based on our net interest income simulation as of March 31, 2026, net interest income is expected to increase as interest rates rise. Rising interest rates would drive higher rates on floating rate loans, interest rate swaps and investment securities, as well as higher reinvestment rates on loan and investment securities cashflows. However, lower interest rates would likely cause an initial decline in net interest income as lower rates would lead to lower yields on loans, swaps, and investment securities, as well as drive higher premium amortization on existing investment securities. Based on our net interest income simulation as of March 31, 2026, NII sensitivity to changes in interest rates for the twelve months subsequent to March 31, 2026 declined in both rising rates and falling rates compared to the sensitivity profile for December 31, 2025. These NII sensitivity changes are attributable to balance sheet mix changes and a $300 million net reduction in the notional amount of active pay-fixed swaps, resulting in an increase in fixed rate asset exposure.</w:t>
      </w:r>
    </w:p>
    <w:p>
      <w:pPr>
        <w:spacing w:after="0" w:line="21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To alternatively analyze the impact of changes in interest rates, we also simulate non-parallel interest rate scenarios. These scenarios help to isolate the sensitivity of earnings to various points on the yield curve. Based upon our interest rate simulations, the Company is exposed to movements in both the short and long-end of the yield curve. A movement higher or lower in the short-end of the yield curve would lead to floating-rate assets immediately repricing, while liability funding would react on a lag. Thus, net interest income may decrease from the base case in the near term if short-term rates were to decrease, although would benefit if short-term rates were to increase and liabilities maintained their ability to lag market rate increases. A movement higher or lower in the long end of the yield curve would lead to assets repricing over time given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ongoing cash flows from maturities and prepayments of investment securities and loans. Net interest income may decrease from the base case should long-term rates decline from their current levels, although would benefit if long-term rates were to increase.</w:t>
      </w:r>
    </w:p>
    <w:p>
      <w:pPr>
        <w:spacing w:after="0" w:line="13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Table 17b presents an estimate of the change in EVE that would result from an immediate change in interest rates, moving in a parallel fashion over the entire yield curve, relative to the measured base case scenario. Similar to the sensitivity profile above, the base case scenario assumes the consolidated statements of condition and interest rates are generally unchanged.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Value of Equity Sensitivity Profile</w:t>
            </w: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17b</w:t>
            </w: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980" w:type="dxa"/>
            <w:vAlign w:val="bottom"/>
            <w:gridSpan w:val="5"/>
          </w:tcPr>
          <w:p>
            <w:pPr>
              <w:ind w:left="1560"/>
              <w:spacing w:after="0"/>
              <w:rPr>
                <w:sz w:val="20"/>
                <w:szCs w:val="20"/>
                <w:color w:val="auto"/>
              </w:rPr>
            </w:pPr>
            <w:r>
              <w:rPr>
                <w:rFonts w:ascii="Times New Roman" w:cs="Times New Roman" w:eastAsia="Times New Roman" w:hAnsi="Times New Roman"/>
                <w:sz w:val="14"/>
                <w:szCs w:val="14"/>
                <w:b w:val="1"/>
                <w:bCs w:val="1"/>
                <w:color w:val="auto"/>
              </w:rPr>
              <w:t>Impact on Economic Value of Equity</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44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rPr>
              <w:t>(716,862)</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(21.4)%  $</w:t>
            </w:r>
          </w:p>
        </w:tc>
        <w:tc>
          <w:tcPr>
            <w:tcW w:w="1820" w:type="dxa"/>
            <w:vAlign w:val="bottom"/>
          </w:tcPr>
          <w:p>
            <w:pPr>
              <w:jc w:val="center"/>
              <w:ind w:right="440"/>
              <w:spacing w:after="0"/>
              <w:rPr>
                <w:sz w:val="20"/>
                <w:szCs w:val="20"/>
                <w:color w:val="auto"/>
              </w:rPr>
            </w:pPr>
            <w:r>
              <w:rPr>
                <w:rFonts w:ascii="Times New Roman" w:cs="Times New Roman" w:eastAsia="Times New Roman" w:hAnsi="Times New Roman"/>
                <w:sz w:val="16"/>
                <w:szCs w:val="16"/>
                <w:color w:val="auto"/>
                <w:w w:val="98"/>
              </w:rPr>
              <w:t>(676,020)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5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4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rPr>
              <w:t>(548,121)</w:t>
            </w:r>
          </w:p>
        </w:tc>
        <w:tc>
          <w:tcPr>
            <w:tcW w:w="8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20" w:type="dxa"/>
            <w:vAlign w:val="bottom"/>
            <w:shd w:val="clear" w:color="auto" w:fill="CFF0FC"/>
          </w:tcPr>
          <w:p>
            <w:pPr>
              <w:jc w:val="center"/>
              <w:ind w:right="440"/>
              <w:spacing w:after="0"/>
              <w:rPr>
                <w:sz w:val="20"/>
                <w:szCs w:val="20"/>
                <w:color w:val="auto"/>
              </w:rPr>
            </w:pPr>
            <w:r>
              <w:rPr>
                <w:rFonts w:ascii="Times New Roman" w:cs="Times New Roman" w:eastAsia="Times New Roman" w:hAnsi="Times New Roman"/>
                <w:sz w:val="16"/>
                <w:szCs w:val="16"/>
                <w:color w:val="auto"/>
                <w:w w:val="98"/>
              </w:rPr>
              <w:t>(519,819)</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40" w:type="dxa"/>
            <w:vAlign w:val="bottom"/>
          </w:tcPr>
          <w:p>
            <w:pPr>
              <w:spacing w:after="0"/>
              <w:rPr>
                <w:sz w:val="20"/>
                <w:szCs w:val="20"/>
                <w:color w:val="auto"/>
              </w:rPr>
            </w:pPr>
          </w:p>
        </w:tc>
        <w:tc>
          <w:tcPr>
            <w:tcW w:w="182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rPr>
              <w:t>(368,772)</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jc w:val="center"/>
              <w:ind w:right="440"/>
              <w:spacing w:after="0"/>
              <w:rPr>
                <w:sz w:val="20"/>
                <w:szCs w:val="20"/>
                <w:color w:val="auto"/>
              </w:rPr>
            </w:pPr>
            <w:r>
              <w:rPr>
                <w:rFonts w:ascii="Times New Roman" w:cs="Times New Roman" w:eastAsia="Times New Roman" w:hAnsi="Times New Roman"/>
                <w:sz w:val="16"/>
                <w:szCs w:val="16"/>
                <w:color w:val="auto"/>
                <w:w w:val="98"/>
              </w:rPr>
              <w:t>(353,098)</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5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6"/>
                <w:szCs w:val="16"/>
                <w:color w:val="auto"/>
              </w:rPr>
              <w:t>(183,575)</w:t>
            </w:r>
          </w:p>
        </w:tc>
        <w:tc>
          <w:tcPr>
            <w:tcW w:w="8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20" w:type="dxa"/>
            <w:vAlign w:val="bottom"/>
            <w:shd w:val="clear" w:color="auto" w:fill="CFF0FC"/>
          </w:tcPr>
          <w:p>
            <w:pPr>
              <w:jc w:val="center"/>
              <w:ind w:right="440"/>
              <w:spacing w:after="0"/>
              <w:rPr>
                <w:sz w:val="20"/>
                <w:szCs w:val="20"/>
                <w:color w:val="auto"/>
              </w:rPr>
            </w:pPr>
            <w:r>
              <w:rPr>
                <w:rFonts w:ascii="Times New Roman" w:cs="Times New Roman" w:eastAsia="Times New Roman" w:hAnsi="Times New Roman"/>
                <w:sz w:val="16"/>
                <w:szCs w:val="16"/>
                <w:color w:val="auto"/>
                <w:w w:val="98"/>
              </w:rPr>
              <w:t>(177,928)</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tcPr>
          <w:p>
            <w:pPr>
              <w:spacing w:after="0"/>
              <w:rPr>
                <w:sz w:val="20"/>
                <w:szCs w:val="20"/>
                <w:color w:val="auto"/>
              </w:rPr>
            </w:pPr>
          </w:p>
        </w:tc>
        <w:tc>
          <w:tcPr>
            <w:tcW w:w="182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rPr>
              <w:t>198,841</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jc w:val="center"/>
              <w:ind w:right="420"/>
              <w:spacing w:after="0"/>
              <w:rPr>
                <w:sz w:val="20"/>
                <w:szCs w:val="20"/>
                <w:color w:val="auto"/>
              </w:rPr>
            </w:pPr>
            <w:r>
              <w:rPr>
                <w:rFonts w:ascii="Times New Roman" w:cs="Times New Roman" w:eastAsia="Times New Roman" w:hAnsi="Times New Roman"/>
                <w:sz w:val="16"/>
                <w:szCs w:val="16"/>
                <w:color w:val="auto"/>
                <w:w w:val="99"/>
              </w:rPr>
              <w:t>196,634</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5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4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rPr>
              <w:t>356,871</w:t>
            </w:r>
          </w:p>
        </w:tc>
        <w:tc>
          <w:tcPr>
            <w:tcW w:w="8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20" w:type="dxa"/>
            <w:vAlign w:val="bottom"/>
            <w:shd w:val="clear" w:color="auto" w:fill="CFF0FC"/>
          </w:tcPr>
          <w:p>
            <w:pPr>
              <w:jc w:val="center"/>
              <w:ind w:right="420"/>
              <w:spacing w:after="0"/>
              <w:rPr>
                <w:sz w:val="20"/>
                <w:szCs w:val="20"/>
                <w:color w:val="auto"/>
              </w:rPr>
            </w:pPr>
            <w:r>
              <w:rPr>
                <w:rFonts w:ascii="Times New Roman" w:cs="Times New Roman" w:eastAsia="Times New Roman" w:hAnsi="Times New Roman"/>
                <w:sz w:val="16"/>
                <w:szCs w:val="16"/>
                <w:color w:val="auto"/>
                <w:w w:val="99"/>
              </w:rPr>
              <w:t>356,504</w:t>
            </w: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40" w:type="dxa"/>
            <w:vAlign w:val="bottom"/>
          </w:tcPr>
          <w:p>
            <w:pPr>
              <w:spacing w:after="0"/>
              <w:rPr>
                <w:sz w:val="20"/>
                <w:szCs w:val="20"/>
                <w:color w:val="auto"/>
              </w:rPr>
            </w:pPr>
          </w:p>
        </w:tc>
        <w:tc>
          <w:tcPr>
            <w:tcW w:w="182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rPr>
              <w:t>327,536</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jc w:val="center"/>
              <w:ind w:right="420"/>
              <w:spacing w:after="0"/>
              <w:rPr>
                <w:sz w:val="20"/>
                <w:szCs w:val="20"/>
                <w:color w:val="auto"/>
              </w:rPr>
            </w:pPr>
            <w:r>
              <w:rPr>
                <w:rFonts w:ascii="Times New Roman" w:cs="Times New Roman" w:eastAsia="Times New Roman" w:hAnsi="Times New Roman"/>
                <w:sz w:val="16"/>
                <w:szCs w:val="16"/>
                <w:color w:val="auto"/>
                <w:w w:val="99"/>
              </w:rPr>
              <w:t>315,375</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46"/>
        </w:trPr>
        <w:tc>
          <w:tcPr>
            <w:tcW w:w="5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4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rPr>
              <w:t>76,828</w:t>
            </w:r>
          </w:p>
        </w:tc>
        <w:tc>
          <w:tcPr>
            <w:tcW w:w="8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center"/>
              <w:ind w:right="420"/>
              <w:spacing w:after="0"/>
              <w:rPr>
                <w:sz w:val="20"/>
                <w:szCs w:val="20"/>
                <w:color w:val="auto"/>
              </w:rPr>
            </w:pPr>
            <w:r>
              <w:rPr>
                <w:rFonts w:ascii="Times New Roman" w:cs="Times New Roman" w:eastAsia="Times New Roman" w:hAnsi="Times New Roman"/>
                <w:sz w:val="16"/>
                <w:szCs w:val="16"/>
                <w:color w:val="auto"/>
                <w:w w:val="99"/>
              </w:rPr>
              <w:t>106,004</w:t>
            </w:r>
          </w:p>
        </w:tc>
        <w:tc>
          <w:tcPr>
            <w:tcW w:w="8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Compared to December 31, 2025, EVE sensitivity is mostly unchanged in the rising rate scenarios and slightly lower in the falling rate scenarios. The reduction in the notional balance of active pay-fixed interest rate swaps did not have a significant impact on EVE sensitivity.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 Risks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interest rate risk, we are exposed to other forms of market risk in our normal business transactions. Foreign currency holdings expose us to a small degree of foreign currency risk. Our trust and asset management income are at risk to fluctuations in the market values of underlying assets, particularly debt and equity securities. Also, our share-based compensation expense is dependent on the fair value of our restricted stock units and restricted stock at the date of grant. The fair value of restricted stock units and restricted stock is impacted by the market price of the Parent’s common stock on the date of grant and is at risk to changes in equity markets, general economic conditions, and other factors.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 Management</w:t>
      </w:r>
    </w:p>
    <w:p>
      <w:pPr>
        <w:spacing w:after="0" w:line="18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objective of our liquidity risk management process is to manage cash flow and liquidity in an effort to provide continuous access to sufficient, reasonably priced funds. Funding requirements are impacted by factors such as loan originations and refinancings, changes in deposit balances, liability issuances and settlements, and off-balance sheet funding commitments. We adhere to various regulatory guidelines regarding required liquidity levels and periodically monitor our liquidity position in light of the changing economic environment and customer activity. Based on periodic liquidity assessments, we may alter our asset, liability, and off- 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maintain access to ample sources of readily available contingent liquidity. As of March 31, 2026, we had pledged loans and investment securities to the Federal Reserve Discount Window and had remaining borrowing capacity of $7.8 billion. We are also a member of the FHLB. As of March 31, 2026, we had pledged loans to the FHLB and had remaining borrowing capacity of $2.2 billion.</w:t>
      </w:r>
    </w:p>
    <w:p>
      <w:pPr>
        <w:spacing w:after="0" w:line="14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addition, we utilize our investment securities portfolio as collateral to secure deposits of public entities as well as repurchase agreements with private institution counterparties. The high-quality nature of our investment securities portfolio, which consists primarily of government and agency securities, facilitates the use of these assets for pledging purposes.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sources of liquidity also include investment securities in our AFS securities portfolio and our ability to sell loans in the secondary market. Our core deposits have historically provided us with a long-term source of stable and relatively low-cost source of funding. Additional funding is also available through the issuance of long-term debt or equity.</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market and economic conditions will impact our ability to borrow funds from external sources, as well as the cost of such borrowing both in terms of rate, as well as haircuts on collateral pledged to support such borrowings. Although a significant portion of our investment securities were in an unrealized loss position as of March 31, 2026, we believe we have sufficient access to various forms of liquidity that would alleviate the need to liquidate these investment securities and realize the losses.</w:t>
      </w:r>
    </w:p>
    <w:p>
      <w:pPr>
        <w:spacing w:after="0" w:line="139"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We continued our focus on maintaining a strong liquidity position. As of March 31, 2026, cash and cash equivalents were $425.1 million, the carrying value of our AFS investment securities was $3.7 billion, and total deposits were $21.0 billion. As of March 31, 2026, our AFS investment securities portfolio was comprised of securities with an average base duration of approximately 3.14 years, excluding the impact from our interest rate swaps.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20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and the Bank are each subject to regulatory capital requirements administered by the federal banking agencies and the Division of Financial Institutions, an agency of the State of Hawai‘i Department of Commerce and Consumer Affairs.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March 31, 2026, the Company’s capital levels remained characterized as “well-capitalized.” There have been no conditions or events since March 31, 2026, that management believes have changed either the Company’s or the Bank’s capital classifications. The Company’s regulatory capital ratios are presented in Table 18 below.</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18 presents our regulatory capital and ratios as of March 31, 2026 and December 31, 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Regulatory Capital and Ratios</w:t>
            </w:r>
          </w:p>
        </w:tc>
        <w:tc>
          <w:tcPr>
            <w:tcW w:w="20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18</w:t>
            </w:r>
          </w:p>
        </w:tc>
      </w:tr>
      <w:tr>
        <w:trPr>
          <w:trHeight w:val="193"/>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60" w:type="dxa"/>
            <w:vAlign w:val="bottom"/>
          </w:tcPr>
          <w:p>
            <w:pPr>
              <w:spacing w:after="0"/>
              <w:rPr>
                <w:sz w:val="16"/>
                <w:szCs w:val="16"/>
                <w:color w:val="auto"/>
              </w:rPr>
            </w:pPr>
          </w:p>
        </w:tc>
        <w:tc>
          <w:tcPr>
            <w:tcW w:w="17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20" w:type="dxa"/>
            <w:vAlign w:val="bottom"/>
          </w:tcPr>
          <w:p>
            <w:pPr>
              <w:spacing w:after="0"/>
              <w:rPr>
                <w:sz w:val="16"/>
                <w:szCs w:val="16"/>
                <w:color w:val="auto"/>
              </w:rPr>
            </w:pPr>
          </w:p>
        </w:tc>
        <w:tc>
          <w:tcPr>
            <w:tcW w:w="17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4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7"/>
        </w:trPr>
        <w:tc>
          <w:tcPr>
            <w:tcW w:w="54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Regulatory Capital </w:t>
            </w:r>
            <w:r>
              <w:rPr>
                <w:rFonts w:ascii="Times New Roman" w:cs="Times New Roman" w:eastAsia="Times New Roman" w:hAnsi="Times New Roman"/>
                <w:sz w:val="21"/>
                <w:szCs w:val="21"/>
                <w:color w:val="auto"/>
                <w:vertAlign w:val="superscript"/>
              </w:rPr>
              <w:t>1</w:t>
            </w:r>
          </w:p>
        </w:tc>
        <w:tc>
          <w:tcPr>
            <w:tcW w:w="20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Common Shareholders’ Equity</w:t>
            </w:r>
          </w:p>
        </w:tc>
        <w:tc>
          <w:tcPr>
            <w:tcW w:w="2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1,509,563</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1,506,212</w:t>
            </w:r>
          </w:p>
        </w:tc>
      </w:tr>
      <w:tr>
        <w:trPr>
          <w:trHeight w:val="25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0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3"/>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 Net of Deferred Tax Liabilities</w:t>
            </w:r>
          </w:p>
        </w:tc>
        <w:tc>
          <w:tcPr>
            <w:tcW w:w="2060" w:type="dxa"/>
            <w:vAlign w:val="bottom"/>
          </w:tcPr>
          <w:p>
            <w:pPr>
              <w:spacing w:after="0"/>
              <w:rPr>
                <w:sz w:val="20"/>
                <w:szCs w:val="20"/>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(28,746)</w:t>
            </w:r>
          </w:p>
        </w:tc>
        <w:tc>
          <w:tcPr>
            <w:tcW w:w="320" w:type="dxa"/>
            <w:vAlign w:val="bottom"/>
          </w:tcPr>
          <w:p>
            <w:pPr>
              <w:spacing w:after="0"/>
              <w:rPr>
                <w:sz w:val="20"/>
                <w:szCs w:val="20"/>
                <w:color w:val="auto"/>
              </w:rPr>
            </w:pPr>
          </w:p>
        </w:tc>
        <w:tc>
          <w:tcPr>
            <w:tcW w:w="17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(28,746)</w:t>
            </w:r>
          </w:p>
        </w:tc>
      </w:tr>
      <w:tr>
        <w:trPr>
          <w:trHeight w:val="253"/>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Assets from Tax Credit Carryforwards</w:t>
            </w:r>
          </w:p>
        </w:tc>
        <w:tc>
          <w:tcPr>
            <w:tcW w:w="20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(2,264)</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(2,191)</w:t>
            </w:r>
          </w:p>
        </w:tc>
      </w:tr>
      <w:tr>
        <w:trPr>
          <w:trHeight w:val="233"/>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Postretirement Benefit Liability</w:t>
            </w:r>
          </w:p>
        </w:tc>
        <w:tc>
          <w:tcPr>
            <w:tcW w:w="2060" w:type="dxa"/>
            <w:vAlign w:val="bottom"/>
          </w:tcPr>
          <w:p>
            <w:pPr>
              <w:spacing w:after="0"/>
              <w:rPr>
                <w:sz w:val="20"/>
                <w:szCs w:val="20"/>
                <w:color w:val="auto"/>
              </w:rPr>
            </w:pPr>
          </w:p>
        </w:tc>
        <w:tc>
          <w:tcPr>
            <w:tcW w:w="17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20,031</w:t>
            </w:r>
          </w:p>
        </w:tc>
        <w:tc>
          <w:tcPr>
            <w:tcW w:w="320" w:type="dxa"/>
            <w:vAlign w:val="bottom"/>
          </w:tcPr>
          <w:p>
            <w:pPr>
              <w:spacing w:after="0"/>
              <w:rPr>
                <w:sz w:val="20"/>
                <w:szCs w:val="20"/>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20,253</w:t>
            </w:r>
          </w:p>
        </w:tc>
      </w:tr>
      <w:tr>
        <w:trPr>
          <w:trHeight w:val="253"/>
        </w:trPr>
        <w:tc>
          <w:tcPr>
            <w:tcW w:w="5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Net Unrealized Losses on Investment Securities </w:t>
            </w:r>
            <w:r>
              <w:rPr>
                <w:rFonts w:ascii="Times New Roman" w:cs="Times New Roman" w:eastAsia="Times New Roman" w:hAnsi="Times New Roman"/>
                <w:sz w:val="21"/>
                <w:szCs w:val="21"/>
                <w:color w:val="auto"/>
                <w:vertAlign w:val="superscript"/>
              </w:rPr>
              <w:t>2</w:t>
            </w:r>
          </w:p>
        </w:tc>
        <w:tc>
          <w:tcPr>
            <w:tcW w:w="20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227,186</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224,185</w:t>
            </w:r>
          </w:p>
        </w:tc>
      </w:tr>
      <w:tr>
        <w:trPr>
          <w:trHeight w:val="237"/>
        </w:trPr>
        <w:tc>
          <w:tcPr>
            <w:tcW w:w="5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9,097</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9,097</w:t>
            </w: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Capital</w:t>
            </w:r>
          </w:p>
        </w:tc>
        <w:tc>
          <w:tcPr>
            <w:tcW w:w="20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1,734,867</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1,728,810</w:t>
            </w:r>
          </w:p>
        </w:tc>
      </w:tr>
      <w:tr>
        <w:trPr>
          <w:trHeight w:val="23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Preferred Stock, Net of Issuance Cost</w:t>
            </w:r>
          </w:p>
        </w:tc>
        <w:tc>
          <w:tcPr>
            <w:tcW w:w="20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336,101</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336,101</w:t>
            </w: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20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2,070,968</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2,064,911</w:t>
            </w:r>
          </w:p>
        </w:tc>
      </w:tr>
      <w:tr>
        <w:trPr>
          <w:trHeight w:val="23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Allowable Reserve for Credit Losses</w:t>
            </w:r>
          </w:p>
        </w:tc>
        <w:tc>
          <w:tcPr>
            <w:tcW w:w="20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149,078</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148,404</w:t>
            </w:r>
          </w:p>
        </w:tc>
      </w:tr>
      <w:tr>
        <w:trPr>
          <w:trHeight w:val="261"/>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Regulatory Capital</w:t>
            </w:r>
          </w:p>
        </w:tc>
        <w:tc>
          <w:tcPr>
            <w:tcW w:w="2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2,220,046</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2,213,315</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Risk-Weighted Assets</w:t>
            </w:r>
          </w:p>
        </w:tc>
        <w:tc>
          <w:tcPr>
            <w:tcW w:w="2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14,382,622</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14,246,238</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Key Regulatory Capital Ratios</w:t>
            </w:r>
          </w:p>
        </w:tc>
        <w:tc>
          <w:tcPr>
            <w:tcW w:w="20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20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5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Ratio</w:t>
            </w:r>
          </w:p>
        </w:tc>
        <w:tc>
          <w:tcPr>
            <w:tcW w:w="20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14.40</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14.49</w:t>
            </w:r>
          </w:p>
        </w:tc>
      </w:tr>
      <w:tr>
        <w:trPr>
          <w:trHeight w:val="23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 Ratio</w:t>
            </w:r>
          </w:p>
        </w:tc>
        <w:tc>
          <w:tcPr>
            <w:tcW w:w="2060" w:type="dxa"/>
            <w:vAlign w:val="bottom"/>
          </w:tcPr>
          <w:p>
            <w:pPr>
              <w:spacing w:after="0"/>
              <w:rPr>
                <w:sz w:val="20"/>
                <w:szCs w:val="20"/>
                <w:color w:val="auto"/>
              </w:rPr>
            </w:pPr>
          </w:p>
        </w:tc>
        <w:tc>
          <w:tcPr>
            <w:tcW w:w="17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15.44</w:t>
            </w:r>
          </w:p>
        </w:tc>
        <w:tc>
          <w:tcPr>
            <w:tcW w:w="320" w:type="dxa"/>
            <w:vAlign w:val="bottom"/>
          </w:tcPr>
          <w:p>
            <w:pPr>
              <w:spacing w:after="0"/>
              <w:rPr>
                <w:sz w:val="20"/>
                <w:szCs w:val="20"/>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15.54</w:t>
            </w:r>
          </w:p>
        </w:tc>
      </w:tr>
      <w:tr>
        <w:trPr>
          <w:trHeight w:val="25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Leverage Ratio</w:t>
            </w:r>
          </w:p>
        </w:tc>
        <w:tc>
          <w:tcPr>
            <w:tcW w:w="206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8.62</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8.57</w:t>
            </w:r>
          </w:p>
        </w:tc>
      </w:tr>
    </w:tbl>
    <w:p>
      <w:pPr>
        <w:spacing w:after="0" w:line="58" w:lineRule="exact"/>
        <w:rPr>
          <w:sz w:val="20"/>
          <w:szCs w:val="20"/>
          <w:color w:val="auto"/>
        </w:rPr>
      </w:pPr>
    </w:p>
    <w:p>
      <w:pPr>
        <w:ind w:left="80" w:hanging="72"/>
        <w:spacing w:after="0"/>
        <w:tabs>
          <w:tab w:leader="none" w:pos="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Regulatory capital ratios as of March 31, 2026 are preliminary.</w:t>
      </w:r>
    </w:p>
    <w:p>
      <w:pPr>
        <w:ind w:left="80" w:hanging="72"/>
        <w:spacing w:after="0" w:line="222" w:lineRule="auto"/>
        <w:tabs>
          <w:tab w:leader="none" w:pos="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unrealized gains and losses related to the Company’s reclassification of AFS investment securities to the HTM category.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shareholders’ equity was $1.9 billion, an increase of $3.4 million or 0.2% from December 31, 2025. The increase was attributed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of $57.4 million, share-based compensation of $7.5 million, and common stock issued under purchase and equity compensation plans of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were offset by other comprehensive loss of $2.8 million, cash dividends declared of $28.3 million on common shares, cash dividends declared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million on preferred shares, common stock repurchased under the share repurchase program of $15.1 million, and common stock repurchased of $11.3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taxes withheld for share-based compensation.</w:t>
      </w:r>
    </w:p>
    <w:p>
      <w:pPr>
        <w:spacing w:after="0" w:line="16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repurchased 194,096 shares of common stock at an average cost per share of $77.84 and total cost of $15.1 million under the share repurchase program. Remaining buyback authority under our share repurchase program was $105.9 million as of March 31, 2026. The actual amount and timing of future share repurchases, if any, will depend on market and economic conditions, regulatory rules, applicable SEC rules, and various other factors.</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April 2026, the Parent’s Board of Directors declared quarterly dividend payments of its Fixed Rate Non-Cumulative Perpetual Preferred Stock, Series A, of $10.94 per share, equivalent to $0.2735 per depositary share and its Fixed Rate Non-Cumulative Perpetual Preferred Stock, Series B, of $20.00 per share, equivalent to $0.5000 per depositary share. The dividends on the Series A Preferred Stock and Series B Preferred Stock will be payable on May 1, 2026, to shareholders of record at the close of business on April 16, 2026.</w:t>
      </w:r>
    </w:p>
    <w:p>
      <w:pPr>
        <w:spacing w:after="0" w:line="15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April 2026, the Parent’s Board of Directors declared a quarterly cash dividend of $0.70 per share on the Parent’s outstanding common shares. The dividend will be payable on June 12, 2026, to shareholders of record of the common stock at the close of business on May 29,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Operational Risk and Compliance Committee (the “ORC”) provides oversight and assesses the most significant operational risks including cybersecurity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Committee of the Board of Directors.</w:t>
      </w:r>
    </w:p>
    <w:p>
      <w:pPr>
        <w:spacing w:after="0" w:line="14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Credit Commitments, and Contractual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hold interests in several unconsolidated variable interest entities (“VIEs”). These unconsolidated VIEs are primarily low-income housing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Commitments and Contractual Obligations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credit commitments and contractual obligations have not changed materially since previously reported in our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“Market Risk” of this Management’s Discussion and Analysis of Financial Condition and Results of Operations.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March 31, 2026. Based on this evaluation, the Chief Executive Officer and Chief Financial Officer concluded that the Company’s disclosure controls and procedures were effective as of March 31,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quarter ended March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There are no pending legal proceedings against or involving the Company, for which the outcome is likely to have a material adverse effect upon its financial position or results of operations. For additional information, see “Contingencies”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unaudited Consolidated Financial Statements set forth in Item 1, Part I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Part I, Item 1A. “Risk Factors” in the Company’s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the Company's stock during the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Parent’s repurchases of its common stock during the first quarter of 2026 were as follows:</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4"/>
                <w:szCs w:val="14"/>
                <w:color w:val="auto"/>
              </w:rPr>
            </w:pPr>
          </w:p>
        </w:tc>
        <w:tc>
          <w:tcPr>
            <w:tcW w:w="1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6"/>
        </w:trPr>
        <w:tc>
          <w:tcPr>
            <w:tcW w:w="24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0" w:type="dxa"/>
            <w:vAlign w:val="bottom"/>
          </w:tcPr>
          <w:p>
            <w:pPr>
              <w:spacing w:after="0"/>
              <w:rPr>
                <w:sz w:val="15"/>
                <w:szCs w:val="15"/>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2480" w:type="dxa"/>
            <w:vAlign w:val="bottom"/>
          </w:tcPr>
          <w:p>
            <w:pPr>
              <w:spacing w:after="0"/>
              <w:rPr>
                <w:sz w:val="14"/>
                <w:szCs w:val="14"/>
                <w:color w:val="auto"/>
              </w:rPr>
            </w:pPr>
          </w:p>
        </w:tc>
        <w:tc>
          <w:tcPr>
            <w:tcW w:w="27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2100" w:type="dxa"/>
            <w:vAlign w:val="bottom"/>
            <w:gridSpan w:val="2"/>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41"/>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7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2</w:t>
            </w:r>
          </w:p>
        </w:tc>
      </w:tr>
      <w:tr>
        <w:trPr>
          <w:trHeight w:val="23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1 - 31, 2026</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8,479</w:t>
            </w: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74.08</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120,397,348</w:t>
            </w:r>
          </w:p>
        </w:tc>
      </w:tr>
      <w:tr>
        <w:trPr>
          <w:trHeight w:val="233"/>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1 - 28, 2026</w:t>
            </w:r>
          </w:p>
        </w:tc>
        <w:tc>
          <w:tcPr>
            <w:tcW w:w="2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194,486</w:t>
            </w:r>
          </w:p>
        </w:tc>
        <w:tc>
          <w:tcPr>
            <w:tcW w:w="8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78.79</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136,000</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109,754,550</w:t>
            </w:r>
          </w:p>
        </w:tc>
      </w:tr>
      <w:tr>
        <w:trPr>
          <w:trHeight w:val="246"/>
        </w:trPr>
        <w:tc>
          <w:tcPr>
            <w:tcW w:w="2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1 - 31, 2026</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138,532</w:t>
            </w:r>
          </w:p>
        </w:tc>
        <w:tc>
          <w:tcPr>
            <w:tcW w:w="8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75.34</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50,096</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105,883,497</w:t>
            </w:r>
          </w:p>
        </w:tc>
      </w:tr>
      <w:tr>
        <w:trPr>
          <w:trHeight w:val="236"/>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341,497</w:t>
            </w: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77.27</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194,096</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bl>
    <w:p>
      <w:pPr>
        <w:spacing w:after="0" w:line="58"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first quarter of 2026, 147,401 shares were acquired from employees in connection with income tax withholdings related to the vesting of restricted stock. The shares were</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purchased at the closing price of the Parent’s common stock on the dates of purchase.</w:t>
      </w:r>
    </w:p>
    <w:p>
      <w:pPr>
        <w:spacing w:after="0" w:line="9" w:lineRule="exact"/>
        <w:rPr>
          <w:sz w:val="20"/>
          <w:szCs w:val="20"/>
          <w:color w:val="auto"/>
        </w:rPr>
      </w:pPr>
    </w:p>
    <w:p>
      <w:pPr>
        <w:ind w:left="420" w:right="80" w:hanging="412"/>
        <w:spacing w:after="0" w:line="230" w:lineRule="auto"/>
        <w:tabs>
          <w:tab w:leader="none" w:pos="413"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share repurchase program was first announced in July 2001 with an initial authorization to repurchase $70 million in shares of common stock. The Board increased the share repurchase program, most recently in January 2023 by $100 million. The share repurchase program has no set expiration or termination date. The actual amount and timing of future share repurchases, if any, will depend on market and economic conditions, regulatory rules, applicable SEC rules, and various other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March 31, 2026, none of the Company’s directors or executive officers informed the Company of the adoption, modification, or termination of any contract, instruction or written plan for the purchase or sale of Company securities that was intended to satisfy the affirmative defense conditions of Rule 10b5-1(c) or any non-Rule 10b5-1 trading arrangement.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Certificate of Incorporation of Bank of Hawaii Corporation (f/k/a Pacific Century Financial Corporation and Bancorp Hawaii, Inc.), as amended</w:t>
              </w:r>
            </w:hyperlink>
          </w:p>
        </w:tc>
      </w:tr>
      <w:tr>
        <w:trPr>
          <w:trHeight w:val="169"/>
        </w:trPr>
        <w:tc>
          <w:tcPr>
            <w:tcW w:w="1360" w:type="dxa"/>
            <w:vAlign w:val="bottom"/>
          </w:tcPr>
          <w:p>
            <w:pPr>
              <w:spacing w:after="0"/>
              <w:rPr>
                <w:sz w:val="14"/>
                <w:szCs w:val="14"/>
                <w:color w:val="auto"/>
              </w:rPr>
            </w:pPr>
          </w:p>
        </w:tc>
        <w:tc>
          <w:tcPr>
            <w:tcW w:w="9340" w:type="dxa"/>
            <w:vAlign w:val="bottom"/>
            <w:tcBorders>
              <w:top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(incorporated by reference to Exhibit 3.1 to Bank of Hawaii Corporation’s Annual Report on Form 10-K for its fiscal year ended December 31,</w:t>
              </w:r>
            </w:hyperlink>
          </w:p>
        </w:tc>
        <w:tc>
          <w:tcPr>
            <w:tcW w:w="320" w:type="dxa"/>
            <w:vAlign w:val="bottom"/>
            <w:gridSpan w:val="4"/>
          </w:tcPr>
          <w:p>
            <w:pPr>
              <w:jc w:val="right"/>
              <w:ind w:right="20"/>
              <w:spacing w:after="0" w:line="169" w:lineRule="exact"/>
              <w:rPr>
                <w:rFonts w:ascii="Times New Roman" w:cs="Times New Roman" w:eastAsia="Times New Roman" w:hAnsi="Times New Roman"/>
                <w:sz w:val="16"/>
                <w:szCs w:val="16"/>
                <w:color w:val="0000FF"/>
                <w:w w:val="87"/>
              </w:rPr>
            </w:pPr>
            <w:hyperlink r:id="rId78">
              <w:r>
                <w:rPr>
                  <w:rFonts w:ascii="Times New Roman" w:cs="Times New Roman" w:eastAsia="Times New Roman" w:hAnsi="Times New Roman"/>
                  <w:sz w:val="16"/>
                  <w:szCs w:val="16"/>
                  <w:color w:val="0000FF"/>
                  <w:w w:val="87"/>
                </w:rPr>
                <w:t>2005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9640" w:type="dxa"/>
            <w:vAlign w:val="bottom"/>
            <w:tcBorders>
              <w:top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78">
              <w:r>
                <w:rPr>
                  <w:rFonts w:ascii="Times New Roman" w:cs="Times New Roman" w:eastAsia="Times New Roman" w:hAnsi="Times New Roman"/>
                  <w:sz w:val="16"/>
                  <w:szCs w:val="16"/>
                  <w:color w:val="0000FF"/>
                </w:rPr>
                <w:t>filed on February 28, 2006).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Certificate of Amendment of Certificate of Incorporation of Bank of Hawaii Corporation (incorporated by reference to Exhibit 3.1 to Bank of Hawaii</w:t>
              </w:r>
            </w:hyperlink>
          </w:p>
        </w:tc>
      </w:tr>
      <w:tr>
        <w:trPr>
          <w:trHeight w:val="169"/>
        </w:trPr>
        <w:tc>
          <w:tcPr>
            <w:tcW w:w="1360" w:type="dxa"/>
            <w:vAlign w:val="bottom"/>
          </w:tcPr>
          <w:p>
            <w:pPr>
              <w:spacing w:after="0"/>
              <w:rPr>
                <w:sz w:val="14"/>
                <w:szCs w:val="14"/>
                <w:color w:val="auto"/>
              </w:rPr>
            </w:pPr>
          </w:p>
        </w:tc>
        <w:tc>
          <w:tcPr>
            <w:tcW w:w="44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79">
              <w:r>
                <w:rPr>
                  <w:rFonts w:ascii="Times New Roman" w:cs="Times New Roman" w:eastAsia="Times New Roman" w:hAnsi="Times New Roman"/>
                  <w:sz w:val="16"/>
                  <w:szCs w:val="16"/>
                  <w:color w:val="0000FF"/>
                </w:rPr>
                <w:t>Corporation’s Current Report on Form 8-K filed on April 30, 2008).</w:t>
              </w:r>
            </w:hyperlink>
          </w:p>
        </w:tc>
        <w:tc>
          <w:tcPr>
            <w:tcW w:w="52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Certificate of Designations of 4.375% Fixed Rate Non-Cumulative Perpetual Preferred Stock, Series A (incorporated by reference to Exhibit 3.1 to</w:t>
              </w:r>
            </w:hyperlink>
          </w:p>
        </w:tc>
      </w:tr>
      <w:tr>
        <w:trPr>
          <w:trHeight w:val="169"/>
        </w:trPr>
        <w:tc>
          <w:tcPr>
            <w:tcW w:w="136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80">
              <w:r>
                <w:rPr>
                  <w:rFonts w:ascii="Times New Roman" w:cs="Times New Roman" w:eastAsia="Times New Roman" w:hAnsi="Times New Roman"/>
                  <w:sz w:val="16"/>
                  <w:szCs w:val="16"/>
                  <w:color w:val="0000FF"/>
                </w:rPr>
                <w:t>Bank of Hawaii Corporation’s Current Report on Form 8-K filed on June 15, 2021).</w:t>
              </w:r>
            </w:hyperlink>
          </w:p>
        </w:tc>
        <w:tc>
          <w:tcPr>
            <w:tcW w:w="4100" w:type="dxa"/>
            <w:vAlign w:val="bottom"/>
            <w:tcBorders>
              <w:top w:val="single" w:sz="8" w:color="0000FF"/>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Certificate of Designations of 8.000% Fixed Rate Non-Cumulative Perpetual Preferred Stock, Series B (incorporated by reference to Exhibit 3.1 to</w:t>
              </w:r>
            </w:hyperlink>
          </w:p>
        </w:tc>
      </w:tr>
      <w:tr>
        <w:trPr>
          <w:trHeight w:val="169"/>
        </w:trPr>
        <w:tc>
          <w:tcPr>
            <w:tcW w:w="136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Bank of Hawaii Corporation’s Current Report on Form 8-K filed on June 21, 2024).</w:t>
              </w:r>
            </w:hyperlink>
          </w:p>
        </w:tc>
        <w:tc>
          <w:tcPr>
            <w:tcW w:w="4080" w:type="dxa"/>
            <w:vAlign w:val="bottom"/>
            <w:tcBorders>
              <w:top w:val="single" w:sz="8" w:color="0000FF"/>
            </w:tcBorders>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Amended and Restated By-laws of Bank of Hawaii Corporation (as amended November 20, 2020) (incorporated by reference to Exhibit 3.2 to Bank of</w:t>
              </w:r>
            </w:hyperlink>
          </w:p>
        </w:tc>
      </w:tr>
      <w:tr>
        <w:trPr>
          <w:trHeight w:val="169"/>
        </w:trPr>
        <w:tc>
          <w:tcPr>
            <w:tcW w:w="1360" w:type="dxa"/>
            <w:vAlign w:val="bottom"/>
          </w:tcPr>
          <w:p>
            <w:pPr>
              <w:spacing w:after="0"/>
              <w:rPr>
                <w:sz w:val="14"/>
                <w:szCs w:val="14"/>
                <w:color w:val="auto"/>
              </w:rPr>
            </w:pPr>
          </w:p>
        </w:tc>
        <w:tc>
          <w:tcPr>
            <w:tcW w:w="9820" w:type="dxa"/>
            <w:vAlign w:val="bottom"/>
            <w:tcBorders>
              <w:top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Hawaii Corporation’s Current Report on Form 8-K filed on November 23, 2020).</w:t>
              </w:r>
            </w:hyperlink>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Deposit Agreement, dated June 15, 2021, by and among Bank of Hawaii Corporation, Computershare Inc. and Computershare Trust Company, N.A.,</w:t>
              </w:r>
            </w:hyperlink>
          </w:p>
        </w:tc>
      </w:tr>
      <w:tr>
        <w:trPr>
          <w:trHeight w:val="169"/>
        </w:trPr>
        <w:tc>
          <w:tcPr>
            <w:tcW w:w="1360" w:type="dxa"/>
            <w:vAlign w:val="bottom"/>
          </w:tcPr>
          <w:p>
            <w:pPr>
              <w:spacing w:after="0"/>
              <w:rPr>
                <w:sz w:val="14"/>
                <w:szCs w:val="14"/>
                <w:color w:val="auto"/>
              </w:rPr>
            </w:pPr>
          </w:p>
        </w:tc>
        <w:tc>
          <w:tcPr>
            <w:tcW w:w="966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jointly as depositary, and the holders from time to time of the depositary receipts described therein (incorporated by reference to Exhibit 4.1 to Bank</w:t>
              </w:r>
            </w:hyperlink>
          </w:p>
        </w:tc>
        <w:tc>
          <w:tcPr>
            <w:tcW w:w="180" w:type="dxa"/>
            <w:vAlign w:val="bottom"/>
            <w:gridSpan w:val="7"/>
          </w:tcPr>
          <w:p>
            <w:pPr>
              <w:spacing w:after="0" w:line="169"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of</w:t>
              </w:r>
            </w:hyperlink>
          </w:p>
        </w:tc>
      </w:tr>
      <w:tr>
        <w:trPr>
          <w:trHeight w:val="169"/>
        </w:trPr>
        <w:tc>
          <w:tcPr>
            <w:tcW w:w="1360" w:type="dxa"/>
            <w:vAlign w:val="bottom"/>
          </w:tcPr>
          <w:p>
            <w:pPr>
              <w:spacing w:after="0"/>
              <w:rPr>
                <w:sz w:val="14"/>
                <w:szCs w:val="14"/>
                <w:color w:val="auto"/>
              </w:rPr>
            </w:pPr>
          </w:p>
        </w:tc>
        <w:tc>
          <w:tcPr>
            <w:tcW w:w="978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Hawaii Corporation’s Current Report on Form 8-K filed with the SEC on June 15,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41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Form of Depository Receipt, Series A (included in Exhibit 4.1)</w:t>
              </w:r>
            </w:hyperlink>
          </w:p>
        </w:tc>
        <w:tc>
          <w:tcPr>
            <w:tcW w:w="1640" w:type="dxa"/>
            <w:vAlign w:val="bottom"/>
            <w:tcBorders>
              <w:top w:val="single" w:sz="8" w:color="0000FF"/>
            </w:tcBorders>
            <w:gridSpan w:val="5"/>
          </w:tcPr>
          <w:p>
            <w:pPr>
              <w:spacing w:after="0"/>
              <w:rPr>
                <w:sz w:val="24"/>
                <w:szCs w:val="24"/>
                <w:color w:val="auto"/>
              </w:rPr>
            </w:pPr>
          </w:p>
        </w:tc>
        <w:tc>
          <w:tcPr>
            <w:tcW w:w="4100" w:type="dxa"/>
            <w:vAlign w:val="bottom"/>
            <w:gridSpan w:val="12"/>
          </w:tcPr>
          <w:p>
            <w:pPr>
              <w:spacing w:after="0"/>
              <w:rPr>
                <w:sz w:val="24"/>
                <w:szCs w:val="24"/>
                <w:color w:val="auto"/>
              </w:rPr>
            </w:pPr>
          </w:p>
        </w:tc>
      </w:tr>
      <w:tr>
        <w:trPr>
          <w:trHeight w:val="277"/>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Deposit Agreement, dated June 21, 2024, by and among Bank of Hawaii Corporation, Computershare Inc. and Computershare Trust Company, N.A.,</w:t>
              </w:r>
            </w:hyperlink>
          </w:p>
        </w:tc>
      </w:tr>
      <w:tr>
        <w:trPr>
          <w:trHeight w:val="169"/>
        </w:trPr>
        <w:tc>
          <w:tcPr>
            <w:tcW w:w="1360" w:type="dxa"/>
            <w:vAlign w:val="bottom"/>
          </w:tcPr>
          <w:p>
            <w:pPr>
              <w:spacing w:after="0"/>
              <w:rPr>
                <w:sz w:val="14"/>
                <w:szCs w:val="14"/>
                <w:color w:val="auto"/>
              </w:rPr>
            </w:pPr>
          </w:p>
        </w:tc>
        <w:tc>
          <w:tcPr>
            <w:tcW w:w="966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jointly as depositary, and the holders from time to time of the depositary receipts described therein (incorporated by reference to Exhibit 4.1 to Bank</w:t>
              </w:r>
            </w:hyperlink>
          </w:p>
        </w:tc>
        <w:tc>
          <w:tcPr>
            <w:tcW w:w="180" w:type="dxa"/>
            <w:vAlign w:val="bottom"/>
            <w:gridSpan w:val="7"/>
          </w:tcPr>
          <w:p>
            <w:pPr>
              <w:spacing w:after="0" w:line="169"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of</w:t>
              </w:r>
            </w:hyperlink>
          </w:p>
        </w:tc>
      </w:tr>
      <w:tr>
        <w:trPr>
          <w:trHeight w:val="169"/>
        </w:trPr>
        <w:tc>
          <w:tcPr>
            <w:tcW w:w="1360" w:type="dxa"/>
            <w:vAlign w:val="bottom"/>
          </w:tcPr>
          <w:p>
            <w:pPr>
              <w:spacing w:after="0"/>
              <w:rPr>
                <w:sz w:val="14"/>
                <w:szCs w:val="14"/>
                <w:color w:val="auto"/>
              </w:rPr>
            </w:pPr>
          </w:p>
        </w:tc>
        <w:tc>
          <w:tcPr>
            <w:tcW w:w="978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Hawaii Corporation’s Current Report on Form 8-K filed with the SEC on June 21, 2024)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40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Form of Depository Receipt, Series B (included in Exhibit 4.3)</w:t>
              </w:r>
            </w:hyperlink>
          </w:p>
        </w:tc>
        <w:tc>
          <w:tcPr>
            <w:tcW w:w="1660" w:type="dxa"/>
            <w:vAlign w:val="bottom"/>
            <w:tcBorders>
              <w:top w:val="single" w:sz="8" w:color="0000FF"/>
            </w:tcBorders>
            <w:gridSpan w:val="6"/>
          </w:tcPr>
          <w:p>
            <w:pPr>
              <w:spacing w:after="0"/>
              <w:rPr>
                <w:sz w:val="24"/>
                <w:szCs w:val="24"/>
                <w:color w:val="auto"/>
              </w:rPr>
            </w:pPr>
          </w:p>
        </w:tc>
        <w:tc>
          <w:tcPr>
            <w:tcW w:w="4100" w:type="dxa"/>
            <w:vAlign w:val="bottom"/>
            <w:gridSpan w:val="12"/>
          </w:tcPr>
          <w:p>
            <w:pPr>
              <w:spacing w:after="0"/>
              <w:rPr>
                <w:sz w:val="24"/>
                <w:szCs w:val="24"/>
                <w:color w:val="auto"/>
              </w:rPr>
            </w:pPr>
          </w:p>
        </w:tc>
      </w:tr>
      <w:tr>
        <w:trPr>
          <w:trHeight w:val="2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984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Instruments defining the rights of holders of long-term debt of Bank of Hawaii Corporation and its consolidated subsidiaries are not filed as exhibits</w:t>
            </w:r>
          </w:p>
        </w:tc>
      </w:tr>
      <w:tr>
        <w:trPr>
          <w:trHeight w:val="189"/>
        </w:trPr>
        <w:tc>
          <w:tcPr>
            <w:tcW w:w="1360" w:type="dxa"/>
            <w:vAlign w:val="bottom"/>
          </w:tcPr>
          <w:p>
            <w:pPr>
              <w:spacing w:after="0"/>
              <w:rPr>
                <w:sz w:val="16"/>
                <w:szCs w:val="16"/>
                <w:color w:val="auto"/>
              </w:rPr>
            </w:pPr>
          </w:p>
        </w:tc>
        <w:tc>
          <w:tcPr>
            <w:tcW w:w="984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because the amount of debt authorized under any such instruments does not exceed 10% of the total assets of Bank of Hawaii Corporation and its</w:t>
            </w:r>
          </w:p>
        </w:tc>
      </w:tr>
      <w:tr>
        <w:trPr>
          <w:trHeight w:val="210"/>
        </w:trPr>
        <w:tc>
          <w:tcPr>
            <w:tcW w:w="1360" w:type="dxa"/>
            <w:vAlign w:val="bottom"/>
          </w:tcPr>
          <w:p>
            <w:pPr>
              <w:spacing w:after="0"/>
              <w:rPr>
                <w:sz w:val="18"/>
                <w:szCs w:val="18"/>
                <w:color w:val="auto"/>
              </w:rPr>
            </w:pPr>
          </w:p>
        </w:tc>
        <w:tc>
          <w:tcPr>
            <w:tcW w:w="984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consolidated subsidiaries. Bank of Hawaii Corporation agrees to furnish a copy of any such instrument to the Commission upon request.</w:t>
            </w:r>
          </w:p>
        </w:tc>
      </w:tr>
      <w:tr>
        <w:trPr>
          <w:trHeight w:val="276"/>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Composite Directors' Deferred Compensation Plan, as amended through July 1, 2025 (incorporated by reference from Exhibit 10.1 to Bank of Hawaii</w:t>
              </w:r>
            </w:hyperlink>
          </w:p>
        </w:tc>
      </w:tr>
      <w:tr>
        <w:trPr>
          <w:trHeight w:val="169"/>
        </w:trPr>
        <w:tc>
          <w:tcPr>
            <w:tcW w:w="1360" w:type="dxa"/>
            <w:vAlign w:val="bottom"/>
          </w:tcPr>
          <w:p>
            <w:pPr>
              <w:spacing w:after="0"/>
              <w:rPr>
                <w:sz w:val="14"/>
                <w:szCs w:val="14"/>
                <w:color w:val="auto"/>
              </w:rPr>
            </w:pPr>
          </w:p>
        </w:tc>
        <w:tc>
          <w:tcPr>
            <w:tcW w:w="9700" w:type="dxa"/>
            <w:vAlign w:val="bottom"/>
            <w:tcBorders>
              <w:top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Corporation's Quarterly Report on Form 10-Q, as filed on July 28, 2025)</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504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 Securities Exchange Act of 1934, as Amended, Adopted Pursuant to Section</w:t>
            </w:r>
          </w:p>
        </w:tc>
      </w:tr>
      <w:tr>
        <w:trPr>
          <w:trHeight w:val="169"/>
        </w:trPr>
        <w:tc>
          <w:tcPr>
            <w:tcW w:w="1360" w:type="dxa"/>
            <w:vAlign w:val="bottom"/>
          </w:tcPr>
          <w:p>
            <w:pPr>
              <w:spacing w:after="0"/>
              <w:rPr>
                <w:sz w:val="14"/>
                <w:szCs w:val="14"/>
                <w:color w:val="auto"/>
              </w:rPr>
            </w:pPr>
          </w:p>
        </w:tc>
        <w:tc>
          <w:tcPr>
            <w:tcW w:w="980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302 of the Sarbanes Oxley Act of 2002</w:t>
            </w:r>
          </w:p>
        </w:tc>
        <w:tc>
          <w:tcPr>
            <w:tcW w:w="40" w:type="dxa"/>
            <w:vAlign w:val="bottom"/>
            <w:gridSpan w:val="2"/>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7220" w:type="dxa"/>
            <w:vAlign w:val="bottom"/>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9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of the Securities Exchange Act of 1934, as Amended, Adopted Pursuant to Section</w:t>
            </w:r>
          </w:p>
        </w:tc>
      </w:tr>
      <w:tr>
        <w:trPr>
          <w:trHeight w:val="169"/>
        </w:trPr>
        <w:tc>
          <w:tcPr>
            <w:tcW w:w="1360" w:type="dxa"/>
            <w:vAlign w:val="bottom"/>
          </w:tcPr>
          <w:p>
            <w:pPr>
              <w:spacing w:after="0"/>
              <w:rPr>
                <w:sz w:val="14"/>
                <w:szCs w:val="14"/>
                <w:color w:val="auto"/>
              </w:rPr>
            </w:pPr>
          </w:p>
        </w:tc>
        <w:tc>
          <w:tcPr>
            <w:tcW w:w="974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6"/>
                <w:szCs w:val="16"/>
                <w:color w:val="0000FF"/>
              </w:rPr>
              <w:t>302 of the Sarbanes Oxley Act of 2002</w:t>
            </w:r>
          </w:p>
        </w:tc>
        <w:tc>
          <w:tcPr>
            <w:tcW w:w="100" w:type="dxa"/>
            <w:vAlign w:val="bottom"/>
            <w:gridSpan w:val="4"/>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380" w:right="240" w:hanging="1354"/>
        <w:spacing w:after="0" w:line="280" w:lineRule="auto"/>
        <w:tabs>
          <w:tab w:leader="none" w:pos="1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of Chief Executive Officer and Chief Financial Officer Pursuant to 18 U.S.C. Section 1350, as Adopted Pursuant to Section 906 of the Sarbanes-Oxley Act of 2002</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980" w:type="dxa"/>
            <w:vAlign w:val="bottom"/>
          </w:tcPr>
          <w:p>
            <w:pPr>
              <w:spacing w:after="0"/>
              <w:rPr>
                <w:sz w:val="18"/>
                <w:szCs w:val="18"/>
                <w:color w:val="auto"/>
              </w:rPr>
            </w:pP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310"/>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97"/>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Valuation Linkbase Document</w:t>
            </w:r>
          </w:p>
        </w:tc>
      </w:tr>
      <w:tr>
        <w:trPr>
          <w:trHeight w:val="297"/>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97"/>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97"/>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87" w:lineRule="exact"/>
        <w:rPr>
          <w:sz w:val="20"/>
          <w:szCs w:val="20"/>
          <w:color w:val="auto"/>
        </w:rPr>
      </w:pPr>
    </w:p>
    <w:p>
      <w:pPr>
        <w:ind w:right="960" w:firstLine="26"/>
        <w:spacing w:after="0" w:line="421" w:lineRule="auto"/>
        <w:tabs>
          <w:tab w:leader="none" w:pos="136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for the Company’s Quarterly Report on the Form 10-Q has been formatted in Inline XBRL and contained in Exhibit 101 *Management contract or compensatory plan or arrangement</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Hawaii Corporation</w:t>
            </w:r>
          </w:p>
        </w:tc>
      </w:tr>
      <w:tr>
        <w:trPr>
          <w:trHeight w:val="540"/>
        </w:trPr>
        <w:tc>
          <w:tcPr>
            <w:tcW w:w="532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 James C. Polk</w:t>
            </w:r>
          </w:p>
        </w:tc>
      </w:tr>
      <w:tr>
        <w:trPr>
          <w:trHeight w:val="27"/>
        </w:trPr>
        <w:tc>
          <w:tcPr>
            <w:tcW w:w="532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James C. Polk</w:t>
            </w:r>
          </w:p>
        </w:tc>
      </w:tr>
      <w:tr>
        <w:trPr>
          <w:trHeight w:val="252"/>
        </w:trPr>
        <w:tc>
          <w:tcPr>
            <w:tcW w:w="5320" w:type="dxa"/>
            <w:vAlign w:val="bottom"/>
          </w:tcPr>
          <w:p>
            <w:pPr>
              <w:spacing w:after="0"/>
              <w:rPr>
                <w:sz w:val="21"/>
                <w:szCs w:val="21"/>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320" w:type="dxa"/>
            <w:vAlign w:val="bottom"/>
          </w:tcPr>
          <w:p>
            <w:pPr>
              <w:spacing w:after="0"/>
              <w:rPr>
                <w:sz w:val="20"/>
                <w:szCs w:val="20"/>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34290</wp:posOffset>
            </wp:positionV>
            <wp:extent cx="35915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40"/>
          </w:cols>
          <w:pgMar w:left="320" w:top="117" w:right="5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Polk, certify that:</w:t>
      </w:r>
    </w:p>
    <w:p>
      <w:pPr>
        <w:spacing w:after="0" w:line="144" w:lineRule="exact"/>
        <w:rPr>
          <w:sz w:val="20"/>
          <w:szCs w:val="20"/>
          <w:color w:val="auto"/>
        </w:rPr>
      </w:pPr>
    </w:p>
    <w:p>
      <w:pPr>
        <w:ind w:left="900" w:hanging="5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57" w:lineRule="exact"/>
        <w:rPr>
          <w:rFonts w:ascii="Times New Roman" w:cs="Times New Roman" w:eastAsia="Times New Roman" w:hAnsi="Times New Roman"/>
          <w:sz w:val="18"/>
          <w:szCs w:val="18"/>
          <w:color w:val="auto"/>
        </w:rPr>
      </w:pPr>
    </w:p>
    <w:p>
      <w:pPr>
        <w:jc w:val="both"/>
        <w:ind w:left="900" w:right="140" w:hanging="568"/>
        <w:spacing w:after="0" w:line="266"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00" w:right="100" w:hanging="5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900" w:right="60" w:hanging="568"/>
        <w:spacing w:after="0" w:line="276"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7"/>
          <w:szCs w:val="17"/>
          <w:color w:val="auto"/>
        </w:rPr>
      </w:pPr>
    </w:p>
    <w:p>
      <w:pPr>
        <w:ind w:left="1620" w:right="20" w:hanging="478"/>
        <w:spacing w:after="0" w:line="266" w:lineRule="auto"/>
        <w:tabs>
          <w:tab w:leader="none" w:pos="16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620" w:right="100" w:hanging="478"/>
        <w:spacing w:after="0" w:line="266" w:lineRule="auto"/>
        <w:tabs>
          <w:tab w:leader="none" w:pos="16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620" w:right="180" w:hanging="478"/>
        <w:spacing w:after="0" w:line="266" w:lineRule="auto"/>
        <w:tabs>
          <w:tab w:leader="none" w:pos="16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620" w:right="300" w:hanging="478"/>
        <w:spacing w:after="0" w:line="266" w:lineRule="auto"/>
        <w:tabs>
          <w:tab w:leader="none" w:pos="16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00" w:right="20" w:hanging="568"/>
        <w:spacing w:after="0" w:line="312" w:lineRule="auto"/>
        <w:tabs>
          <w:tab w:leader="none" w:pos="9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620" w:right="140" w:hanging="478"/>
        <w:spacing w:after="0" w:line="282" w:lineRule="auto"/>
        <w:tabs>
          <w:tab w:leader="none" w:pos="161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right="420" w:hanging="478"/>
        <w:spacing w:after="0" w:line="282" w:lineRule="auto"/>
        <w:tabs>
          <w:tab w:leader="none" w:pos="16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7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27, 2026</w:t>
      </w:r>
      <w:r>
        <w:rPr>
          <w:sz w:val="20"/>
          <w:szCs w:val="20"/>
          <w:color w:val="auto"/>
        </w:rPr>
        <w:tab/>
      </w:r>
      <w:r>
        <w:rPr>
          <w:rFonts w:ascii="Times New Roman" w:cs="Times New Roman" w:eastAsia="Times New Roman" w:hAnsi="Times New Roman"/>
          <w:sz w:val="17"/>
          <w:szCs w:val="17"/>
          <w:color w:val="auto"/>
        </w:rPr>
        <w:t>/s/ James C.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James C. Polk</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4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S. Satenberg, certify that:</w:t>
      </w:r>
    </w:p>
    <w:p>
      <w:pPr>
        <w:spacing w:after="0" w:line="144" w:lineRule="exact"/>
        <w:rPr>
          <w:sz w:val="20"/>
          <w:szCs w:val="20"/>
          <w:color w:val="auto"/>
        </w:rPr>
      </w:pPr>
    </w:p>
    <w:p>
      <w:pPr>
        <w:ind w:left="900" w:hanging="5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57" w:lineRule="exact"/>
        <w:rPr>
          <w:rFonts w:ascii="Times New Roman" w:cs="Times New Roman" w:eastAsia="Times New Roman" w:hAnsi="Times New Roman"/>
          <w:sz w:val="18"/>
          <w:szCs w:val="18"/>
          <w:color w:val="auto"/>
        </w:rPr>
      </w:pPr>
    </w:p>
    <w:p>
      <w:pPr>
        <w:jc w:val="both"/>
        <w:ind w:left="900" w:right="140" w:hanging="568"/>
        <w:spacing w:after="0" w:line="266"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00" w:right="100" w:hanging="56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900" w:right="60" w:hanging="568"/>
        <w:spacing w:after="0" w:line="276"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7"/>
          <w:szCs w:val="17"/>
          <w:color w:val="auto"/>
        </w:rPr>
      </w:pPr>
    </w:p>
    <w:p>
      <w:pPr>
        <w:ind w:left="1620" w:right="20" w:hanging="478"/>
        <w:spacing w:after="0" w:line="266" w:lineRule="auto"/>
        <w:tabs>
          <w:tab w:leader="none" w:pos="161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620" w:right="100" w:hanging="478"/>
        <w:spacing w:after="0" w:line="266" w:lineRule="auto"/>
        <w:tabs>
          <w:tab w:leader="none" w:pos="16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620" w:right="180" w:hanging="478"/>
        <w:spacing w:after="0" w:line="266" w:lineRule="auto"/>
        <w:tabs>
          <w:tab w:leader="none" w:pos="161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620" w:right="300" w:hanging="478"/>
        <w:spacing w:after="0" w:line="266" w:lineRule="auto"/>
        <w:tabs>
          <w:tab w:leader="none" w:pos="16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00" w:right="20" w:hanging="568"/>
        <w:spacing w:after="0" w:line="312" w:lineRule="auto"/>
        <w:tabs>
          <w:tab w:leader="none" w:pos="9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58" w:lineRule="exact"/>
        <w:rPr>
          <w:rFonts w:ascii="Times New Roman" w:cs="Times New Roman" w:eastAsia="Times New Roman" w:hAnsi="Times New Roman"/>
          <w:sz w:val="17"/>
          <w:szCs w:val="17"/>
          <w:color w:val="auto"/>
        </w:rPr>
      </w:pPr>
    </w:p>
    <w:p>
      <w:pPr>
        <w:ind w:left="1620" w:right="140" w:hanging="478"/>
        <w:spacing w:after="0" w:line="282" w:lineRule="auto"/>
        <w:tabs>
          <w:tab w:leader="none" w:pos="161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right="420" w:hanging="478"/>
        <w:spacing w:after="0" w:line="282" w:lineRule="auto"/>
        <w:tabs>
          <w:tab w:leader="none" w:pos="160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7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27, 2026</w:t>
      </w:r>
      <w:r>
        <w:rPr>
          <w:sz w:val="20"/>
          <w:szCs w:val="20"/>
          <w:color w:val="auto"/>
        </w:rPr>
        <w:tab/>
      </w:r>
      <w:r>
        <w:rPr>
          <w:rFonts w:ascii="Times New Roman" w:cs="Times New Roman" w:eastAsia="Times New Roman" w:hAnsi="Times New Roman"/>
          <w:sz w:val="17"/>
          <w:szCs w:val="17"/>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ind w:right="7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James C. Polk, President and Chief Executive Officer, and I, Bradley S. Satenberg, Chief Financial Officer, of Bank of Hawaii Corporation (the “Company”), hereby certify that the Company's Quarterly Report on Form 10-Q for the quarter ended March 31, 2026 (the “Report”):</w:t>
      </w:r>
    </w:p>
    <w:p>
      <w:pPr>
        <w:spacing w:after="0" w:line="68"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680" w:val="left"/>
          <w:tab w:leader="none" w:pos="5580" w:val="left"/>
        </w:tabs>
        <w:rPr>
          <w:sz w:val="20"/>
          <w:szCs w:val="20"/>
          <w:color w:val="auto"/>
        </w:rPr>
      </w:pPr>
      <w:r>
        <w:rPr>
          <w:rFonts w:ascii="Times New Roman" w:cs="Times New Roman" w:eastAsia="Times New Roman" w:hAnsi="Times New Roman"/>
          <w:sz w:val="18"/>
          <w:szCs w:val="18"/>
          <w:color w:val="auto"/>
        </w:rPr>
        <w:t>Date:</w:t>
        <w:tab/>
        <w:t>April 27, 2026</w:t>
      </w:r>
      <w:r>
        <w:rPr>
          <w:sz w:val="20"/>
          <w:szCs w:val="20"/>
          <w:color w:val="auto"/>
        </w:rPr>
        <w:tab/>
      </w:r>
      <w:r>
        <w:rPr>
          <w:rFonts w:ascii="Times New Roman" w:cs="Times New Roman" w:eastAsia="Times New Roman" w:hAnsi="Times New Roman"/>
          <w:sz w:val="17"/>
          <w:szCs w:val="17"/>
          <w:color w:val="auto"/>
        </w:rPr>
        <w:t>/s/ James C.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James C. Polk</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bullet"/>
      <w:start w:val="1"/>
    </w:lvl>
  </w:abstractNum>
  <w:abstractNum w:abstractNumId="4">
    <w:nsid w:val="7C83E458"/>
    <w:multiLevelType w:val="hybridMultilevel"/>
    <w:lvl w:ilvl="0">
      <w:lvlJc w:val="left"/>
      <w:lvlText w:val="2"/>
      <w:numFmt w:val="bullet"/>
      <w:start w:val="1"/>
    </w:lvl>
  </w:abstractNum>
  <w:abstractNum w:abstractNumId="5">
    <w:nsid w:val="257130A3"/>
    <w:multiLevelType w:val="hybridMultilevel"/>
    <w:lvl w:ilvl="0">
      <w:lvlJc w:val="left"/>
      <w:lvlText w:val="1"/>
      <w:numFmt w:val="bullet"/>
      <w:start w:val="1"/>
    </w:lvl>
  </w:abstractNum>
  <w:abstractNum w:abstractNumId="6">
    <w:nsid w:val="62BBD95A"/>
    <w:multiLevelType w:val="hybridMultilevel"/>
    <w:lvl w:ilvl="0">
      <w:lvlJc w:val="left"/>
      <w:lvlText w:val="1"/>
      <w:numFmt w:val="bullet"/>
      <w:start w:val="1"/>
    </w:lvl>
  </w:abstractNum>
  <w:abstractNum w:abstractNumId="7">
    <w:nsid w:val="436C6125"/>
    <w:multiLevelType w:val="hybridMultilevel"/>
    <w:lvl w:ilvl="0">
      <w:lvlJc w:val="left"/>
      <w:lvlText w:val="1"/>
      <w:numFmt w:val="bullet"/>
      <w:start w:val="1"/>
    </w:lvl>
  </w:abstractNum>
  <w:abstractNum w:abstractNumId="8">
    <w:nsid w:val="628C895D"/>
    <w:multiLevelType w:val="hybridMultilevel"/>
    <w:lvl w:ilvl="0">
      <w:lvlJc w:val="left"/>
      <w:lvlText w:val="2"/>
      <w:numFmt w:val="bullet"/>
      <w:start w:val="1"/>
    </w:lvl>
  </w:abstractNum>
  <w:abstractNum w:abstractNumId="9">
    <w:nsid w:val="333AB105"/>
    <w:multiLevelType w:val="hybridMultilevel"/>
    <w:lvl w:ilvl="0">
      <w:lvlJc w:val="left"/>
      <w:lvlText w:val="1"/>
      <w:numFmt w:val="bullet"/>
      <w:start w:val="1"/>
    </w:lvl>
  </w:abstractNum>
  <w:abstractNum w:abstractNumId="10">
    <w:nsid w:val="721DA317"/>
    <w:multiLevelType w:val="hybridMultilevel"/>
    <w:lvl w:ilvl="0">
      <w:lvlJc w:val="left"/>
      <w:lvlText w:val="1"/>
      <w:numFmt w:val="bullet"/>
      <w:start w:val="1"/>
    </w:lvl>
  </w:abstractNum>
  <w:abstractNum w:abstractNumId="11">
    <w:nsid w:val="2443A858"/>
    <w:multiLevelType w:val="hybridMultilevel"/>
    <w:lvl w:ilvl="0">
      <w:lvlJc w:val="left"/>
      <w:lvlText w:val="2"/>
      <w:numFmt w:val="bullet"/>
      <w:start w:val="1"/>
    </w:lvl>
  </w:abstractNum>
  <w:abstractNum w:abstractNumId="12">
    <w:nsid w:val="2D1D5AE9"/>
    <w:multiLevelType w:val="hybridMultilevel"/>
    <w:lvl w:ilvl="0">
      <w:lvlJc w:val="left"/>
      <w:lvlText w:val="1"/>
      <w:numFmt w:val="bullet"/>
      <w:start w:val="1"/>
    </w:lvl>
  </w:abstractNum>
  <w:abstractNum w:abstractNumId="13">
    <w:nsid w:val="6763845E"/>
    <w:multiLevelType w:val="hybridMultilevel"/>
    <w:lvl w:ilvl="0">
      <w:lvlJc w:val="left"/>
      <w:lvlText w:val="(%1)"/>
      <w:numFmt w:val="decimal"/>
      <w:start w:val="5"/>
    </w:lvl>
  </w:abstractNum>
  <w:abstractNum w:abstractNumId="14">
    <w:nsid w:val="75A2A8D4"/>
    <w:multiLevelType w:val="hybridMultilevel"/>
    <w:lvl w:ilvl="0">
      <w:lvlJc w:val="left"/>
      <w:lvlText w:val="(%1)"/>
      <w:numFmt w:val="decimal"/>
      <w:start w:val="25"/>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bullet"/>
      <w:start w:val="1"/>
    </w:lvl>
  </w:abstractNum>
  <w:abstractNum w:abstractNumId="17">
    <w:nsid w:val="4353D0CD"/>
    <w:multiLevelType w:val="hybridMultilevel"/>
    <w:lvl w:ilvl="0">
      <w:lvlJc w:val="left"/>
      <w:lvlText w:val="2"/>
      <w:numFmt w:val="bullet"/>
      <w:start w:val="1"/>
    </w:lvl>
  </w:abstractNum>
  <w:abstractNum w:abstractNumId="18">
    <w:nsid w:val="B03E0C6"/>
    <w:multiLevelType w:val="hybridMultilevel"/>
    <w:lvl w:ilvl="0">
      <w:lvlJc w:val="left"/>
      <w:lvlText w:val="3"/>
      <w:numFmt w:val="bullet"/>
      <w:start w:val="1"/>
    </w:lvl>
  </w:abstractNum>
  <w:abstractNum w:abstractNumId="19">
    <w:nsid w:val="189A769B"/>
    <w:multiLevelType w:val="hybridMultilevel"/>
    <w:lvl w:ilvl="0">
      <w:lvlJc w:val="left"/>
      <w:lvlText w:val="1"/>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bullet"/>
      <w:start w:val="1"/>
    </w:lvl>
  </w:abstractNum>
  <w:abstractNum w:abstractNumId="22">
    <w:nsid w:val="2CA88611"/>
    <w:multiLevelType w:val="hybridMultilevel"/>
    <w:lvl w:ilvl="0">
      <w:lvlJc w:val="left"/>
      <w:lvlText w:val="1"/>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bullet"/>
      <w:start w:val="1"/>
    </w:lvl>
  </w:abstractNum>
  <w:abstractNum w:abstractNumId="25">
    <w:nsid w:val="3A95F874"/>
    <w:multiLevelType w:val="hybridMultilevel"/>
    <w:lvl w:ilvl="0">
      <w:lvlJc w:val="left"/>
      <w:lvlText w:val="2"/>
      <w:numFmt w:val="bullet"/>
      <w:start w:val="1"/>
    </w:lvl>
  </w:abstractNum>
  <w:abstractNum w:abstractNumId="26">
    <w:nsid w:val="8138641"/>
    <w:multiLevelType w:val="hybridMultilevel"/>
    <w:lvl w:ilvl="0">
      <w:lvlJc w:val="left"/>
      <w:lvlText w:val="1"/>
      <w:numFmt w:val="bullet"/>
      <w:start w:val="1"/>
    </w:lvl>
  </w:abstractNum>
  <w:abstractNum w:abstractNumId="27">
    <w:nsid w:val="1E7FF521"/>
    <w:multiLevelType w:val="hybridMultilevel"/>
    <w:lvl w:ilvl="0">
      <w:lvlJc w:val="left"/>
      <w:lvlText w:val="2"/>
      <w:numFmt w:val="bullet"/>
      <w:start w:val="1"/>
    </w:lvl>
  </w:abstractNum>
  <w:abstractNum w:abstractNumId="28">
    <w:nsid w:val="7C3DBD3D"/>
    <w:multiLevelType w:val="hybridMultilevel"/>
    <w:lvl w:ilvl="0">
      <w:lvlJc w:val="left"/>
      <w:lvlText w:val="%1"/>
      <w:numFmt w:val="decimal"/>
      <w:start w:val="32"/>
    </w:lvl>
  </w:abstractNum>
  <w:abstractNum w:abstractNumId="29">
    <w:nsid w:val="737B8DDC"/>
    <w:multiLevelType w:val="hybridMultilevel"/>
    <w:lvl w:ilvl="0">
      <w:lvlJc w:val="left"/>
      <w:lvlText w:val="%1"/>
      <w:numFmt w:val="decimal"/>
      <w:start w:val="104"/>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78" Type="http://schemas.openxmlformats.org/officeDocument/2006/relationships/hyperlink" Target="https://www.sec.gov/Archives/edgar/data/0000046195/000104746906002592/a2167652zex-3_1.htm" TargetMode="External"/><Relationship Id="rId79" Type="http://schemas.openxmlformats.org/officeDocument/2006/relationships/hyperlink" Target="https://www.sec.gov/Archives/edgar/data/0000046195/000110465908028414/a08-13016_1ex3d1.htm" TargetMode="External"/><Relationship Id="rId80" Type="http://schemas.openxmlformats.org/officeDocument/2006/relationships/hyperlink" Target="https://www.sec.gov/Archives/edgar/data/0000046195/000119312521191143/d184114dex31.htm" TargetMode="External"/><Relationship Id="rId81" Type="http://schemas.openxmlformats.org/officeDocument/2006/relationships/hyperlink" Target="https://www.sec.gov/Archives/edgar/data/46195/000119312524165835/d831633dex31.htm" TargetMode="External"/><Relationship Id="rId82" Type="http://schemas.openxmlformats.org/officeDocument/2006/relationships/hyperlink" Target="https://www.sec.gov/Archives/edgar/data/46195/000156459020054889/boh-ex32_6.htm" TargetMode="External"/><Relationship Id="rId83" Type="http://schemas.openxmlformats.org/officeDocument/2006/relationships/hyperlink" Target="https://www.sec.gov/Archives/edgar/data/0000046195/000119312521191143/d184114dex41.htm" TargetMode="External"/><Relationship Id="rId84" Type="http://schemas.openxmlformats.org/officeDocument/2006/relationships/hyperlink" Target="https://www.sec.gov/Archives/edgar/data/0000046195/000119312524165835/d831633dex41.htm" TargetMode="External"/><Relationship Id="rId85" Type="http://schemas.openxmlformats.org/officeDocument/2006/relationships/hyperlink" Target="https://www.sec.gov/Archives/edgar/data/46195/000162828025036240/ex101-compositedirectors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2026-04-27T15:18:43Z</dcterms:created>
  <dcterms:modified xsi:type="dcterms:W3CDTF">2026-04-27T15:18:43Z</dcterms:modified>
</cp:coreProperties>
</file>