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 C. 20549</w:t>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CURRENT REPORT</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ectPr>
          <w:pgSz w:w="11900" w:h="16838" w:orient="portrait"/>
          <w:cols w:equalWidth="0" w:num="1">
            <w:col w:w="11180"/>
          </w:cols>
          <w:pgMar w:left="300" w:top="808" w:right="419" w:bottom="1440" w:gutter="0" w:footer="0" w:header="0"/>
        </w:sectPr>
      </w:pPr>
    </w:p>
    <w:p>
      <w:pPr>
        <w:spacing w:after="0" w:line="224" w:lineRule="exact"/>
        <w:rPr>
          <w:sz w:val="24"/>
          <w:szCs w:val="24"/>
          <w:color w:val="auto"/>
        </w:rPr>
      </w:pPr>
    </w:p>
    <w:p>
      <w:pPr>
        <w:ind w:left="3780"/>
        <w:spacing w:after="0"/>
        <w:rPr>
          <w:sz w:val="20"/>
          <w:szCs w:val="20"/>
          <w:color w:val="auto"/>
        </w:rPr>
      </w:pPr>
      <w:r>
        <w:rPr>
          <w:rFonts w:ascii="Arial" w:cs="Arial" w:eastAsia="Arial" w:hAnsi="Arial"/>
          <w:sz w:val="11"/>
          <w:szCs w:val="11"/>
          <w:color w:val="auto"/>
        </w:rPr>
        <w:t>Date of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June 26, 2020</w:t>
      </w:r>
    </w:p>
    <w:p>
      <w:pPr>
        <w:spacing w:after="0" w:line="79" w:lineRule="exact"/>
        <w:rPr>
          <w:sz w:val="24"/>
          <w:szCs w:val="24"/>
          <w:color w:val="auto"/>
        </w:rPr>
      </w:pPr>
    </w:p>
    <w:p>
      <w:pPr>
        <w:sectPr>
          <w:pgSz w:w="11900" w:h="16838" w:orient="portrait"/>
          <w:cols w:equalWidth="0" w:num="2">
            <w:col w:w="6060" w:space="720"/>
            <w:col w:w="4400"/>
          </w:cols>
          <w:pgMar w:left="300" w:top="808" w:right="419" w:bottom="1440" w:gutter="0" w:footer="0" w:header="0"/>
          <w:type w:val="continuous"/>
        </w:sectPr>
      </w:pPr>
    </w:p>
    <w:p>
      <w:pPr>
        <w:ind w:left="3340"/>
        <w:spacing w:after="0"/>
        <w:rPr>
          <w:sz w:val="20"/>
          <w:szCs w:val="20"/>
          <w:color w:val="auto"/>
        </w:rPr>
      </w:pPr>
      <w:r>
        <w:rPr>
          <w:rFonts w:ascii="Arial" w:cs="Arial" w:eastAsia="Arial" w:hAnsi="Arial"/>
          <w:sz w:val="11"/>
          <w:szCs w:val="11"/>
          <w:color w:val="auto"/>
        </w:rPr>
        <w:t>(Date of earliest event reported)</w:t>
      </w:r>
    </w:p>
    <w:p>
      <w:pPr>
        <w:sectPr>
          <w:pgSz w:w="11900" w:h="16838" w:orient="portrait"/>
          <w:cols w:equalWidth="0" w:num="1">
            <w:col w:w="11180"/>
          </w:cols>
          <w:pgMar w:left="300" w:top="808" w:right="419" w:bottom="1440" w:gutter="0" w:footer="0" w:header="0"/>
          <w:type w:val="continuous"/>
        </w:sectPr>
      </w:pPr>
    </w:p>
    <w:p>
      <w:pPr>
        <w:spacing w:after="0" w:line="29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BANK OF HAWAII CORP</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09" w:lineRule="exact"/>
        <w:rPr>
          <w:sz w:val="24"/>
          <w:szCs w:val="24"/>
          <w:color w:val="auto"/>
        </w:rPr>
      </w:pPr>
    </w:p>
    <w:tbl>
      <w:tblPr>
        <w:tblLayout w:type="fixed"/>
        <w:tblInd w:w="40" w:type="dxa"/>
        <w:tblCellMar>
          <w:top w:w="0" w:type="dxa"/>
          <w:left w:w="0" w:type="dxa"/>
          <w:bottom w:w="0" w:type="dxa"/>
          <w:right w:w="0" w:type="dxa"/>
        </w:tblCellMar>
      </w:tblPr>
      <w:tr>
        <w:trPr>
          <w:trHeight w:val="165"/>
        </w:trPr>
        <w:tc>
          <w:tcPr>
            <w:tcW w:w="2800" w:type="dxa"/>
            <w:vAlign w:val="bottom"/>
            <w:gridSpan w:val="3"/>
          </w:tcPr>
          <w:p>
            <w:pPr>
              <w:ind w:left="1600"/>
              <w:spacing w:after="0"/>
              <w:rPr>
                <w:sz w:val="20"/>
                <w:szCs w:val="20"/>
                <w:color w:val="auto"/>
              </w:rPr>
            </w:pPr>
            <w:r>
              <w:rPr>
                <w:rFonts w:ascii="Arial" w:cs="Arial" w:eastAsia="Arial" w:hAnsi="Arial"/>
                <w:sz w:val="13"/>
                <w:szCs w:val="13"/>
                <w:b w:val="1"/>
                <w:bCs w:val="1"/>
                <w:color w:val="auto"/>
              </w:rPr>
              <w:t>Delaware</w:t>
            </w:r>
          </w:p>
        </w:tc>
        <w:tc>
          <w:tcPr>
            <w:tcW w:w="1060" w:type="dxa"/>
            <w:vAlign w:val="bottom"/>
          </w:tcPr>
          <w:p>
            <w:pPr>
              <w:spacing w:after="0"/>
              <w:rPr>
                <w:sz w:val="14"/>
                <w:szCs w:val="14"/>
                <w:color w:val="auto"/>
              </w:rPr>
            </w:pPr>
          </w:p>
        </w:tc>
        <w:tc>
          <w:tcPr>
            <w:tcW w:w="2060" w:type="dxa"/>
            <w:vAlign w:val="bottom"/>
            <w:gridSpan w:val="2"/>
          </w:tcPr>
          <w:p>
            <w:pPr>
              <w:jc w:val="center"/>
              <w:ind w:left="1396"/>
              <w:spacing w:after="0"/>
              <w:rPr>
                <w:sz w:val="20"/>
                <w:szCs w:val="20"/>
                <w:color w:val="auto"/>
              </w:rPr>
            </w:pPr>
            <w:r>
              <w:rPr>
                <w:rFonts w:ascii="Arial" w:cs="Arial" w:eastAsia="Arial" w:hAnsi="Arial"/>
                <w:sz w:val="13"/>
                <w:szCs w:val="13"/>
                <w:b w:val="1"/>
                <w:bCs w:val="1"/>
                <w:color w:val="auto"/>
                <w:w w:val="88"/>
              </w:rPr>
              <w:t>1-6887</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jc w:val="right"/>
              <w:ind w:right="96"/>
              <w:spacing w:after="0"/>
              <w:rPr>
                <w:sz w:val="20"/>
                <w:szCs w:val="20"/>
                <w:color w:val="auto"/>
              </w:rPr>
            </w:pPr>
            <w:r>
              <w:rPr>
                <w:rFonts w:ascii="Arial" w:cs="Arial" w:eastAsia="Arial" w:hAnsi="Arial"/>
                <w:sz w:val="13"/>
                <w:szCs w:val="13"/>
                <w:b w:val="1"/>
                <w:bCs w:val="1"/>
                <w:color w:val="auto"/>
              </w:rPr>
              <w:t>99-0148992</w:t>
            </w:r>
          </w:p>
        </w:tc>
        <w:tc>
          <w:tcPr>
            <w:tcW w:w="400" w:type="dxa"/>
            <w:vAlign w:val="bottom"/>
          </w:tcPr>
          <w:p>
            <w:pPr>
              <w:spacing w:after="0"/>
              <w:rPr>
                <w:sz w:val="14"/>
                <w:szCs w:val="14"/>
                <w:color w:val="auto"/>
              </w:rPr>
            </w:pPr>
          </w:p>
        </w:tc>
      </w:tr>
      <w:tr>
        <w:trPr>
          <w:trHeight w:val="202"/>
        </w:trPr>
        <w:tc>
          <w:tcPr>
            <w:tcW w:w="2800" w:type="dxa"/>
            <w:vAlign w:val="bottom"/>
            <w:gridSpan w:val="3"/>
          </w:tcPr>
          <w:p>
            <w:pPr>
              <w:ind w:left="1260"/>
              <w:spacing w:after="0"/>
              <w:rPr>
                <w:sz w:val="20"/>
                <w:szCs w:val="20"/>
                <w:color w:val="auto"/>
              </w:rPr>
            </w:pPr>
            <w:r>
              <w:rPr>
                <w:rFonts w:ascii="Arial" w:cs="Arial" w:eastAsia="Arial" w:hAnsi="Arial"/>
                <w:sz w:val="13"/>
                <w:szCs w:val="13"/>
                <w:color w:val="auto"/>
              </w:rPr>
              <w:t>(State of Incorporation)</w:t>
            </w:r>
          </w:p>
        </w:tc>
        <w:tc>
          <w:tcPr>
            <w:tcW w:w="106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Arial" w:cs="Arial" w:eastAsia="Arial" w:hAnsi="Arial"/>
                <w:sz w:val="13"/>
                <w:szCs w:val="13"/>
                <w:color w:val="auto"/>
                <w:w w:val="90"/>
              </w:rPr>
              <w:t>(Commission File Number)</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2"/>
          </w:tcPr>
          <w:p>
            <w:pPr>
              <w:jc w:val="center"/>
              <w:ind w:left="516"/>
              <w:spacing w:after="0"/>
              <w:rPr>
                <w:sz w:val="20"/>
                <w:szCs w:val="20"/>
                <w:color w:val="auto"/>
              </w:rPr>
            </w:pPr>
            <w:r>
              <w:rPr>
                <w:rFonts w:ascii="Arial" w:cs="Arial" w:eastAsia="Arial" w:hAnsi="Arial"/>
                <w:sz w:val="13"/>
                <w:szCs w:val="13"/>
                <w:color w:val="auto"/>
                <w:w w:val="91"/>
              </w:rPr>
              <w:t>(IRS Employer Identification No.)</w:t>
            </w:r>
          </w:p>
        </w:tc>
      </w:tr>
      <w:tr>
        <w:trPr>
          <w:trHeight w:val="477"/>
        </w:trPr>
        <w:tc>
          <w:tcPr>
            <w:tcW w:w="2800" w:type="dxa"/>
            <w:vAlign w:val="bottom"/>
            <w:gridSpan w:val="3"/>
          </w:tcPr>
          <w:p>
            <w:pPr>
              <w:ind w:left="1600"/>
              <w:spacing w:after="0"/>
              <w:rPr>
                <w:sz w:val="20"/>
                <w:szCs w:val="20"/>
                <w:color w:val="auto"/>
              </w:rPr>
            </w:pPr>
            <w:r>
              <w:rPr>
                <w:rFonts w:ascii="Arial" w:cs="Arial" w:eastAsia="Arial" w:hAnsi="Arial"/>
                <w:sz w:val="13"/>
                <w:szCs w:val="13"/>
                <w:b w:val="1"/>
                <w:bCs w:val="1"/>
                <w:color w:val="auto"/>
                <w:w w:val="95"/>
              </w:rPr>
              <w:t>130 Merchant Street</w:t>
            </w:r>
          </w:p>
        </w:tc>
        <w:tc>
          <w:tcPr>
            <w:tcW w:w="1060" w:type="dxa"/>
            <w:vAlign w:val="bottom"/>
          </w:tcPr>
          <w:p>
            <w:pPr>
              <w:spacing w:after="0"/>
              <w:rPr>
                <w:sz w:val="24"/>
                <w:szCs w:val="24"/>
                <w:color w:val="auto"/>
              </w:rPr>
            </w:pPr>
          </w:p>
        </w:tc>
        <w:tc>
          <w:tcPr>
            <w:tcW w:w="346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2"/>
              </w:rPr>
              <w:t>Honolulu</w:t>
            </w: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Hawaii</w:t>
            </w:r>
          </w:p>
        </w:tc>
        <w:tc>
          <w:tcPr>
            <w:tcW w:w="2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96813</w:t>
            </w:r>
          </w:p>
        </w:tc>
      </w:tr>
      <w:tr>
        <w:trPr>
          <w:trHeight w:val="202"/>
        </w:trPr>
        <w:tc>
          <w:tcPr>
            <w:tcW w:w="3860" w:type="dxa"/>
            <w:vAlign w:val="bottom"/>
            <w:gridSpan w:val="4"/>
          </w:tcPr>
          <w:p>
            <w:pPr>
              <w:ind w:left="1140"/>
              <w:spacing w:after="0"/>
              <w:rPr>
                <w:sz w:val="20"/>
                <w:szCs w:val="20"/>
                <w:color w:val="auto"/>
              </w:rPr>
            </w:pPr>
            <w:r>
              <w:rPr>
                <w:rFonts w:ascii="Arial" w:cs="Arial" w:eastAsia="Arial" w:hAnsi="Arial"/>
                <w:sz w:val="13"/>
                <w:szCs w:val="13"/>
                <w:color w:val="auto"/>
              </w:rPr>
              <w:t>(Address of principal executive offices)</w:t>
            </w:r>
          </w:p>
        </w:tc>
        <w:tc>
          <w:tcPr>
            <w:tcW w:w="1240" w:type="dxa"/>
            <w:vAlign w:val="bottom"/>
          </w:tcPr>
          <w:p>
            <w:pPr>
              <w:spacing w:after="0"/>
              <w:rPr>
                <w:sz w:val="17"/>
                <w:szCs w:val="17"/>
                <w:color w:val="auto"/>
              </w:rPr>
            </w:pPr>
          </w:p>
        </w:tc>
        <w:tc>
          <w:tcPr>
            <w:tcW w:w="2220" w:type="dxa"/>
            <w:vAlign w:val="bottom"/>
            <w:gridSpan w:val="2"/>
          </w:tcPr>
          <w:p>
            <w:pPr>
              <w:jc w:val="center"/>
              <w:ind w:right="1740"/>
              <w:spacing w:after="0"/>
              <w:rPr>
                <w:sz w:val="20"/>
                <w:szCs w:val="20"/>
                <w:color w:val="auto"/>
              </w:rPr>
            </w:pPr>
            <w:r>
              <w:rPr>
                <w:rFonts w:ascii="Arial" w:cs="Arial" w:eastAsia="Arial" w:hAnsi="Arial"/>
                <w:sz w:val="13"/>
                <w:szCs w:val="13"/>
                <w:color w:val="auto"/>
              </w:rPr>
              <w:t>(City)</w:t>
            </w:r>
          </w:p>
        </w:tc>
        <w:tc>
          <w:tcPr>
            <w:tcW w:w="600" w:type="dxa"/>
            <w:vAlign w:val="bottom"/>
            <w:gridSpan w:val="2"/>
          </w:tcPr>
          <w:p>
            <w:pPr>
              <w:jc w:val="center"/>
              <w:spacing w:after="0"/>
              <w:rPr>
                <w:sz w:val="20"/>
                <w:szCs w:val="20"/>
                <w:color w:val="auto"/>
              </w:rPr>
            </w:pPr>
            <w:r>
              <w:rPr>
                <w:rFonts w:ascii="Arial" w:cs="Arial" w:eastAsia="Arial" w:hAnsi="Arial"/>
                <w:sz w:val="13"/>
                <w:szCs w:val="13"/>
                <w:color w:val="auto"/>
                <w:w w:val="87"/>
              </w:rPr>
              <w:t>(State)</w:t>
            </w:r>
          </w:p>
        </w:tc>
        <w:tc>
          <w:tcPr>
            <w:tcW w:w="2320" w:type="dxa"/>
            <w:vAlign w:val="bottom"/>
            <w:gridSpan w:val="2"/>
          </w:tcPr>
          <w:p>
            <w:pPr>
              <w:jc w:val="center"/>
              <w:ind w:left="1656"/>
              <w:spacing w:after="0"/>
              <w:rPr>
                <w:sz w:val="20"/>
                <w:szCs w:val="20"/>
                <w:color w:val="auto"/>
              </w:rPr>
            </w:pPr>
            <w:r>
              <w:rPr>
                <w:rFonts w:ascii="Arial" w:cs="Arial" w:eastAsia="Arial" w:hAnsi="Arial"/>
                <w:sz w:val="13"/>
                <w:szCs w:val="13"/>
                <w:color w:val="auto"/>
                <w:w w:val="91"/>
              </w:rPr>
              <w:t>(Zip Code)</w:t>
            </w:r>
          </w:p>
        </w:tc>
      </w:tr>
      <w:tr>
        <w:trPr>
          <w:trHeight w:val="221"/>
        </w:trPr>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(888) 643-3888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61"/>
        </w:trPr>
        <w:tc>
          <w:tcPr>
            <w:tcW w:w="1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60" w:type="dxa"/>
            <w:vAlign w:val="bottom"/>
            <w:gridSpan w:val="3"/>
          </w:tcPr>
          <w:p>
            <w:pPr>
              <w:jc w:val="center"/>
              <w:spacing w:after="0"/>
              <w:rPr>
                <w:sz w:val="20"/>
                <w:szCs w:val="20"/>
                <w:color w:val="auto"/>
              </w:rPr>
            </w:pPr>
            <w:r>
              <w:rPr>
                <w:rFonts w:ascii="Arial" w:cs="Arial" w:eastAsia="Arial" w:hAnsi="Arial"/>
                <w:sz w:val="13"/>
                <w:szCs w:val="13"/>
                <w:color w:val="auto"/>
                <w:w w:val="87"/>
              </w:rPr>
              <w:t>(Registrant's telephone number, including area code)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37"/>
        </w:trPr>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9"/>
              </w:rPr>
              <w:t>N/A</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1"/>
        </w:trPr>
        <w:tc>
          <w:tcPr>
            <w:tcW w:w="1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60" w:type="dxa"/>
            <w:vAlign w:val="bottom"/>
            <w:gridSpan w:val="3"/>
          </w:tcPr>
          <w:p>
            <w:pPr>
              <w:jc w:val="center"/>
              <w:spacing w:after="0"/>
              <w:rPr>
                <w:sz w:val="20"/>
                <w:szCs w:val="20"/>
                <w:color w:val="auto"/>
              </w:rPr>
            </w:pPr>
            <w:r>
              <w:rPr>
                <w:rFonts w:ascii="Arial" w:cs="Arial" w:eastAsia="Arial" w:hAnsi="Arial"/>
                <w:sz w:val="13"/>
                <w:szCs w:val="13"/>
                <w:color w:val="auto"/>
                <w:w w:val="88"/>
              </w:rPr>
              <w:t>(Former name or former address, if changed since last report)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54"/>
        </w:trPr>
        <w:tc>
          <w:tcPr>
            <w:tcW w:w="386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1"/>
        </w:trPr>
        <w:tc>
          <w:tcPr>
            <w:tcW w:w="2800" w:type="dxa"/>
            <w:vAlign w:val="bottom"/>
            <w:gridSpan w:val="3"/>
          </w:tcPr>
          <w:p>
            <w:pPr>
              <w:ind w:left="1640"/>
              <w:spacing w:after="0"/>
              <w:rPr>
                <w:sz w:val="20"/>
                <w:szCs w:val="20"/>
                <w:color w:val="auto"/>
              </w:rPr>
            </w:pPr>
            <w:r>
              <w:rPr>
                <w:rFonts w:ascii="Arial" w:cs="Arial" w:eastAsia="Arial" w:hAnsi="Arial"/>
                <w:sz w:val="13"/>
                <w:szCs w:val="13"/>
                <w:color w:val="auto"/>
              </w:rPr>
              <w:t>Title of each class</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gridSpan w:val="2"/>
          </w:tcPr>
          <w:p>
            <w:pPr>
              <w:jc w:val="center"/>
              <w:ind w:right="1400"/>
              <w:spacing w:after="0"/>
              <w:rPr>
                <w:sz w:val="20"/>
                <w:szCs w:val="20"/>
                <w:color w:val="auto"/>
              </w:rPr>
            </w:pPr>
            <w:r>
              <w:rPr>
                <w:rFonts w:ascii="Arial" w:cs="Arial" w:eastAsia="Arial" w:hAnsi="Arial"/>
                <w:sz w:val="13"/>
                <w:szCs w:val="13"/>
                <w:color w:val="auto"/>
                <w:w w:val="90"/>
              </w:rPr>
              <w:t>Trading Symbol</w:t>
            </w:r>
          </w:p>
        </w:tc>
        <w:tc>
          <w:tcPr>
            <w:tcW w:w="2920" w:type="dxa"/>
            <w:vAlign w:val="bottom"/>
            <w:gridSpan w:val="4"/>
          </w:tcPr>
          <w:p>
            <w:pPr>
              <w:jc w:val="center"/>
              <w:ind w:right="140"/>
              <w:spacing w:after="0"/>
              <w:rPr>
                <w:sz w:val="20"/>
                <w:szCs w:val="20"/>
                <w:color w:val="auto"/>
              </w:rPr>
            </w:pPr>
            <w:r>
              <w:rPr>
                <w:rFonts w:ascii="Arial" w:cs="Arial" w:eastAsia="Arial" w:hAnsi="Arial"/>
                <w:sz w:val="13"/>
                <w:szCs w:val="13"/>
                <w:color w:val="auto"/>
                <w:w w:val="87"/>
              </w:rPr>
              <w:t>Name of each exchange on which registered</w:t>
            </w:r>
          </w:p>
        </w:tc>
      </w:tr>
      <w:tr>
        <w:trPr>
          <w:trHeight w:val="209"/>
        </w:trPr>
        <w:tc>
          <w:tcPr>
            <w:tcW w:w="1640" w:type="dxa"/>
            <w:vAlign w:val="bottom"/>
          </w:tcPr>
          <w:p>
            <w:pPr>
              <w:ind w:left="740"/>
              <w:spacing w:after="0"/>
              <w:rPr>
                <w:sz w:val="20"/>
                <w:szCs w:val="20"/>
                <w:color w:val="auto"/>
              </w:rPr>
            </w:pPr>
            <w:r>
              <w:rPr>
                <w:rFonts w:ascii="Arial" w:cs="Arial" w:eastAsia="Arial" w:hAnsi="Arial"/>
                <w:sz w:val="13"/>
                <w:szCs w:val="13"/>
                <w:b w:val="1"/>
                <w:bCs w:val="1"/>
                <w:color w:val="auto"/>
                <w:w w:val="92"/>
              </w:rPr>
              <w:t>Common Stock</w:t>
            </w: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3"/>
                <w:szCs w:val="13"/>
                <w:b w:val="1"/>
                <w:bCs w:val="1"/>
                <w:color w:val="auto"/>
              </w:rPr>
              <w:t>$.01 Par Value</w:t>
            </w:r>
          </w:p>
        </w:tc>
        <w:tc>
          <w:tcPr>
            <w:tcW w:w="124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BOH</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center"/>
              <w:ind w:right="256"/>
              <w:spacing w:after="0"/>
              <w:rPr>
                <w:sz w:val="20"/>
                <w:szCs w:val="20"/>
                <w:color w:val="auto"/>
              </w:rPr>
            </w:pPr>
            <w:r>
              <w:rPr>
                <w:rFonts w:ascii="Arial" w:cs="Arial" w:eastAsia="Arial" w:hAnsi="Arial"/>
                <w:sz w:val="13"/>
                <w:szCs w:val="13"/>
                <w:b w:val="1"/>
                <w:bCs w:val="1"/>
                <w:color w:val="auto"/>
                <w:w w:val="88"/>
              </w:rPr>
              <w:t>New York Stock Exchange</w:t>
            </w:r>
          </w:p>
        </w:tc>
        <w:tc>
          <w:tcPr>
            <w:tcW w:w="400" w:type="dxa"/>
            <w:vAlign w:val="bottom"/>
          </w:tcPr>
          <w:p>
            <w:pPr>
              <w:spacing w:after="0"/>
              <w:rPr>
                <w:sz w:val="18"/>
                <w:szCs w:val="18"/>
                <w:color w:val="auto"/>
              </w:rPr>
            </w:pPr>
          </w:p>
        </w:tc>
      </w:tr>
    </w:tbl>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580" w:hanging="193"/>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580" w:hanging="193"/>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580" w:hanging="193"/>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left="580" w:hanging="193"/>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 (c))</w:t>
      </w:r>
    </w:p>
    <w:p>
      <w:pPr>
        <w:spacing w:after="0" w:line="200"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380"/>
        <w:spacing w:after="0" w:line="161" w:lineRule="exact"/>
        <w:tabs>
          <w:tab w:leader="none" w:pos="20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67" w:lineRule="exact"/>
        <w:rPr>
          <w:sz w:val="24"/>
          <w:szCs w:val="24"/>
          <w:color w:val="auto"/>
        </w:rPr>
      </w:pPr>
    </w:p>
    <w:p>
      <w:pPr>
        <w:ind w:right="120"/>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80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204"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On January 30, 2020, the Company announced the retirement of Mark A. Rossi, Vice Chairman, Chief Administrative Officer, General Counsel and Corporate Secretary from the Company to be effective on July 1, 2020. The Company and Mr. Rossi have agreed to extend his retirement date to December 31, 2020 and his previously announced Separation Agreement has been amended to reflect the extended retirement date as set forth in Amendment No. 1 to the Separation Agreement which was approved by the Human Resources and Compensation Committee of the Company (the “Committee”) on June 26, 2020. To provide for the orderly transition of Mr. Rossi’s duties and responsibilities, the Committee also approved on June 26, 2020 a Transition Consulting Agreement. The Transition Consulting Agreement provides Mr. Rossi will continue to serve as a consultant to the Company on an as-needed basis regarding its business and operations and the transition of his duties for a 24 month period from January 1, 2021 to December 31, 2022 (the “Transition Consulting Period”). For these services, Mr. Rossi will receive a transition consulting fee of $20,834.00 per month during the Transition Consulting Period. Payments made to Mr. Rossi pursuant to his Transition Consulting Agreement are subject to his compliance with certain covenants including those relating to nondisclosure of Company information, non-competition and non-solicitation.</w:t>
      </w:r>
    </w:p>
    <w:p>
      <w:pPr>
        <w:spacing w:after="0" w:line="15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 copy of Amendment No. 1 to the Separation Agreement and the Transition Consulting Agreement are attached as Exhibit 10.1 and Exhibit 10.2 to this Current Report on Form 8-K and incorporated herein by reference.</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00" w:lineRule="exact"/>
        <w:rPr>
          <w:sz w:val="20"/>
          <w:szCs w:val="20"/>
          <w:color w:val="auto"/>
        </w:rPr>
      </w:pPr>
    </w:p>
    <w:p>
      <w:pPr>
        <w:spacing w:after="0"/>
        <w:rPr>
          <w:rFonts w:ascii="Arial" w:cs="Arial" w:eastAsia="Arial" w:hAnsi="Arial"/>
          <w:sz w:val="14"/>
          <w:szCs w:val="14"/>
          <w:color w:val="0000FF"/>
        </w:rPr>
      </w:pPr>
      <w:hyperlink w:anchor="page4">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hyperlink>
      <w:r>
        <w:rPr>
          <w:rFonts w:ascii="Arial" w:cs="Arial" w:eastAsia="Arial" w:hAnsi="Arial"/>
          <w:sz w:val="14"/>
          <w:szCs w:val="14"/>
          <w:color w:val="000000"/>
        </w:rPr>
        <w:t>Amendment</w:t>
      </w:r>
      <w:r>
        <w:rPr>
          <w:rFonts w:ascii="Arial" w:cs="Arial" w:eastAsia="Arial" w:hAnsi="Arial"/>
          <w:sz w:val="14"/>
          <w:szCs w:val="14"/>
          <w:color w:val="0000FF"/>
        </w:rPr>
        <w:t xml:space="preserve"> </w:t>
      </w:r>
      <w:r>
        <w:rPr>
          <w:rFonts w:ascii="Arial" w:cs="Arial" w:eastAsia="Arial" w:hAnsi="Arial"/>
          <w:sz w:val="14"/>
          <w:szCs w:val="14"/>
          <w:color w:val="000000"/>
        </w:rPr>
        <w:t>No. 1 to the Separation Agreement</w:t>
      </w:r>
    </w:p>
    <w:p>
      <w:pPr>
        <w:spacing w:after="0" w:line="10" w:lineRule="exact"/>
        <w:rPr>
          <w:sz w:val="20"/>
          <w:szCs w:val="20"/>
          <w:color w:val="auto"/>
        </w:rPr>
      </w:pPr>
    </w:p>
    <w:p>
      <w:pPr>
        <w:spacing w:after="0"/>
        <w:rPr>
          <w:rFonts w:ascii="Arial" w:cs="Arial" w:eastAsia="Arial" w:hAnsi="Arial"/>
          <w:sz w:val="14"/>
          <w:szCs w:val="14"/>
          <w:color w:val="0000FF"/>
        </w:rPr>
      </w:pPr>
      <w:hyperlink w:anchor="page8">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Transition</w:t>
      </w:r>
      <w:r>
        <w:rPr>
          <w:rFonts w:ascii="Arial" w:cs="Arial" w:eastAsia="Arial" w:hAnsi="Arial"/>
          <w:sz w:val="14"/>
          <w:szCs w:val="14"/>
          <w:color w:val="0000FF"/>
        </w:rPr>
        <w:t xml:space="preserve"> </w:t>
      </w:r>
      <w:r>
        <w:rPr>
          <w:rFonts w:ascii="Arial" w:cs="Arial" w:eastAsia="Arial" w:hAnsi="Arial"/>
          <w:sz w:val="14"/>
          <w:szCs w:val="14"/>
          <w:color w:val="000000"/>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60" w:type="dxa"/>
            <w:vAlign w:val="bottom"/>
          </w:tcPr>
          <w:p>
            <w:pPr>
              <w:spacing w:after="0"/>
              <w:rPr>
                <w:sz w:val="20"/>
                <w:szCs w:val="20"/>
                <w:color w:val="auto"/>
              </w:rPr>
            </w:pPr>
            <w:r>
              <w:rPr>
                <w:rFonts w:ascii="Arial" w:cs="Arial" w:eastAsia="Arial" w:hAnsi="Arial"/>
                <w:sz w:val="14"/>
                <w:szCs w:val="14"/>
                <w:color w:val="auto"/>
              </w:rPr>
              <w:t>Date: June 29, 2020</w:t>
            </w:r>
          </w:p>
        </w:tc>
        <w:tc>
          <w:tcPr>
            <w:tcW w:w="8000" w:type="dxa"/>
            <w:vAlign w:val="bottom"/>
            <w:gridSpan w:val="2"/>
          </w:tcPr>
          <w:p>
            <w:pPr>
              <w:ind w:left="2120"/>
              <w:spacing w:after="0"/>
              <w:rPr>
                <w:sz w:val="20"/>
                <w:szCs w:val="20"/>
                <w:color w:val="auto"/>
              </w:rPr>
            </w:pPr>
            <w:r>
              <w:rPr>
                <w:rFonts w:ascii="Arial" w:cs="Arial" w:eastAsia="Arial" w:hAnsi="Arial"/>
                <w:sz w:val="14"/>
                <w:szCs w:val="14"/>
                <w:color w:val="auto"/>
              </w:rPr>
              <w:t>Bank of Hawaii Corporation</w:t>
            </w:r>
          </w:p>
        </w:tc>
      </w:tr>
      <w:tr>
        <w:trPr>
          <w:trHeight w:val="637"/>
        </w:trPr>
        <w:tc>
          <w:tcPr>
            <w:tcW w:w="326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4"/>
                <w:szCs w:val="14"/>
                <w:color w:val="auto"/>
              </w:rPr>
              <w:t>By:</w:t>
            </w:r>
          </w:p>
        </w:tc>
        <w:tc>
          <w:tcPr>
            <w:tcW w:w="5320" w:type="dxa"/>
            <w:vAlign w:val="bottom"/>
          </w:tcPr>
          <w:p>
            <w:pPr>
              <w:ind w:left="20"/>
              <w:spacing w:after="0"/>
              <w:rPr>
                <w:sz w:val="20"/>
                <w:szCs w:val="20"/>
                <w:color w:val="auto"/>
              </w:rPr>
            </w:pPr>
            <w:r>
              <w:rPr>
                <w:rFonts w:ascii="Arial" w:cs="Arial" w:eastAsia="Arial" w:hAnsi="Arial"/>
                <w:sz w:val="14"/>
                <w:szCs w:val="14"/>
                <w:color w:val="auto"/>
              </w:rPr>
              <w:t>/s/ Mark A. Rossi</w:t>
            </w:r>
          </w:p>
        </w:tc>
      </w:tr>
      <w:tr>
        <w:trPr>
          <w:trHeight w:val="22"/>
        </w:trPr>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r>
      <w:tr>
        <w:trPr>
          <w:trHeight w:val="181"/>
        </w:trPr>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320" w:type="dxa"/>
            <w:vAlign w:val="bottom"/>
          </w:tcPr>
          <w:p>
            <w:pPr>
              <w:ind w:left="200"/>
              <w:spacing w:after="0"/>
              <w:rPr>
                <w:sz w:val="20"/>
                <w:szCs w:val="20"/>
                <w:color w:val="auto"/>
              </w:rPr>
            </w:pPr>
            <w:r>
              <w:rPr>
                <w:rFonts w:ascii="Arial" w:cs="Arial" w:eastAsia="Arial" w:hAnsi="Arial"/>
                <w:sz w:val="14"/>
                <w:szCs w:val="14"/>
                <w:color w:val="auto"/>
              </w:rPr>
              <w:t>Mark A. Rossi</w:t>
            </w:r>
          </w:p>
        </w:tc>
      </w:tr>
      <w:tr>
        <w:trPr>
          <w:trHeight w:val="212"/>
        </w:trPr>
        <w:tc>
          <w:tcPr>
            <w:tcW w:w="3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4"/>
                <w:szCs w:val="14"/>
                <w:color w:val="auto"/>
              </w:rPr>
              <w:t>Vice Chairman and Corporate Secretary</w:t>
            </w:r>
          </w:p>
        </w:tc>
      </w:tr>
    </w:tbl>
    <w:p>
      <w:pPr>
        <w:sectPr>
          <w:pgSz w:w="11900" w:h="16838" w:orient="portrait"/>
          <w:cols w:equalWidth="0" w:num="1">
            <w:col w:w="11260"/>
          </w:cols>
          <w:pgMar w:left="320" w:top="730"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2020-06-29T14:59:57Z</dcterms:created>
  <dcterms:modified xsi:type="dcterms:W3CDTF">2020-06-29T14:59:57Z</dcterms:modified>
</cp:coreProperties>
</file>