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6" w:lineRule="exact"/>
        <w:rPr>
          <w:sz w:val="24"/>
          <w:szCs w:val="24"/>
          <w:color w:val="auto"/>
        </w:rPr>
      </w:pPr>
    </w:p>
    <w:p>
      <w:pPr>
        <w:ind w:left="360" w:right="2060" w:hanging="176"/>
        <w:spacing w:after="0" w:line="298" w:lineRule="auto"/>
        <w:tabs>
          <w:tab w:leader="none" w:pos="536"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600" w:hanging="416"/>
        <w:spacing w:after="0"/>
        <w:tabs>
          <w:tab w:leader="none" w:pos="60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 for the transition</w:t>
      </w:r>
    </w:p>
    <w:p>
      <w:pPr>
        <w:spacing w:after="0" w:line="4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w w:val="93"/>
              </w:rPr>
              <w:t>period from</w:t>
            </w:r>
          </w:p>
        </w:tc>
        <w:tc>
          <w:tcPr>
            <w:tcW w:w="500" w:type="dxa"/>
            <w:vAlign w:val="bottom"/>
          </w:tcPr>
          <w:p>
            <w:pPr>
              <w:spacing w:after="0"/>
              <w:rPr>
                <w:sz w:val="17"/>
                <w:szCs w:val="17"/>
                <w:color w:val="auto"/>
              </w:rPr>
            </w:pPr>
          </w:p>
        </w:tc>
        <w:tc>
          <w:tcPr>
            <w:tcW w:w="4960" w:type="dxa"/>
            <w:vAlign w:val="bottom"/>
            <w:gridSpan w:val="3"/>
          </w:tcPr>
          <w:p>
            <w:pPr>
              <w:ind w:left="80"/>
              <w:spacing w:after="0"/>
              <w:rPr>
                <w:sz w:val="20"/>
                <w:szCs w:val="20"/>
                <w:color w:val="auto"/>
              </w:rPr>
            </w:pPr>
            <w:r>
              <w:rPr>
                <w:rFonts w:ascii="Arial" w:cs="Arial" w:eastAsia="Arial" w:hAnsi="Arial"/>
                <w:sz w:val="18"/>
                <w:szCs w:val="18"/>
                <w:b w:val="1"/>
                <w:bCs w:val="1"/>
                <w:color w:val="auto"/>
              </w:rPr>
              <w:t>to</w:t>
            </w:r>
          </w:p>
        </w:tc>
      </w:tr>
      <w:tr>
        <w:trPr>
          <w:trHeight w:val="453"/>
        </w:trPr>
        <w:tc>
          <w:tcPr>
            <w:tcW w:w="9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180" w:type="dxa"/>
            <w:vAlign w:val="bottom"/>
          </w:tcPr>
          <w:p>
            <w:pPr>
              <w:ind w:left="1600"/>
              <w:spacing w:after="0"/>
              <w:rPr>
                <w:sz w:val="20"/>
                <w:szCs w:val="20"/>
                <w:color w:val="auto"/>
              </w:rPr>
            </w:pPr>
            <w:r>
              <w:rPr>
                <w:rFonts w:ascii="Arial" w:cs="Arial" w:eastAsia="Arial" w:hAnsi="Arial"/>
                <w:sz w:val="18"/>
                <w:szCs w:val="18"/>
                <w:b w:val="1"/>
                <w:bCs w:val="1"/>
                <w:color w:val="auto"/>
                <w:w w:val="90"/>
              </w:rPr>
              <w:t>Commission File Number: 1-6887</w:t>
            </w:r>
          </w:p>
        </w:tc>
      </w:tr>
    </w:tbl>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BANK OF HAWAII CORP</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60"/>
          </w:cols>
          <w:pgMar w:left="240" w:top="238" w:right="399" w:bottom="1440" w:gutter="0" w:footer="0" w:header="0"/>
        </w:sectPr>
      </w:pPr>
    </w:p>
    <w:p>
      <w:pPr>
        <w:spacing w:after="0" w:line="264" w:lineRule="exact"/>
        <w:rPr>
          <w:sz w:val="24"/>
          <w:szCs w:val="24"/>
          <w:color w:val="auto"/>
        </w:rPr>
      </w:pPr>
    </w:p>
    <w:p>
      <w:pPr>
        <w:ind w:left="2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99-0148992</w:t>
      </w:r>
    </w:p>
    <w:p>
      <w:pPr>
        <w:spacing w:after="0" w:line="99" w:lineRule="exact"/>
        <w:rPr>
          <w:sz w:val="24"/>
          <w:szCs w:val="24"/>
          <w:color w:val="auto"/>
        </w:rPr>
      </w:pPr>
    </w:p>
    <w:p>
      <w:pPr>
        <w:sectPr>
          <w:pgSz w:w="11900" w:h="16838" w:orient="portrait"/>
          <w:cols w:equalWidth="0" w:num="2">
            <w:col w:w="7520" w:space="720"/>
            <w:col w:w="3020"/>
          </w:cols>
          <w:pgMar w:left="240" w:top="238" w:right="399" w:bottom="1440" w:gutter="0" w:footer="0" w:header="0"/>
          <w:type w:val="continuous"/>
        </w:sectPr>
      </w:pPr>
    </w:p>
    <w:p>
      <w:pPr>
        <w:ind w:left="216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740" w:space="720"/>
            <w:col w:w="3800"/>
          </w:cols>
          <w:pgMar w:left="240" w:top="238" w:right="399" w:bottom="1440" w:gutter="0" w:footer="0" w:header="0"/>
          <w:type w:val="continuous"/>
        </w:sectPr>
      </w:pPr>
    </w:p>
    <w:p>
      <w:pPr>
        <w:spacing w:after="0" w:line="150" w:lineRule="exact"/>
        <w:rPr>
          <w:sz w:val="24"/>
          <w:szCs w:val="24"/>
          <w:color w:val="auto"/>
        </w:rPr>
      </w:pPr>
    </w:p>
    <w:p>
      <w:pPr>
        <w:ind w:left="1240"/>
        <w:spacing w:after="0"/>
        <w:rPr>
          <w:sz w:val="20"/>
          <w:szCs w:val="20"/>
          <w:color w:val="auto"/>
        </w:rPr>
      </w:pPr>
      <w:r>
        <w:rPr>
          <w:rFonts w:ascii="Arial" w:cs="Arial" w:eastAsia="Arial" w:hAnsi="Arial"/>
          <w:sz w:val="14"/>
          <w:szCs w:val="14"/>
          <w:b w:val="1"/>
          <w:bCs w:val="1"/>
          <w:color w:val="auto"/>
        </w:rPr>
        <w:t>130 Merchant Street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Honolulu</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Hawaii</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96813</w:t>
      </w:r>
    </w:p>
    <w:p>
      <w:pPr>
        <w:spacing w:after="0" w:line="99" w:lineRule="exact"/>
        <w:rPr>
          <w:sz w:val="24"/>
          <w:szCs w:val="24"/>
          <w:color w:val="auto"/>
        </w:rPr>
      </w:pPr>
    </w:p>
    <w:p>
      <w:pPr>
        <w:sectPr>
          <w:pgSz w:w="11900" w:h="16838" w:orient="portrait"/>
          <w:cols w:equalWidth="0" w:num="4">
            <w:col w:w="3820" w:space="720"/>
            <w:col w:w="1300" w:space="720"/>
            <w:col w:w="2120" w:space="720"/>
            <w:col w:w="1860"/>
          </w:cols>
          <w:pgMar w:left="240" w:top="238" w:right="399"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Arial" w:cs="Arial" w:eastAsia="Arial" w:hAnsi="Arial"/>
          <w:sz w:val="15"/>
          <w:szCs w:val="15"/>
          <w:color w:val="auto"/>
        </w:rPr>
        <w:t>(City)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53" w:lineRule="exact"/>
        <w:rPr>
          <w:sz w:val="24"/>
          <w:szCs w:val="24"/>
          <w:color w:val="auto"/>
        </w:rPr>
      </w:pPr>
    </w:p>
    <w:p>
      <w:pPr>
        <w:sectPr>
          <w:pgSz w:w="11900" w:h="16838" w:orient="portrait"/>
          <w:cols w:equalWidth="0" w:num="4">
            <w:col w:w="3960" w:space="720"/>
            <w:col w:w="1200" w:space="720"/>
            <w:col w:w="1920" w:space="720"/>
            <w:col w:w="2020"/>
          </w:cols>
          <w:pgMar w:left="240" w:top="238" w:right="399" w:bottom="1440" w:gutter="0" w:footer="0" w:header="0"/>
          <w:type w:val="continuous"/>
        </w:sectPr>
      </w:pPr>
    </w:p>
    <w:p>
      <w:pPr>
        <w:jc w:val="center"/>
        <w:ind w:right="-219"/>
        <w:spacing w:after="0"/>
        <w:rPr>
          <w:sz w:val="20"/>
          <w:szCs w:val="20"/>
          <w:color w:val="auto"/>
        </w:rPr>
      </w:pPr>
      <w:r>
        <w:rPr>
          <w:rFonts w:ascii="Arial" w:cs="Arial" w:eastAsia="Arial" w:hAnsi="Arial"/>
          <w:sz w:val="16"/>
          <w:szCs w:val="16"/>
          <w:b w:val="1"/>
          <w:bCs w:val="1"/>
          <w:color w:val="auto"/>
        </w:rPr>
        <w:t>1-888-643-3888</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260"/>
          </w:cols>
          <w:pgMar w:left="240" w:top="238" w:right="399" w:bottom="1440" w:gutter="0" w:footer="0" w:header="0"/>
          <w:type w:val="continuous"/>
        </w:sectPr>
      </w:pPr>
    </w:p>
    <w:p>
      <w:pPr>
        <w:spacing w:after="0" w:line="9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7" w:lineRule="exact"/>
        <w:rPr>
          <w:sz w:val="24"/>
          <w:szCs w:val="24"/>
          <w:color w:val="auto"/>
        </w:rPr>
      </w:pPr>
    </w:p>
    <w:tbl>
      <w:tblPr>
        <w:tblLayout w:type="fixed"/>
        <w:tblInd w:w="104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auto"/>
              </w:rPr>
              <w:t>Title of each class</w:t>
            </w:r>
          </w:p>
        </w:tc>
        <w:tc>
          <w:tcPr>
            <w:tcW w:w="2940" w:type="dxa"/>
            <w:vAlign w:val="bottom"/>
            <w:gridSpan w:val="3"/>
          </w:tcPr>
          <w:p>
            <w:pPr>
              <w:jc w:val="center"/>
              <w:ind w:right="200"/>
              <w:spacing w:after="0"/>
              <w:rPr>
                <w:sz w:val="20"/>
                <w:szCs w:val="20"/>
                <w:color w:val="auto"/>
              </w:rPr>
            </w:pPr>
            <w:r>
              <w:rPr>
                <w:rFonts w:ascii="Arial" w:cs="Arial" w:eastAsia="Arial" w:hAnsi="Arial"/>
                <w:sz w:val="16"/>
                <w:szCs w:val="16"/>
                <w:color w:val="auto"/>
                <w:w w:val="94"/>
              </w:rPr>
              <w:t>Trading Symbol</w:t>
            </w:r>
          </w:p>
        </w:tc>
        <w:tc>
          <w:tcPr>
            <w:tcW w:w="286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71"/>
        </w:trPr>
        <w:tc>
          <w:tcPr>
            <w:tcW w:w="1100" w:type="dxa"/>
            <w:vAlign w:val="bottom"/>
          </w:tcPr>
          <w:p>
            <w:pPr>
              <w:spacing w:after="0"/>
              <w:rPr>
                <w:sz w:val="20"/>
                <w:szCs w:val="20"/>
                <w:color w:val="auto"/>
              </w:rPr>
            </w:pPr>
            <w:r>
              <w:rPr>
                <w:rFonts w:ascii="Arial" w:cs="Arial" w:eastAsia="Arial" w:hAnsi="Arial"/>
                <w:sz w:val="16"/>
                <w:szCs w:val="16"/>
                <w:b w:val="1"/>
                <w:bCs w:val="1"/>
                <w:color w:val="auto"/>
                <w:w w:val="91"/>
              </w:rPr>
              <w:t>Common Stock</w:t>
            </w:r>
          </w:p>
        </w:tc>
        <w:tc>
          <w:tcPr>
            <w:tcW w:w="2840" w:type="dxa"/>
            <w:vAlign w:val="bottom"/>
            <w:gridSpan w:val="2"/>
          </w:tcPr>
          <w:p>
            <w:pPr>
              <w:ind w:left="1000"/>
              <w:spacing w:after="0"/>
              <w:rPr>
                <w:sz w:val="20"/>
                <w:szCs w:val="20"/>
                <w:color w:val="auto"/>
              </w:rPr>
            </w:pPr>
            <w:r>
              <w:rPr>
                <w:rFonts w:ascii="Arial" w:cs="Arial" w:eastAsia="Arial" w:hAnsi="Arial"/>
                <w:sz w:val="16"/>
                <w:szCs w:val="16"/>
                <w:b w:val="1"/>
                <w:bCs w:val="1"/>
                <w:color w:val="auto"/>
              </w:rPr>
              <w:t>$.01 Par Value</w:t>
            </w:r>
          </w:p>
        </w:tc>
        <w:tc>
          <w:tcPr>
            <w:tcW w:w="840" w:type="dxa"/>
            <w:vAlign w:val="bottom"/>
          </w:tcPr>
          <w:p>
            <w:pPr>
              <w:spacing w:after="0"/>
              <w:rPr>
                <w:sz w:val="23"/>
                <w:szCs w:val="23"/>
                <w:color w:val="auto"/>
              </w:rPr>
            </w:pPr>
          </w:p>
        </w:tc>
        <w:tc>
          <w:tcPr>
            <w:tcW w:w="2100" w:type="dxa"/>
            <w:vAlign w:val="bottom"/>
            <w:gridSpan w:val="2"/>
          </w:tcPr>
          <w:p>
            <w:pPr>
              <w:jc w:val="center"/>
              <w:ind w:right="1020"/>
              <w:spacing w:after="0"/>
              <w:rPr>
                <w:sz w:val="20"/>
                <w:szCs w:val="20"/>
                <w:color w:val="auto"/>
              </w:rPr>
            </w:pPr>
            <w:r>
              <w:rPr>
                <w:rFonts w:ascii="Arial" w:cs="Arial" w:eastAsia="Arial" w:hAnsi="Arial"/>
                <w:sz w:val="16"/>
                <w:szCs w:val="16"/>
                <w:b w:val="1"/>
                <w:bCs w:val="1"/>
                <w:color w:val="auto"/>
              </w:rPr>
              <w:t>BOH</w:t>
            </w:r>
          </w:p>
        </w:tc>
        <w:tc>
          <w:tcPr>
            <w:tcW w:w="286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293" w:lineRule="exact"/>
        <w:rPr>
          <w:sz w:val="24"/>
          <w:szCs w:val="24"/>
          <w:color w:val="auto"/>
        </w:rPr>
      </w:pPr>
    </w:p>
    <w:p>
      <w:pPr>
        <w:ind w:right="20"/>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59"/>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42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59"/>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580" w:type="dxa"/>
        <w:tblCellMar>
          <w:top w:w="0" w:type="dxa"/>
          <w:left w:w="0" w:type="dxa"/>
          <w:bottom w:w="0" w:type="dxa"/>
          <w:right w:w="0" w:type="dxa"/>
        </w:tblCellMar>
      </w:tblPr>
      <w:tr>
        <w:trPr>
          <w:trHeight w:val="254"/>
        </w:trPr>
        <w:tc>
          <w:tcPr>
            <w:tcW w:w="3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940" w:type="dxa"/>
            <w:vAlign w:val="bottom"/>
          </w:tcPr>
          <w:p>
            <w:pPr>
              <w:ind w:left="160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180"/>
              <w:spacing w:after="0"/>
              <w:rPr>
                <w:sz w:val="20"/>
                <w:szCs w:val="20"/>
                <w:color w:val="auto"/>
              </w:rPr>
            </w:pPr>
            <w:r>
              <w:rPr>
                <w:rFonts w:ascii="Arial" w:cs="Arial" w:eastAsia="Arial" w:hAnsi="Arial"/>
                <w:sz w:val="16"/>
                <w:szCs w:val="16"/>
                <w:color w:val="auto"/>
              </w:rPr>
              <w:t>Accelerated filer</w:t>
            </w:r>
          </w:p>
        </w:tc>
        <w:tc>
          <w:tcPr>
            <w:tcW w:w="142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3040" w:type="dxa"/>
            <w:vAlign w:val="bottom"/>
          </w:tcPr>
          <w:p>
            <w:pPr>
              <w:spacing w:after="0"/>
              <w:rPr>
                <w:sz w:val="20"/>
                <w:szCs w:val="20"/>
                <w:color w:val="auto"/>
              </w:rPr>
            </w:pPr>
            <w:r>
              <w:rPr>
                <w:rFonts w:ascii="Arial" w:cs="Arial" w:eastAsia="Arial" w:hAnsi="Arial"/>
                <w:sz w:val="16"/>
                <w:szCs w:val="16"/>
                <w:color w:val="auto"/>
              </w:rPr>
              <w:t>Non-accelerated filer</w:t>
            </w:r>
          </w:p>
        </w:tc>
        <w:tc>
          <w:tcPr>
            <w:tcW w:w="1940" w:type="dxa"/>
            <w:vAlign w:val="bottom"/>
          </w:tcPr>
          <w:p>
            <w:pPr>
              <w:ind w:left="160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180"/>
              <w:spacing w:after="0"/>
              <w:rPr>
                <w:sz w:val="20"/>
                <w:szCs w:val="20"/>
                <w:color w:val="auto"/>
              </w:rPr>
            </w:pPr>
            <w:r>
              <w:rPr>
                <w:rFonts w:ascii="Arial" w:cs="Arial" w:eastAsia="Arial" w:hAnsi="Arial"/>
                <w:sz w:val="16"/>
                <w:szCs w:val="16"/>
                <w:color w:val="auto"/>
              </w:rPr>
              <w:t>Smaller reporting company</w:t>
            </w:r>
          </w:p>
        </w:tc>
        <w:tc>
          <w:tcPr>
            <w:tcW w:w="142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30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240" w:type="dxa"/>
            <w:vAlign w:val="bottom"/>
          </w:tcPr>
          <w:p>
            <w:pPr>
              <w:ind w:left="180"/>
              <w:spacing w:after="0"/>
              <w:rPr>
                <w:sz w:val="20"/>
                <w:szCs w:val="20"/>
                <w:color w:val="auto"/>
              </w:rPr>
            </w:pPr>
            <w:r>
              <w:rPr>
                <w:rFonts w:ascii="Arial" w:cs="Arial" w:eastAsia="Arial" w:hAnsi="Arial"/>
                <w:sz w:val="16"/>
                <w:szCs w:val="16"/>
                <w:color w:val="auto"/>
              </w:rPr>
              <w:t>Emerging growth company</w:t>
            </w:r>
          </w:p>
        </w:tc>
        <w:tc>
          <w:tcPr>
            <w:tcW w:w="142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7" w:lineRule="exact"/>
        <w:rPr>
          <w:sz w:val="24"/>
          <w:szCs w:val="24"/>
          <w:color w:val="auto"/>
        </w:rPr>
      </w:pPr>
    </w:p>
    <w:p>
      <w:pPr>
        <w:ind w:left="5240"/>
        <w:spacing w:after="0" w:line="242"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21"/>
          <w:szCs w:val="21"/>
          <w:color w:val="auto"/>
        </w:rPr>
        <w: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color w:val="auto"/>
        </w:rPr>
        <w:t>As of October 22, 2019, there were 40,274,021 shares of common stock outstanding.</w:t>
      </w:r>
    </w:p>
    <w:p>
      <w:pPr>
        <w:sectPr>
          <w:pgSz w:w="11900" w:h="16838" w:orient="portrait"/>
          <w:cols w:equalWidth="0" w:num="1">
            <w:col w:w="11260"/>
          </w:cols>
          <w:pgMar w:left="240" w:top="238" w:right="39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Index</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34290</wp:posOffset>
            </wp:positionV>
            <wp:extent cx="4889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94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0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w:t>
              </w:r>
            </w:hyperlink>
          </w:p>
        </w:tc>
        <w:tc>
          <w:tcPr>
            <w:tcW w:w="16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and nine months ended September 30, 2019 and 2018</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w:t>
              </w:r>
            </w:hyperlink>
          </w:p>
        </w:tc>
        <w:tc>
          <w:tcPr>
            <w:tcW w:w="16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nine months ended September 30, 2019 and 2018</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Condition –</w:t>
              </w:r>
            </w:hyperlink>
          </w:p>
        </w:tc>
        <w:tc>
          <w:tcPr>
            <w:tcW w:w="168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2019 and December 31, 2018</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w:t>
              </w:r>
            </w:hyperlink>
          </w:p>
        </w:tc>
        <w:tc>
          <w:tcPr>
            <w:tcW w:w="168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Nine months ended September 30, 2019 and 2018</w:t>
              </w:r>
            </w:hyperlink>
          </w:p>
        </w:tc>
        <w:tc>
          <w:tcPr>
            <w:tcW w:w="418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w:t>
              </w:r>
            </w:hyperlink>
          </w:p>
        </w:tc>
        <w:tc>
          <w:tcPr>
            <w:tcW w:w="168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Nine months ended September 30, 2019 and 2018</w:t>
              </w:r>
            </w:hyperlink>
          </w:p>
        </w:tc>
        <w:tc>
          <w:tcPr>
            <w:tcW w:w="418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14"/>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 (Unaudited)</w:t>
              </w:r>
            </w:hyperlink>
          </w:p>
        </w:tc>
        <w:tc>
          <w:tcPr>
            <w:tcW w:w="3880" w:type="dxa"/>
            <w:vAlign w:val="bottom"/>
            <w:gridSpan w:val="4"/>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00" w:type="dxa"/>
            <w:vAlign w:val="bottom"/>
            <w:gridSpan w:val="8"/>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2.</w:t>
              </w:r>
            </w:hyperlink>
          </w:p>
        </w:tc>
        <w:tc>
          <w:tcPr>
            <w:tcW w:w="7940" w:type="dxa"/>
            <w:vAlign w:val="bottom"/>
            <w:gridSpan w:val="1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1680" w:type="dxa"/>
            <w:vAlign w:val="bottom"/>
            <w:gridSpan w:val="3"/>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3.</w:t>
              </w:r>
            </w:hyperlink>
          </w:p>
        </w:tc>
        <w:tc>
          <w:tcPr>
            <w:tcW w:w="7940" w:type="dxa"/>
            <w:vAlign w:val="bottom"/>
            <w:gridSpan w:val="1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Quantitative and Qualitative Disclosures About Market Risk</w:t>
              </w:r>
            </w:hyperlink>
          </w:p>
        </w:tc>
        <w:tc>
          <w:tcPr>
            <w:tcW w:w="168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3600" w:type="dxa"/>
            <w:vAlign w:val="bottom"/>
            <w:tcBorders>
              <w:left w:val="single" w:sz="8" w:color="0000EE"/>
            </w:tcBorders>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4.</w:t>
              </w:r>
            </w:hyperlink>
          </w:p>
        </w:tc>
        <w:tc>
          <w:tcPr>
            <w:tcW w:w="7940" w:type="dxa"/>
            <w:vAlign w:val="bottom"/>
            <w:gridSpan w:val="1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Controls and Procedures</w:t>
              </w:r>
            </w:hyperlink>
          </w:p>
        </w:tc>
        <w:tc>
          <w:tcPr>
            <w:tcW w:w="168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2120" w:type="dxa"/>
            <w:vAlign w:val="bottom"/>
            <w:tcBorders>
              <w:bottom w:val="single" w:sz="8" w:color="0000EE"/>
            </w:tcBorders>
            <w:gridSpan w:val="8"/>
          </w:tcPr>
          <w:p>
            <w:pPr>
              <w:spacing w:after="0"/>
              <w:rPr>
                <w:rFonts w:ascii="Arial" w:cs="Arial" w:eastAsia="Arial" w:hAnsi="Arial"/>
                <w:sz w:val="18"/>
                <w:szCs w:val="18"/>
                <w:b w:val="1"/>
                <w:bCs w:val="1"/>
                <w:color w:val="0000EE"/>
                <w:w w:val="96"/>
              </w:rPr>
            </w:pPr>
            <w:hyperlink w:anchor="page93">
              <w:r>
                <w:rPr>
                  <w:rFonts w:ascii="Arial" w:cs="Arial" w:eastAsia="Arial" w:hAnsi="Arial"/>
                  <w:sz w:val="18"/>
                  <w:szCs w:val="18"/>
                  <w:b w:val="1"/>
                  <w:bCs w:val="1"/>
                  <w:color w:val="0000EE"/>
                  <w:w w:val="96"/>
                </w:rPr>
                <w:t>Part II - Other Information</w:t>
              </w:r>
            </w:hyperlink>
          </w:p>
        </w:tc>
        <w:tc>
          <w:tcPr>
            <w:tcW w:w="7280" w:type="dxa"/>
            <w:vAlign w:val="bottom"/>
            <w:gridSpan w:val="14"/>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Item 1A.</w:t>
              </w:r>
            </w:hyperlink>
          </w:p>
        </w:tc>
        <w:tc>
          <w:tcPr>
            <w:tcW w:w="820" w:type="dxa"/>
            <w:vAlign w:val="bottom"/>
            <w:gridSpan w:val="2"/>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Risk Factors</w:t>
              </w:r>
            </w:hyperlink>
          </w:p>
        </w:tc>
        <w:tc>
          <w:tcPr>
            <w:tcW w:w="168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86</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2.</w:t>
              </w:r>
            </w:hyperlink>
          </w:p>
        </w:tc>
        <w:tc>
          <w:tcPr>
            <w:tcW w:w="820" w:type="dxa"/>
            <w:vAlign w:val="bottom"/>
            <w:gridSpan w:val="2"/>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Unregistered Sales of Equity Securities and Use of Proceeds</w:t>
              </w:r>
            </w:hyperlink>
          </w:p>
        </w:tc>
        <w:tc>
          <w:tcPr>
            <w:tcW w:w="168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86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740" w:type="dxa"/>
            <w:vAlign w:val="bottom"/>
            <w:gridSpan w:val="12"/>
            <w:shd w:val="clear" w:color="auto" w:fill="0000EE"/>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6.</w:t>
              </w:r>
            </w:hyperlink>
          </w:p>
        </w:tc>
        <w:tc>
          <w:tcPr>
            <w:tcW w:w="7940" w:type="dxa"/>
            <w:vAlign w:val="bottom"/>
            <w:gridSpan w:val="1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Exhibits</w:t>
              </w:r>
            </w:hyperlink>
          </w:p>
        </w:tc>
        <w:tc>
          <w:tcPr>
            <w:tcW w:w="168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86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87</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5"/>
          </w:tcPr>
          <w:p>
            <w:pPr>
              <w:ind w:left="4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60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5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23"/>
                <w:szCs w:val="23"/>
                <w:color w:val="auto"/>
              </w:rPr>
            </w:pPr>
          </w:p>
        </w:tc>
      </w:tr>
      <w:tr>
        <w:trPr>
          <w:trHeight w:val="33"/>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Interest and Fees on Loans and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110,877</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104,248</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329,789</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303,193</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Available-for-Sale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17,512</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12,588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46,016</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37,109</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Held-to-Maturity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18,796</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20,821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62,866</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62,828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Sold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656</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2,830</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2,996</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233</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364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762</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1,005</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148,083</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139,424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442,296</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407,155</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18,055</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51,967</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27,971</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4,257</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4,667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13,451</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13,848</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Purchased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146</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815</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Debt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728</w:t>
            </w: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2,195</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2,731</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23,187</w:t>
            </w: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16,497</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68,466</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44,776</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124,896</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122,927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373,830</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362,379</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4,250</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3,800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11,250</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11,425</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120,646</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119,127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362,580</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350,954</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Income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Trust and Asset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10,930</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10,782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33,076</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33,319</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Mortgage Banking</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4,864</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1,965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10,487</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6,289</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Service Charges on Deposit Accounts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7,592</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22,239</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21,249</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Fees, Exchange, and Other Service Charges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14,900</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14,173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43,360</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42,906</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(1,469)</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(3,080)</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(3,097)</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Annuity and Insurance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1,278</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1,360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5,662</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4,413</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1,647</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5,136</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6,765</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5,056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18,756</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16,478</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46,507</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41,482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135,636</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126,815</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54,345</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51,782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164,442</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158,352</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Net Occupancy</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8,803</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8,702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24,976</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25,824</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7,637</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21,365</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17,488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Data Processing</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4,676</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4,241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13,929</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12,695</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2,184</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6,814</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7,525</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FDIC Insurance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1,257</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2,057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3,816</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6,396</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21,447</w:t>
            </w: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15,434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50,789</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47,433</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100,349</w:t>
            </w: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90,538</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286,131</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275,713</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66,804</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70,071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212,085</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202,056</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14,752</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13,138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44,315</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36,365</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52,052</w:t>
            </w:r>
          </w:p>
        </w:tc>
        <w:tc>
          <w:tcPr>
            <w:tcW w:w="6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56,933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167,770</w:t>
            </w:r>
          </w:p>
        </w:tc>
        <w:tc>
          <w:tcPr>
            <w:tcW w:w="5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165,691</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26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2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4.14</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3.96</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1.29</w:t>
            </w:r>
          </w:p>
        </w:tc>
        <w:tc>
          <w:tcPr>
            <w:tcW w:w="6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4.11</w:t>
            </w:r>
          </w:p>
        </w:tc>
        <w:tc>
          <w:tcPr>
            <w:tcW w:w="5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0.65</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0.60</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1.92</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1.72</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40,190,508</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41,620,776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40,554,036</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41,846,080</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Diluted Weighted Average Shares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40,450,742</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41,899,401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40,806,295</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w w:val="97"/>
              </w:rPr>
              <w:t>42,133,776</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420"/>
          </w:cols>
          <w:pgMar w:left="240" w:top="130" w:right="239" w:bottom="678"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30" w:right="239" w:bottom="678"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r>
      <w:tr>
        <w:trPr>
          <w:trHeight w:val="270"/>
        </w:trPr>
        <w:tc>
          <w:tcPr>
            <w:tcW w:w="5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Pr>
          <w:p>
            <w:pPr>
              <w:spacing w:after="0"/>
              <w:rPr>
                <w:sz w:val="23"/>
                <w:szCs w:val="23"/>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8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52,052</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56,933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167,770</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165,691</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5,405</w:t>
            </w: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28,533</w:t>
            </w: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(17,694)</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Defined Benefit Plans</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245</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736</w:t>
            </w:r>
          </w:p>
        </w:tc>
        <w:tc>
          <w:tcPr>
            <w:tcW w:w="8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648</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5,650</w:t>
            </w:r>
          </w:p>
        </w:tc>
        <w:tc>
          <w:tcPr>
            <w:tcW w:w="9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(5,383)</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29,269</w:t>
            </w:r>
          </w:p>
        </w:tc>
        <w:tc>
          <w:tcPr>
            <w:tcW w:w="8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(17,046)</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57,702</w:t>
            </w:r>
          </w:p>
        </w:tc>
        <w:tc>
          <w:tcPr>
            <w:tcW w:w="9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51,550</w:t>
            </w: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197,039</w:t>
            </w:r>
          </w:p>
        </w:tc>
        <w:tc>
          <w:tcPr>
            <w:tcW w:w="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148,645</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Condition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2,946</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3,028</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Funds Sold</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108,446</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198,860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Available-for-Sale</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2,594,394</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2,007,942</w:t>
            </w: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Held-to-Maturity (Fair Value of $2,972,273 and $3,413,994)</w:t>
            </w:r>
          </w:p>
        </w:tc>
        <w:tc>
          <w:tcPr>
            <w:tcW w:w="112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2,946,910</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3,482,092</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36,720</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10,987</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112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10,881,298</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10,448,774</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Loan and Lease Losses</w:t>
            </w:r>
          </w:p>
        </w:tc>
        <w:tc>
          <w:tcPr>
            <w:tcW w:w="1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(108,936)</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(106,693)</w:t>
            </w:r>
          </w:p>
        </w:tc>
      </w:tr>
      <w:tr>
        <w:trPr>
          <w:trHeight w:val="231"/>
        </w:trPr>
        <w:tc>
          <w:tcPr>
            <w:tcW w:w="70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Loans and Leases</w:t>
            </w:r>
          </w:p>
        </w:tc>
        <w:tc>
          <w:tcPr>
            <w:tcW w:w="1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10,772,362</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10,342,081</w:t>
            </w:r>
          </w:p>
        </w:tc>
      </w:tr>
      <w:tr>
        <w:trPr>
          <w:trHeight w:val="33"/>
        </w:trPr>
        <w:tc>
          <w:tcPr>
            <w:tcW w:w="7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Earning Assets</w:t>
            </w:r>
          </w:p>
        </w:tc>
        <w:tc>
          <w:tcPr>
            <w:tcW w:w="1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16,461,778</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16,044,990</w:t>
            </w:r>
          </w:p>
        </w:tc>
      </w:tr>
      <w:tr>
        <w:trPr>
          <w:trHeight w:val="231"/>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Cash and Due From Banks</w:t>
            </w:r>
          </w:p>
        </w:tc>
        <w:tc>
          <w:tcPr>
            <w:tcW w:w="1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259,492</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324,081</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Premises and Equipment, Net</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179,453</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151,837</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112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101,005</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Receivable</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47,897</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51,230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Foreclosed Real Estate</w:t>
            </w:r>
          </w:p>
        </w:tc>
        <w:tc>
          <w:tcPr>
            <w:tcW w:w="112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2,939</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1,356</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Servicing Rights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24,408</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Goodwill</w:t>
            </w:r>
          </w:p>
        </w:tc>
        <w:tc>
          <w:tcPr>
            <w:tcW w:w="112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31,517</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Bank-Owned Life Insurance</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286,936</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283,771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12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276,715</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230,882</w:t>
            </w:r>
          </w:p>
        </w:tc>
      </w:tr>
      <w:tr>
        <w:trPr>
          <w:trHeight w:val="33"/>
        </w:trPr>
        <w:tc>
          <w:tcPr>
            <w:tcW w:w="7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17,672,140</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17,143,974</w:t>
            </w:r>
          </w:p>
        </w:tc>
      </w:tr>
      <w:tr>
        <w:trPr>
          <w:trHeight w:val="20"/>
        </w:trPr>
        <w:tc>
          <w:tcPr>
            <w:tcW w:w="70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Deposits</w:t>
            </w: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Noninterest-Bearing Demand</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4,392,706</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4,739,596</w:t>
            </w: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Interest-Bearing Demand</w:t>
            </w:r>
          </w:p>
        </w:tc>
        <w:tc>
          <w:tcPr>
            <w:tcW w:w="112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3,000,865</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3,002,925</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Savings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6,141,098</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5,539,199</w:t>
            </w: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Time</w:t>
            </w:r>
          </w:p>
        </w:tc>
        <w:tc>
          <w:tcPr>
            <w:tcW w:w="112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1,806,083</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1,745,522</w:t>
            </w:r>
          </w:p>
        </w:tc>
      </w:tr>
      <w:tr>
        <w:trPr>
          <w:trHeight w:val="33"/>
        </w:trPr>
        <w:tc>
          <w:tcPr>
            <w:tcW w:w="7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Deposits</w:t>
            </w:r>
          </w:p>
        </w:tc>
        <w:tc>
          <w:tcPr>
            <w:tcW w:w="1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15,340,752</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15,027,242</w:t>
            </w:r>
          </w:p>
        </w:tc>
      </w:tr>
      <w:tr>
        <w:trPr>
          <w:trHeight w:val="231"/>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Short-Term Borrowings</w:t>
            </w:r>
          </w:p>
        </w:tc>
        <w:tc>
          <w:tcPr>
            <w:tcW w:w="1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604,299</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504,296</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Other Debt</w:t>
            </w:r>
          </w:p>
        </w:tc>
        <w:tc>
          <w:tcPr>
            <w:tcW w:w="112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110,585</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135,643</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108,264</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Retirement Benefits Payable</w:t>
            </w:r>
          </w:p>
        </w:tc>
        <w:tc>
          <w:tcPr>
            <w:tcW w:w="112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39,682</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40,494</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Payable</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8,435</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8,253</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Taxes Payable and Deferred Taxes</w:t>
            </w:r>
          </w:p>
        </w:tc>
        <w:tc>
          <w:tcPr>
            <w:tcW w:w="112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21,089</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19,736</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147,544</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139,911</w:t>
            </w:r>
          </w:p>
        </w:tc>
      </w:tr>
      <w:tr>
        <w:trPr>
          <w:trHeight w:val="231"/>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w:t>
            </w:r>
          </w:p>
        </w:tc>
        <w:tc>
          <w:tcPr>
            <w:tcW w:w="1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16,380,650</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15,875,774</w:t>
            </w:r>
          </w:p>
        </w:tc>
      </w:tr>
      <w:tr>
        <w:trPr>
          <w:trHeight w:val="33"/>
        </w:trPr>
        <w:tc>
          <w:tcPr>
            <w:tcW w:w="7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0"/>
        </w:trPr>
        <w:tc>
          <w:tcPr>
            <w:tcW w:w="7080" w:type="dxa"/>
            <w:vAlign w:val="bottom"/>
          </w:tcPr>
          <w:p>
            <w:pPr>
              <w:ind w:left="40"/>
              <w:spacing w:after="0"/>
              <w:rPr>
                <w:sz w:val="20"/>
                <w:szCs w:val="20"/>
                <w:color w:val="auto"/>
              </w:rPr>
            </w:pPr>
            <w:r>
              <w:rPr>
                <w:rFonts w:ascii="Arial" w:cs="Arial" w:eastAsia="Arial" w:hAnsi="Arial"/>
                <w:sz w:val="16"/>
                <w:szCs w:val="16"/>
                <w:color w:val="auto"/>
              </w:rPr>
              <w:t>Common Stock ($.01 par value; authorized 500,000,000 shares;</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3"/>
        </w:trPr>
        <w:tc>
          <w:tcPr>
            <w:tcW w:w="7080" w:type="dxa"/>
            <w:vAlign w:val="bottom"/>
          </w:tcPr>
          <w:p>
            <w:pPr>
              <w:ind w:left="40"/>
              <w:spacing w:after="0"/>
              <w:rPr>
                <w:sz w:val="20"/>
                <w:szCs w:val="20"/>
                <w:color w:val="auto"/>
              </w:rPr>
            </w:pPr>
            <w:r>
              <w:rPr>
                <w:rFonts w:ascii="Arial" w:cs="Arial" w:eastAsia="Arial" w:hAnsi="Arial"/>
                <w:sz w:val="16"/>
                <w:szCs w:val="16"/>
                <w:color w:val="auto"/>
              </w:rPr>
              <w:t>issued / outstanding: September 30, 2019 - 58,176,305 / 40,359,259</w:t>
            </w: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7080" w:type="dxa"/>
            <w:vAlign w:val="bottom"/>
          </w:tcPr>
          <w:p>
            <w:pPr>
              <w:ind w:left="40"/>
              <w:spacing w:after="0"/>
              <w:rPr>
                <w:sz w:val="20"/>
                <w:szCs w:val="20"/>
                <w:color w:val="auto"/>
              </w:rPr>
            </w:pPr>
            <w:r>
              <w:rPr>
                <w:rFonts w:ascii="Arial" w:cs="Arial" w:eastAsia="Arial" w:hAnsi="Arial"/>
                <w:sz w:val="16"/>
                <w:szCs w:val="16"/>
                <w:color w:val="auto"/>
              </w:rPr>
              <w:t>June 30, 2019 - 58,175,367 / 40,687,719; December 31, 2018 - 58,063,689 / 41,499,898;</w:t>
            </w: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7080" w:type="dxa"/>
            <w:vAlign w:val="bottom"/>
          </w:tcPr>
          <w:p>
            <w:pPr>
              <w:ind w:left="40"/>
              <w:spacing w:after="0"/>
              <w:rPr>
                <w:sz w:val="20"/>
                <w:szCs w:val="20"/>
                <w:color w:val="auto"/>
              </w:rPr>
            </w:pPr>
            <w:r>
              <w:rPr>
                <w:rFonts w:ascii="Arial" w:cs="Arial" w:eastAsia="Arial" w:hAnsi="Arial"/>
                <w:sz w:val="16"/>
                <w:szCs w:val="16"/>
                <w:color w:val="auto"/>
              </w:rPr>
              <w:t>and September 30, 2018 - 58,070,578 / 41,809,551)</w:t>
            </w:r>
          </w:p>
        </w:tc>
        <w:tc>
          <w:tcPr>
            <w:tcW w:w="1120" w:type="dxa"/>
            <w:vAlign w:val="bottom"/>
          </w:tcPr>
          <w:p>
            <w:pPr>
              <w:spacing w:after="0"/>
              <w:rPr>
                <w:sz w:val="17"/>
                <w:szCs w:val="17"/>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579</w:t>
            </w:r>
          </w:p>
        </w:tc>
        <w:tc>
          <w:tcPr>
            <w:tcW w:w="4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577</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Surplus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580,200</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571,704</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11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(21,774)</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(51,043)</w:t>
            </w:r>
          </w:p>
        </w:tc>
      </w:tr>
      <w:tr>
        <w:trPr>
          <w:trHeight w:val="33"/>
        </w:trPr>
        <w:tc>
          <w:tcPr>
            <w:tcW w:w="7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1,730,437</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1,641,314</w:t>
            </w:r>
          </w:p>
        </w:tc>
      </w:tr>
      <w:tr>
        <w:trPr>
          <w:trHeight w:val="220"/>
        </w:trPr>
        <w:tc>
          <w:tcPr>
            <w:tcW w:w="7080" w:type="dxa"/>
            <w:vAlign w:val="bottom"/>
          </w:tcPr>
          <w:p>
            <w:pPr>
              <w:ind w:left="40"/>
              <w:spacing w:after="0"/>
              <w:rPr>
                <w:sz w:val="20"/>
                <w:szCs w:val="20"/>
                <w:color w:val="auto"/>
              </w:rPr>
            </w:pPr>
            <w:r>
              <w:rPr>
                <w:rFonts w:ascii="Arial" w:cs="Arial" w:eastAsia="Arial" w:hAnsi="Arial"/>
                <w:sz w:val="16"/>
                <w:szCs w:val="16"/>
                <w:color w:val="auto"/>
              </w:rPr>
              <w:t>Treasury Stock, at Cost (Shares: September 30, 2019 - 17,817,046; June 30, 2019 - 17,487,648;</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7080" w:type="dxa"/>
            <w:vAlign w:val="bottom"/>
          </w:tcPr>
          <w:p>
            <w:pPr>
              <w:ind w:left="40"/>
              <w:spacing w:after="0"/>
              <w:rPr>
                <w:sz w:val="20"/>
                <w:szCs w:val="20"/>
                <w:color w:val="auto"/>
              </w:rPr>
            </w:pPr>
            <w:r>
              <w:rPr>
                <w:rFonts w:ascii="Arial" w:cs="Arial" w:eastAsia="Arial" w:hAnsi="Arial"/>
                <w:sz w:val="16"/>
                <w:szCs w:val="16"/>
                <w:color w:val="auto"/>
              </w:rPr>
              <w:t>December 31, 2018 - 16,563,791; and September 30, 2018 - 16,261,027)</w:t>
            </w:r>
          </w:p>
        </w:tc>
        <w:tc>
          <w:tcPr>
            <w:tcW w:w="1120" w:type="dxa"/>
            <w:vAlign w:val="bottom"/>
          </w:tcPr>
          <w:p>
            <w:pPr>
              <w:spacing w:after="0"/>
              <w:rPr>
                <w:sz w:val="17"/>
                <w:szCs w:val="17"/>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(997,952)</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(894,352)</w:t>
            </w:r>
          </w:p>
        </w:tc>
      </w:tr>
      <w:tr>
        <w:trPr>
          <w:trHeight w:val="33"/>
        </w:trPr>
        <w:tc>
          <w:tcPr>
            <w:tcW w:w="7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1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1,291,490</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1,268,200</w:t>
            </w:r>
          </w:p>
        </w:tc>
      </w:tr>
      <w:tr>
        <w:trPr>
          <w:trHeight w:val="231"/>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17,672,140</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17,143,974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69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69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300"/>
          </w:cols>
          <w:pgMar w:left="240" w:top="130" w:right="359" w:bottom="1091" w:gutter="0" w:footer="0" w:header="0"/>
        </w:sectPr>
      </w:pP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The accompanying notes are an integral part of the Consolidated Financial Statements (Unaudited).</w:t>
      </w:r>
    </w:p>
    <w:p>
      <w:pPr>
        <w:sectPr>
          <w:pgSz w:w="11900" w:h="16838" w:orient="portrait"/>
          <w:cols w:equalWidth="0" w:num="1">
            <w:col w:w="11300"/>
          </w:cols>
          <w:pgMar w:left="240" w:top="130" w:right="359" w:bottom="1091"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233" w:right="144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Accum. Other</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Common</w:t>
            </w:r>
          </w:p>
        </w:tc>
        <w:tc>
          <w:tcPr>
            <w:tcW w:w="3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Compre-</w:t>
            </w:r>
          </w:p>
        </w:tc>
        <w:tc>
          <w:tcPr>
            <w:tcW w:w="28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Treasury</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hensive</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Surplus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Income(Loss)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2018</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41,499,898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577</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571,704</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(51,043)</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1,641,314</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(894,352)</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1,268,200</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58,799</w:t>
            </w:r>
          </w:p>
        </w:tc>
        <w:tc>
          <w:tcPr>
            <w:tcW w:w="24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58,799</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7,165</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7,165</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2,274</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w:t>
            </w:r>
          </w:p>
        </w:tc>
        <w:tc>
          <w:tcPr>
            <w:tcW w:w="1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Compensation Plans</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131,529</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1,673</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(552,739)</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(43,189)</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(43,189)</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($0.62 per share)</w:t>
            </w: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(25,646)</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(25,646)</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March 31, 2019</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41,078,688</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578</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574,594</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(43,878)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1,674,264</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(935,868)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1,269,690</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56,919</w:t>
            </w:r>
          </w:p>
        </w:tc>
        <w:tc>
          <w:tcPr>
            <w:tcW w:w="24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56,919</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16,454</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16,454</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2,164</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w:t>
            </w:r>
          </w:p>
        </w:tc>
        <w:tc>
          <w:tcPr>
            <w:tcW w:w="1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Compensation Plans</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43,180</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1,308</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(434,149)</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(34,986)</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(34,986)</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($0.65 per share)</w:t>
            </w: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(26,555)</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(26,555)</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June 30, 2019</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40,687,719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579</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577,346</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(27,424)</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1,704,993</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(969,546)</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1,285,948</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52,052</w:t>
            </w:r>
          </w:p>
        </w:tc>
        <w:tc>
          <w:tcPr>
            <w:tcW w:w="24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52,052</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5,650</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5,650</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2,224</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2,224</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w:t>
            </w:r>
          </w:p>
        </w:tc>
        <w:tc>
          <w:tcPr>
            <w:tcW w:w="1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Compensation Plans</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26,275</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1,294</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(354,735)</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(29,700)</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(29,700)</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($0.65 per share)</w:t>
            </w: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(26,337)</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(26,337)</w:t>
            </w:r>
          </w:p>
        </w:tc>
        <w:tc>
          <w:tcPr>
            <w:tcW w:w="0" w:type="dxa"/>
            <w:vAlign w:val="bottom"/>
          </w:tcPr>
          <w:p>
            <w:pPr>
              <w:spacing w:after="0"/>
              <w:rPr>
                <w:sz w:val="1"/>
                <w:szCs w:val="1"/>
                <w:color w:val="auto"/>
              </w:rPr>
            </w:pPr>
          </w:p>
        </w:tc>
      </w:tr>
      <w:tr>
        <w:trPr>
          <w:trHeight w:val="30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September 30, 2019</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40,359,259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579</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580,200</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(21,774)</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1,730,437</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(997,952)</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1,291,490</w:t>
            </w: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Balance as of December 31, 2017</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42,401,443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576</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561,161</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(34,715)</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1,512,218</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(807,372)</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1,231,868</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54,040</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54,040</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(8,905)</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(8,905)</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of the Income Tax Effects of the</w:t>
            </w:r>
          </w:p>
        </w:tc>
        <w:tc>
          <w:tcPr>
            <w:tcW w:w="1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Cuts and Jobs Act from AOCI</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(7,477)</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7,477</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1,867</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1,867</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w:t>
            </w:r>
          </w:p>
        </w:tc>
        <w:tc>
          <w:tcPr>
            <w:tcW w:w="1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Compensation Plans</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121,299</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1,128</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(208,328)</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(17,541)</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(17,541)</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($0.52 per share)</w:t>
            </w: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(22,087)</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(22,087)</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March 31, 2018</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42,314,414</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577</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563,598</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(51,097)</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1,551,900</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(823,785)</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1,241,193</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54,718</w:t>
            </w:r>
          </w:p>
        </w:tc>
        <w:tc>
          <w:tcPr>
            <w:tcW w:w="24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54,718</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(2,758)</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2,188</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w:t>
            </w:r>
          </w:p>
        </w:tc>
        <w:tc>
          <w:tcPr>
            <w:tcW w:w="1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Compensation Plans</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58,345</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1,864</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2,428</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(288,693)</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(24,688)</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(24,688)</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($0.60 per share)</w:t>
            </w: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(25,364)</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(25,364)</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June 30, 2018</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42,084,066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577</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566,436</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(53,855)</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1,581,168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(846,609)</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1,247,717</w:t>
            </w:r>
          </w:p>
        </w:tc>
        <w:tc>
          <w:tcPr>
            <w:tcW w:w="0" w:type="dxa"/>
            <w:vAlign w:val="bottom"/>
          </w:tcPr>
          <w:p>
            <w:pPr>
              <w:spacing w:after="0"/>
              <w:rPr>
                <w:sz w:val="1"/>
                <w:szCs w:val="1"/>
                <w:color w:val="auto"/>
              </w:rPr>
            </w:pPr>
          </w:p>
        </w:tc>
      </w:tr>
      <w:tr>
        <w:trPr>
          <w:trHeight w:val="135"/>
        </w:trPr>
        <w:tc>
          <w:tcPr>
            <w:tcW w:w="33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56,933</w:t>
            </w:r>
          </w:p>
        </w:tc>
        <w:tc>
          <w:tcPr>
            <w:tcW w:w="24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56,933</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(5,383)</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2,153</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2,153</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w:t>
            </w:r>
          </w:p>
        </w:tc>
        <w:tc>
          <w:tcPr>
            <w:tcW w:w="1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Compensation Plans</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23,645</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1,135</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(298,160)</w:t>
            </w:r>
          </w:p>
        </w:tc>
        <w:tc>
          <w:tcPr>
            <w:tcW w:w="26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(24,759)</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(24,759)</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($0.60 per share)</w:t>
            </w: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(25,188)</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(25,188)</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September 30, 2018</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41,809,551</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577</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569,223</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(59,238)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1,612,998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(870,233)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1,253,327</w:t>
            </w: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420"/>
          </w:cols>
          <w:pgMar w:left="240" w:top="130" w:right="239" w:bottom="71"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30" w:right="239" w:bottom="71"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240" w:type="dxa"/>
            <w:vAlign w:val="bottom"/>
            <w:tcBorders>
              <w:top w:val="single" w:sz="8" w:color="auto"/>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2020" w:type="dxa"/>
            <w:vAlign w:val="bottom"/>
            <w:tcBorders>
              <w:top w:val="single" w:sz="8" w:color="auto"/>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Nine Months Ended</w:t>
            </w:r>
          </w:p>
        </w:tc>
        <w:tc>
          <w:tcPr>
            <w:tcW w:w="78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24"/>
        </w:trPr>
        <w:tc>
          <w:tcPr>
            <w:tcW w:w="8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9"/>
                <w:szCs w:val="19"/>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1"/>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167,770</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165,691</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Credit Losses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11,250</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11,425</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12,685</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10,512</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Loan and Lease Fees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15,102</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25,633</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Operating Lease Right-of-Use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9,495</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Share-Based Compensation</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6,662</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6,208</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Benefit Plan Contributions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(1,472)</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(5,805)</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(6,557)</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Gains on Sale of Premises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(558)</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Gains on Sales of Loans and Leases</w:t>
            </w:r>
          </w:p>
        </w:tc>
        <w:tc>
          <w:tcPr>
            <w:tcW w:w="3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(3,705)</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(2,642)</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Losses (Gains) on Sales of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3,080</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3,097</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Proceeds from Sales of Loans Held for Sale</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299,062</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215,897</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Originations of Loans Held for Sale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(322,721)</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(214,047)</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Tax Benefits from Share-Based Compensation</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693</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985</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Other Assets and Other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(38,710)</w:t>
            </w:r>
          </w:p>
        </w:tc>
        <w:tc>
          <w:tcPr>
            <w:tcW w:w="8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(5,148)</w:t>
            </w:r>
          </w:p>
        </w:tc>
      </w:tr>
      <w:tr>
        <w:trPr>
          <w:trHeight w:val="231"/>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152,743</w:t>
            </w: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209,372</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Proceeds from Sales, Prepayments and Maturities</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1,656,241</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287,744</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(1,203,633)</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(147,694)</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Investment Securities Held-to-Maturity:</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Prepayments and Maturities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518,822</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653,488</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Purchases</w:t>
            </w:r>
          </w:p>
        </w:tc>
        <w:tc>
          <w:tcPr>
            <w:tcW w:w="3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(1,006,455)</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(399,346)</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Loans and Leases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(441,007)</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(444,529)</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Purchases of Premises and Equipment</w:t>
            </w:r>
          </w:p>
        </w:tc>
        <w:tc>
          <w:tcPr>
            <w:tcW w:w="3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(40,381)</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(22,514)</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Premises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639</w:t>
            </w:r>
          </w:p>
        </w:tc>
        <w:tc>
          <w:tcPr>
            <w:tcW w:w="8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(515,774)</w:t>
            </w: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(72,851)</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Deposits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313,510</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(40,634)</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Net Change in Short-Term Borrowings</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99,804</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(25,058)</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6,103</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6,233</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(107,875)</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(66,998)</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Dividends Paid</w:t>
            </w:r>
          </w:p>
        </w:tc>
        <w:tc>
          <w:tcPr>
            <w:tcW w:w="3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(78,538)</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(72,639)</w:t>
            </w:r>
          </w:p>
        </w:tc>
      </w:tr>
      <w:tr>
        <w:trPr>
          <w:trHeight w:val="33"/>
        </w:trPr>
        <w:tc>
          <w:tcPr>
            <w:tcW w:w="8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207,946</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(249,409)</w:t>
            </w:r>
          </w:p>
        </w:tc>
      </w:tr>
      <w:tr>
        <w:trPr>
          <w:trHeight w:val="216"/>
        </w:trPr>
        <w:tc>
          <w:tcPr>
            <w:tcW w:w="8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(155,085)</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(112,888)</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525,969</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447,851</w:t>
            </w:r>
          </w:p>
        </w:tc>
      </w:tr>
      <w:tr>
        <w:trPr>
          <w:trHeight w:val="33"/>
        </w:trPr>
        <w:tc>
          <w:tcPr>
            <w:tcW w:w="8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370,884</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334,963</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Interest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68,284</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44,033</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Paid for Income Taxes</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43,905</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32,403</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Investing and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Initial Recognition of Operating Lease Right-of-Use Assets</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106,514</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Initial Recognition of Operating Lease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113,394</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Transfer from Investment Securities Held-To-Maturity to Investment Securities Available-For-Sale</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1,014,859</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Transfer from Loans to Foreclosed Real Estate</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2,070</w:t>
            </w: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2,592</w:t>
            </w:r>
          </w:p>
        </w:tc>
      </w:tr>
      <w:tr>
        <w:trPr>
          <w:trHeight w:val="33"/>
        </w:trPr>
        <w:tc>
          <w:tcPr>
            <w:tcW w:w="8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0" w:gutter="0" w:footer="0" w:header="0"/>
        </w:sectPr>
      </w:pP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 Consolidated Financial Statements (Unaudited).</w:t>
      </w:r>
    </w:p>
    <w:p>
      <w:pPr>
        <w:sectPr>
          <w:pgSz w:w="11900" w:h="16838" w:orient="portrait"/>
          <w:cols w:equalWidth="0" w:num="1">
            <w:col w:w="11420"/>
          </w:cols>
          <w:pgMar w:left="240" w:top="130" w:right="239"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368" w:right="1440"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accompanying consolidated financial statements include the accounts of the Parent and its subsidiaries. The Parent’s principal operating subsidiary is Bank of Hawaii (the “Bank”).</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for any future period.</w:t>
      </w:r>
    </w:p>
    <w:p>
      <w:pPr>
        <w:spacing w:after="0" w:line="18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(i) the power to direct the activities of the VIE that most significantly impact the entity’s economic performance and (ii) the obligation to absorb losses or the right to receive benefits that could be significant to the VIE.</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participates in limited partnerships or limited liability companies that sponsor low-income housing projects. These entities provide funds for the construction and operation of apartment complexes that provide affordable housing to lower-income households. If these developments successfully attract a specified percentage of residents falling in that lower-income range, state and/or federal income tax credits are made available to the partners. The tax credits are generally recognized over 10 years for federal and 5 years for state. In order to continue receiving the tax credits each year over the life of the entity, the low-income residency targets must be maintained.</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ASU No. 2014-01, </w:t>
      </w:r>
      <w:r>
        <w:rPr>
          <w:rFonts w:ascii="Arial" w:cs="Arial" w:eastAsia="Arial" w:hAnsi="Arial"/>
          <w:sz w:val="18"/>
          <w:szCs w:val="18"/>
          <w:i w:val="1"/>
          <w:iCs w:val="1"/>
          <w:color w:val="auto"/>
        </w:rPr>
        <w:t>“Accounting for Investments in Qualified Affordable Housing Projects”</w:t>
      </w:r>
      <w:r>
        <w:rPr>
          <w:rFonts w:ascii="Arial" w:cs="Arial" w:eastAsia="Arial" w:hAnsi="Arial"/>
          <w:sz w:val="18"/>
          <w:szCs w:val="18"/>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Unfunded commitments to fund these low-income housing entities were $16.9 million and $15.2 million as of September 30, 2019 and December 31, 2018, respectively. These unfunded commitments are unconditional and legally binding and are recorded in other liabilities in the consolidated statements of condition. See Note 6 </w:t>
      </w:r>
      <w:r>
        <w:rPr>
          <w:rFonts w:ascii="Arial" w:cs="Arial" w:eastAsia="Arial" w:hAnsi="Arial"/>
          <w:sz w:val="18"/>
          <w:szCs w:val="18"/>
          <w:i w:val="1"/>
          <w:iCs w:val="1"/>
          <w:color w:val="auto"/>
        </w:rPr>
        <w:t>Affordable Housing Projects Tax Credit Partnerships</w:t>
      </w:r>
      <w:r>
        <w:rPr>
          <w:rFonts w:ascii="Arial" w:cs="Arial" w:eastAsia="Arial" w:hAnsi="Arial"/>
          <w:sz w:val="18"/>
          <w:szCs w:val="18"/>
          <w:color w:val="auto"/>
        </w:rPr>
        <w:t xml:space="preserve"> for more information.</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6 years.</w:t>
      </w:r>
    </w:p>
    <w:p>
      <w:pPr>
        <w:spacing w:after="0" w:line="1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these entities meet the definition of a VIE,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investments in these entities are initially recorded at cost, which approximates the maximum exposure to loss as a result of the Company’s involvement with these unconsolidated entities. The balance of the Company’s investments in these entities was $81.2 million and $85.9 million as of September 30, 2019 and December 31, 2018, respectively, and is included in other assets in the consolidated statements of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2019</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Under the new guidance, lessees will be required to recognize the following for all leases (with the exception of short-term leases): 1) a lease liability, which is the present value of a lessee’s obligation to make lease payments, and 2) a right-of-use asset, which is an asset that represents the lessee’s right to use, or control the use of, a specified asset for the lease term. Lessor accounting under the new guidance remains largely unchanged as it is substantially equivalent to existing guidance for sales-type leases, direct financing leases, and operating leases. Leveraged leases have been eliminated, although lessors can continue to account for existing leveraged leases using the current accounting guidance. Other limited changes were made to align lessor accounting with the lessee accounting model and the new revenue recognition standard</w:t>
      </w:r>
      <w:r>
        <w:rPr>
          <w:rFonts w:ascii="Arial" w:cs="Arial" w:eastAsia="Arial" w:hAnsi="Arial"/>
          <w:sz w:val="16"/>
          <w:szCs w:val="16"/>
          <w:i w:val="1"/>
          <w:iCs w:val="1"/>
          <w:color w:val="auto"/>
        </w:rPr>
        <w:t>.</w:t>
      </w:r>
      <w:r>
        <w:rPr>
          <w:rFonts w:ascii="Arial" w:cs="Arial" w:eastAsia="Arial" w:hAnsi="Arial"/>
          <w:sz w:val="16"/>
          <w:szCs w:val="16"/>
          <w:color w:val="auto"/>
        </w:rPr>
        <w:t xml:space="preserve"> All entities will classify leases to determine how to recognize lease-related revenue and expense. Quantitative and qualitative disclosures will be required by lessees and lessors to meet the objective of enabling users of financial statements to assess the amount, timing, and uncertainty of cash flows arising from leases. The intention is to require enough information to supplement the amounts recorded in the financial statements so that users can understand more about the nature of an entity’s leasing activities. ASU No. 2016-02 is effective for interim and annual reporting periods beginning after December 15, 2018. All entities are required to use a modified retrospective approach for leases that exist or are entered into after the beginning of the earliest comparative period in the financial statements. As the Company elected the transition option provided in ASU No. 2018-11 (see below), the modified retrospective approach was applied on January 1, 2019 (as opposed to January 1, 2017). The Company also elected certain relief options offered in ASU 2016-02 including the package of practical expedients, the option not to separate lease and non-lease components and instead to account for them as a single lease component, and the option not to recognize right-of-use assets and lease liabilities that arise from short-term leases (i.e., leases with terms of twelve months or less). The Company did not elect the hindsight practical expedient, which allows entities to use hindsight when determining lease term and impairment of right-of-use assets. The Company has several lease agreements, such as branch locations, which are considered operating leases, and therefore, were not previously recognized on the Company’s consolidated statements of condition. The new guidance requires these lease agreements to be recognized on the consolidated statements of condition as a right-of-use asset and a corresponding lease liability. The new guidance did not have a material impact on the consolidated statements of income or the consolidated statements of cash flows. See Note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more information.</w:t>
      </w:r>
    </w:p>
    <w:p>
      <w:pPr>
        <w:spacing w:after="0" w:line="16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xml:space="preserve"> This ASU’s objectives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ASU No. 2017-12 is effective for interim and annual reporting periods beginning after December 15, 2018. The Company currently does not designate any derivative financial instruments as formal hedging relationships, and therefore, does not currently utilize hedge accounting. As such, ASU No. 2017-12 did not impact the Company’s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July 2018, the FASB issued ASU No. 2018-11, </w:t>
      </w:r>
      <w:r>
        <w:rPr>
          <w:rFonts w:ascii="Arial" w:cs="Arial" w:eastAsia="Arial" w:hAnsi="Arial"/>
          <w:sz w:val="18"/>
          <w:szCs w:val="18"/>
          <w:i w:val="1"/>
          <w:iCs w:val="1"/>
          <w:color w:val="auto"/>
        </w:rPr>
        <w:t>“Leases - Targeted Improvements”</w:t>
      </w:r>
      <w:r>
        <w:rPr>
          <w:rFonts w:ascii="Arial" w:cs="Arial" w:eastAsia="Arial" w:hAnsi="Arial"/>
          <w:sz w:val="18"/>
          <w:szCs w:val="18"/>
          <w:color w:val="auto"/>
        </w:rPr>
        <w:t xml:space="preserve"> to provide entities with relief from the costs of implementing certain aspects of the new leasing standard, ASU No. 2016-02. Specifically, under the amendments in ASU 2018-11: (1) entities may elect not to recast the comparative periods presented when transitioning to the new leasing standard, and (2) lessors may elect not to separate lease and non-lease components when certain conditions are met. The amendments have the same effective date as ASU 2016-02 (January 1, 2019 for the Company). The Company adopted ASU 2018-11 on its required effective date of January 1, 2019 and elected both transition options mentioned above. ASU 2018-11 did not have a material impact on the Company’s Consolidated Financial Statements.</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December 2018, the FASB issued ASU No. 2018-20, </w:t>
      </w:r>
      <w:r>
        <w:rPr>
          <w:rFonts w:ascii="Arial" w:cs="Arial" w:eastAsia="Arial" w:hAnsi="Arial"/>
          <w:sz w:val="17"/>
          <w:szCs w:val="17"/>
          <w:i w:val="1"/>
          <w:iCs w:val="1"/>
          <w:color w:val="auto"/>
        </w:rPr>
        <w:t>“Narrow-Scope Improvements for Lessors.”</w:t>
      </w:r>
      <w:r>
        <w:rPr>
          <w:rFonts w:ascii="Arial" w:cs="Arial" w:eastAsia="Arial" w:hAnsi="Arial"/>
          <w:sz w:val="17"/>
          <w:szCs w:val="17"/>
          <w:color w:val="auto"/>
        </w:rPr>
        <w:t xml:space="preserve"> This ASU (1) allows lessors to make an accounting policy election of presenting sales taxes and other similar taxes collected from lessees on a net basis, (2) requires a lessor to exclude lessor costs paid directly by a lessee to third parties on the lessor’s behalf and include lessor costs that are paid by the lessor and reimbursed by the lessee in the measurement of variable lease revenue and the associated expense, and (3) clarifies that when lessors allocate variable payments to lease and non-lease components they are required to follow the recognition guidance in the new leases standard for the lease component and other applicable guidance, such as the new revenue standard, for the non-lease component. The Company adopted ASU 2018-20 on its required effective date of January 1, 2019 and elected to present sales taxes and other similar taxes collected from lessees on a net basis as described in (1) above. ASU 2018-20 did not have a material impact on the Company’s Consolidated Financial Statements.</w:t>
      </w:r>
    </w:p>
    <w:p>
      <w:pPr>
        <w:spacing w:after="0" w:line="1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March 2019, the FASB issued ASU No. 2019-01, </w:t>
      </w:r>
      <w:r>
        <w:rPr>
          <w:rFonts w:ascii="Arial" w:cs="Arial" w:eastAsia="Arial" w:hAnsi="Arial"/>
          <w:sz w:val="16"/>
          <w:szCs w:val="16"/>
          <w:i w:val="1"/>
          <w:iCs w:val="1"/>
          <w:color w:val="auto"/>
        </w:rPr>
        <w:t>“Leases: Codification Improvements.”</w:t>
      </w:r>
      <w:r>
        <w:rPr>
          <w:rFonts w:ascii="Arial" w:cs="Arial" w:eastAsia="Arial" w:hAnsi="Arial"/>
          <w:sz w:val="16"/>
          <w:szCs w:val="16"/>
          <w:color w:val="auto"/>
        </w:rPr>
        <w:t xml:space="preserve"> This ASU (1) states that for lessors that are not manufacturers or dealers, the fair value of the underlying asset is its cost, less any volume or trade discounts, as long as there is not a significant amount of time between acquisition of the asset and lease commencement; (2) clarifies that lessors in the scope of ASC 942 (such as the Company) must classify principal payments received from sales-type and direct financing leases in investing activities in the statement of cash flows; and (3) clarifies the transition guidance related to certain interim disclosures provided in the year of adoption. To coincide with the adoption of ASU No. 2016-02, the Company elected to early adopt ASU 2019-01 on January 1, 2019. The adoption of this ASU did not have a material impact on the Company’s Consolidated Financial Statements.</w:t>
      </w:r>
    </w:p>
    <w:p>
      <w:pPr>
        <w:spacing w:after="0" w:line="16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April 2019, the FASB issued ASU No. 2019-04, </w:t>
      </w:r>
      <w:r>
        <w:rPr>
          <w:rFonts w:ascii="Arial" w:cs="Arial" w:eastAsia="Arial" w:hAnsi="Arial"/>
          <w:sz w:val="16"/>
          <w:szCs w:val="16"/>
          <w:i w:val="1"/>
          <w:iCs w:val="1"/>
          <w:color w:val="auto"/>
        </w:rPr>
        <w:t>“Codification Improvements to Topic 326, Financial Instruments - Credit Losses, Topic 815,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Hedging, and Topic 825, Financial Instruments.” </w:t>
      </w:r>
      <w:r>
        <w:rPr>
          <w:rFonts w:ascii="Arial" w:cs="Arial" w:eastAsia="Arial" w:hAnsi="Arial"/>
          <w:sz w:val="16"/>
          <w:szCs w:val="16"/>
          <w:color w:val="auto"/>
        </w:rPr>
        <w:t>With respect to Topic 815, Derivatives and Hedging, ASU 2019-04 clarifies that the reclassification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debt security from held-to-maturity (“HTM”) to available-for-sale (“AFS”) under the transition guidance in ASU 2017-12 would not (1) call into question the classification of other HTM securities, (2) be required to actually designate any reclassified security in a last-of-layer hedge, or (3) be restricted from selling any reclassified security. As part of the transition of ASU 2019-04, entities may reclassify securities that would qualify for designation as the hedged item in a last-of-layer hedging relationship from HTM to AFS; however, entities that already made such a reclassification upon their adoption of ASU 2017-12 are precluded from reclassifying additional securities. The Company did not reclassify any securities from HTM to AFS upon adoption of ASU 2017-12. The Company elected to early adopt the amendments to Topic 815 in June 2019. See Note 3 </w:t>
      </w:r>
      <w:r>
        <w:rPr>
          <w:rFonts w:ascii="Arial" w:cs="Arial" w:eastAsia="Arial" w:hAnsi="Arial"/>
          <w:sz w:val="16"/>
          <w:szCs w:val="16"/>
          <w:i w:val="1"/>
          <w:iCs w:val="1"/>
          <w:color w:val="auto"/>
        </w:rPr>
        <w:t>Investment Securities</w:t>
      </w:r>
      <w:r>
        <w:rPr>
          <w:rFonts w:ascii="Arial" w:cs="Arial" w:eastAsia="Arial" w:hAnsi="Arial"/>
          <w:sz w:val="16"/>
          <w:szCs w:val="16"/>
          <w:color w:val="auto"/>
        </w:rPr>
        <w:t xml:space="preserve"> for more information regarding the impact of the transfer of certain HTM debt securities to AFS. The amendments and pending adoption to Topics 326 and 825 are described in the section below.</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30" w:right="29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Pending Adoption</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This ASU significantly changes how entities will measure credit losses for most financial assets and certain other instruments that are not measured at fair value through net income. The standard will replace today’s “incurred loss” approach with an “expected loss” approach known as current expected credit loss (“CECL”), which will apply to: (1) financial assets subject to credit losses and measured at amortized cost, and (2) certain off-balance sheet credit exposures. This includes, but is not limited to, loans, leases, held-to-maturity securities, loan commitments, and financial guarantees. The CECL approach will not apply to AFS debt securities. For AFS debt securities with unrealized losses, entities will measure credit losses in a manner similar to what they do today, except that the credit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reserve for credit losses. In addition, entities will need to disclose the amortized cost balance for each class of financial asset by credit quality indicator, disaggregated by the year of origination. ASU No. 2016-13 is effective for interim and annual reporting periods beginning after December 15, 2019 and the Company is planning to adopt the standard in the first quarter of 2020. Entities will apply the standard’s provisions as a cumulative-effect adjustment to retained earnings as of the beginning of the first reporting period in which the guidance is effective (i.e., modified retrospective approach). The Company is continuing its implementation efforts through its Company-wide implementation team. This team has assigned roles and responsibilities, key tasks to complete, and a general timeline to be followed. The team meets periodically to discuss the latest developments and ensure progress is being made. The team has been working with an advisory consultant and has finalized and documented the methodologies that will be utilized. The team is currently finalizing controls, processes, policies and disclosures in preparation for performing a full end-to-end parallel run. This parallel run will be completed during the fourth quarter of 2019 for the period ended September 30, 2019. The Company’s preliminary evaluation indicates the provisions of ASU No. 2016-13 are expected to impact the Company’s Consolidated Financial Statements, in particular the level of the reserve for credit losses. The Company is continuing to evaluate the extent of the potential impact and expects that portfolio composition and economic conditions at the time of adoption will be a factor.</w:t>
      </w:r>
    </w:p>
    <w:p>
      <w:pPr>
        <w:spacing w:after="0" w:line="16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“Disclosure Framework - Changes to the Disclosure Requirements for Fair Value Measurement.”</w:t>
      </w:r>
      <w:r>
        <w:rPr>
          <w:rFonts w:ascii="Arial" w:cs="Arial" w:eastAsia="Arial" w:hAnsi="Arial"/>
          <w:sz w:val="17"/>
          <w:szCs w:val="17"/>
          <w:color w:val="auto"/>
        </w:rPr>
        <w:t xml:space="preserve"> This ASU eliminates, adds and modifies certain disclosure requirements for fair value measurements.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No. 2018-13 is effective for interim and annual reporting periods beginning after December 15, 2019; early adoption is permitted. As ASU No. 2018-13 only revises disclosure requirements, it will not have a material impact on the Company’s Consolidated Financial Statements.</w:t>
      </w:r>
    </w:p>
    <w:p>
      <w:pPr>
        <w:spacing w:after="0" w:line="17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mentioned in the previous section the FASB issued ASU No. 2019-04 in April 2019. With respect to Topic 326, Financial Instruments - Credit Losses, ASU 2019-04 clarifies the scope of the credit losses standard and addresses issues related to accrued interest receivable balances, recoveries, variable interest rates and prepayments, among other things. With respect to Topic 825, Financial Instruments, on recognizing and measuring financial instruments, ASU</w:t>
      </w:r>
    </w:p>
    <w:p>
      <w:pPr>
        <w:ind w:right="120"/>
        <w:spacing w:after="0" w:line="271" w:lineRule="auto"/>
        <w:rPr>
          <w:sz w:val="20"/>
          <w:szCs w:val="20"/>
          <w:color w:val="auto"/>
        </w:rPr>
      </w:pPr>
      <w:r>
        <w:rPr>
          <w:rFonts w:ascii="Arial" w:cs="Arial" w:eastAsia="Arial" w:hAnsi="Arial"/>
          <w:sz w:val="17"/>
          <w:szCs w:val="17"/>
          <w:color w:val="auto"/>
        </w:rPr>
        <w:t>2019-04 addresses the scope of the guidance, the requirement for remeasurement under ASC 820 when using the measurement alternative, certain disclosure requirements and which equity securities have to be remeasured at historical exchange rates. The amendments to Topic 326 have the same effective dates as ASU 2016-13 (i.e., the first quarter of 2020). The Company is currently evaluating the potential impact of Topic 326 amendments on the Company’s Consolidated Financial Statements. The amendments to Topic 825 are effective for interim and annual reporting periods beginning after December 15, 2019 and are not expected to have a material impact on the Company’s Consolidated Financial Statements.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May 2019, the FASB issued ASU No.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xml:space="preserve"> This ASU allows entities to irrevocably elect, upon adoption of ASU 2016-13, the fair value option on financial instruments that (1) were previously recorded at amortized cost and (2) are within the scope of ASC 326-20 if the instruments are eligible for the fair value option under ASC 825-10. The fair value option election does not apply to held-to-maturity debt securities. Entities are required to make this election on an instrument-by-instrument basis. ASU 2019-05 has the same effective date as ASU 2016-13 (i.e., the first quarter of 2020). The Company does not expect to elect the fair value option, and therefore, ASU 2019-05 is not expected to impact the Company’s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80" w:type="dxa"/>
            <w:vAlign w:val="bottom"/>
          </w:tcPr>
          <w:p>
            <w:pPr>
              <w:jc w:val="right"/>
              <w:ind w:right="133"/>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7"/>
                <w:szCs w:val="17"/>
                <w:color w:val="auto"/>
              </w:rPr>
            </w:pPr>
          </w:p>
        </w:tc>
        <w:tc>
          <w:tcPr>
            <w:tcW w:w="1280" w:type="dxa"/>
            <w:vAlign w:val="bottom"/>
          </w:tcPr>
          <w:p>
            <w:pPr>
              <w:jc w:val="right"/>
              <w:ind w:right="53"/>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9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2018</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2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2,946</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3,028</w:t>
            </w:r>
          </w:p>
        </w:tc>
      </w:tr>
      <w:tr>
        <w:trPr>
          <w:trHeight w:val="243"/>
        </w:trPr>
        <w:tc>
          <w:tcPr>
            <w:tcW w:w="538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292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108,446</w:t>
            </w:r>
          </w:p>
        </w:tc>
        <w:tc>
          <w:tcPr>
            <w:tcW w:w="4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198,860</w:t>
            </w:r>
          </w:p>
        </w:tc>
      </w:tr>
      <w:tr>
        <w:trPr>
          <w:trHeight w:val="27"/>
        </w:trPr>
        <w:tc>
          <w:tcPr>
            <w:tcW w:w="5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Due From Banks</w:t>
            </w:r>
          </w:p>
        </w:tc>
        <w:tc>
          <w:tcPr>
            <w:tcW w:w="29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259,492</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324,081</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Cash and Cash Equivalents</w:t>
            </w:r>
          </w:p>
        </w:tc>
        <w:tc>
          <w:tcPr>
            <w:tcW w:w="2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370,884</w:t>
            </w:r>
          </w:p>
        </w:tc>
        <w:tc>
          <w:tcPr>
            <w:tcW w:w="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525,969</w:t>
            </w:r>
          </w:p>
        </w:tc>
      </w:tr>
      <w:tr>
        <w:trPr>
          <w:trHeight w:val="27"/>
        </w:trPr>
        <w:tc>
          <w:tcPr>
            <w:tcW w:w="5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September 30, 2019 and December 31, 2018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Amortized</w:t>
            </w: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Cost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Gains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Losses</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2019</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236,794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(1,392)</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235,685</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53,211</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772</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53,982</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U.S. Government-Sponsored Enterprises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21,969</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21,895</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348,006</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1,550</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(1,115)</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348,441</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1,215,859</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15,731</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(2,953)</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1,228,637</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532,885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5,769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537,336</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166,306</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3,689</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(1,577)</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168,418</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1,915,050</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25,189</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(5,848)</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1,934,391</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2,575,030</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27,812</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(8,448)</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2,594,394</w:t>
            </w:r>
          </w:p>
        </w:tc>
      </w:tr>
      <w:tr>
        <w:trPr>
          <w:trHeight w:val="73"/>
        </w:trPr>
        <w:tc>
          <w:tcPr>
            <w:tcW w:w="5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31"/>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354,073</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1,502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355,442</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65,109</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1,254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66,363</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15,703</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(143)</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15,560</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1,144,257</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16,945</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(5,137)</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1,156,065</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1,282,944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13,456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(2,105)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1,294,295</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84,824</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474</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(750)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84,548</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2,512,025</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30,875</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(7,992)</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2,534,908</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2,946,910</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33,631</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(8,268)</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2,972,273</w:t>
            </w:r>
          </w:p>
        </w:tc>
      </w:tr>
      <w:tr>
        <w:trPr>
          <w:trHeight w:val="73"/>
        </w:trPr>
        <w:tc>
          <w:tcPr>
            <w:tcW w:w="5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1"/>
        </w:trPr>
        <w:tc>
          <w:tcPr>
            <w:tcW w:w="54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394,485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493</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(2,577)</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392,401</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559,800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5,227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563,996</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56</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224,997</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223,140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189,645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1,726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190,442</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589,311</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1,779</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(12,563)</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578,527</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63,864</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(4,484)</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59,380</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842,820</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3,505</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(17,976)</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828,349</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2,022,158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9,225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(23,441)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2,007,942</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353,122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(1,093)</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352,215</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234,602</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6,150</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240,752</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97,266</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95,511</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1,861,874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3,886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(51,773)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1,813,987</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758,835</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1,590</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(20,259)</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740,166</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176,393</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147</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(5,177)</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171,363</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2,797,102</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5,623</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(77,209)</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2,725,516</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3,482,092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11,959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(80,057)</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3,413,994</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622"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0" w:right="239" w:bottom="622"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mentioned in Note 1 the FASB issued ASU No. 2019-04 in April 2019. In June 2019, the Company elected to early adopt the amendments to Topic 815, Derivatives and Hedging, which allowed the Company a one-time reclassification of certain prepayable debt securities from held-to-maturity to available-for-sale. On June 10, 2019, prepayable debt securities with a carrying value of $1.0 billion and a net unrealized gain of $3.1 million were transferred from held-to-maturity to available-for-sale. The reclassified securities consisted of mortgage-backed securities issued by U.S. government agencies and government-sponsored enterprises, municipal debt securities, and corporate debt securities.</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September 30, 2019.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Amortized Cost</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169,544</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169,762</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120,351</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120,126</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134,235</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135,383</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Ten Years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51</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31"/>
        </w:trPr>
        <w:tc>
          <w:tcPr>
            <w:tcW w:w="622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424,181</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425,323</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622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Debt Securities Issued by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235,799</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234,680</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1,215,859</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1,228,637</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532,885</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537,336</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166,306</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168,418</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1,915,050</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1,934,391</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2,575,030</w:t>
            </w: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2,594,394</w:t>
            </w:r>
          </w:p>
        </w:tc>
      </w:tr>
      <w:tr>
        <w:trPr>
          <w:trHeight w:val="73"/>
        </w:trPr>
        <w:tc>
          <w:tcPr>
            <w:tcW w:w="62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62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304,243</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305,141</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119,592</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121,302</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11,050</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10,922</w:t>
            </w:r>
          </w:p>
        </w:tc>
      </w:tr>
      <w:tr>
        <w:trPr>
          <w:trHeight w:val="237"/>
        </w:trPr>
        <w:tc>
          <w:tcPr>
            <w:tcW w:w="6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434,885</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437,365</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1,144,257</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1,156,065</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1,282,944</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1,294,295</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84,824</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84,548</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2,512,025</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2,534,908</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2,946,910</w:t>
            </w: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2,972,273</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Investment securities with carrying values of $2.6 billion and $2.3 billion as of September 30, 2019 and December 31, 2018, respectively, were pledged to secure deposits of governmental entities and securities sold under agreements to repurchase.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gains and losses from the sales of investment securities for the three and nine months ended September 30, 2019 and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Pr>
          <w:p>
            <w:pPr>
              <w:spacing w:after="0"/>
              <w:rPr>
                <w:sz w:val="17"/>
                <w:szCs w:val="17"/>
                <w:color w:val="auto"/>
              </w:rPr>
            </w:pPr>
          </w:p>
        </w:tc>
      </w:tr>
      <w:tr>
        <w:trPr>
          <w:trHeight w:val="210"/>
        </w:trPr>
        <w:tc>
          <w:tcPr>
            <w:tcW w:w="5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8"/>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Gains on Sales of Investment Securities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c>
          <w:tcPr>
            <w:tcW w:w="88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7,701</w:t>
            </w:r>
          </w:p>
        </w:tc>
        <w:tc>
          <w:tcPr>
            <w:tcW w:w="8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Gross Losses on Sales of Investment Securities</w:t>
            </w:r>
          </w:p>
        </w:tc>
        <w:tc>
          <w:tcPr>
            <w:tcW w:w="4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(1,507)</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(10,781)</w:t>
            </w:r>
          </w:p>
        </w:tc>
        <w:tc>
          <w:tcPr>
            <w:tcW w:w="8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(3,097)</w:t>
            </w:r>
          </w:p>
        </w:tc>
      </w:tr>
      <w:tr>
        <w:trPr>
          <w:trHeight w:val="33"/>
        </w:trPr>
        <w:tc>
          <w:tcPr>
            <w:tcW w:w="5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Gains (Losses) on Sales of Investment Securities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(1,469)</w:t>
            </w:r>
          </w:p>
        </w:tc>
        <w:tc>
          <w:tcPr>
            <w:tcW w:w="88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(3,080)</w:t>
            </w:r>
          </w:p>
        </w:tc>
        <w:tc>
          <w:tcPr>
            <w:tcW w:w="8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(3,097)</w:t>
            </w: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losses on sales of investment securities during the three and nine months ended September 30, 2019 were due to fees paid to the counterparties of the Company’s prior Visa Class B share sale transactions, which are expensed as incurred, combined with a $0.5 million liability recorded in third quarter 2019 related to a change in the Visa Class B conversion ratio. In addition, the gross gains and losses on sales of investment securities during the nine months ended September 30, 2019 included sales of municipal debt securities, mortgage-backed securities, and corporate debt securities as part of a portfolio repositioning. The losses during the three and nine months ended September 30, 2018 were due to fees paid to the counterparties of the Company’s prior Visa Class B share sale transactions combined with a $1.0 million liability recorded in the second quarter of 2018 related to changes in the Visa Class B conversion ratio.</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gross unrealized losses and the related fair value of investment securities, aggregated by investment category and length of time in a continuous unrealized loss position,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64,180</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107,800</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171,980</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w:t>
            </w: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40"/>
              <w:spacing w:after="0"/>
              <w:rPr>
                <w:sz w:val="20"/>
                <w:szCs w:val="20"/>
                <w:color w:val="auto"/>
              </w:rPr>
            </w:pPr>
            <w:r>
              <w:rPr>
                <w:rFonts w:ascii="Arial" w:cs="Arial" w:eastAsia="Arial" w:hAnsi="Arial"/>
                <w:sz w:val="14"/>
                <w:szCs w:val="14"/>
                <w:color w:val="auto"/>
              </w:rPr>
              <w:t>and Political Subdivisions</w:t>
            </w:r>
          </w:p>
        </w:tc>
        <w:tc>
          <w:tcPr>
            <w:tcW w:w="1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3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468</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649</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U.S.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Government-Sponsored Enterprises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21,233</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21,233</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25,808</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114,466</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140,274</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62,749</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182,660</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245,409</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(2,953)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60,586</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82,390</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142,976</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54,118</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(1,577)</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54,118</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123,335</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(581)</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319,168</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(5,267)</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442,503</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(5,848)</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234,737</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541,902</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776,639</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(8,448)</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39,912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39,912</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4,638</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10,922</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15,560</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76,076</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277,116</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353,192</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(5,137)</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160,448</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165,075</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325,523</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(2,105)</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53,014</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53,014</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236,524</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495,205</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731,729</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241,162</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(605)</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546,039</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787,201</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157,058</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173,763</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330,821</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220"/>
              <w:spacing w:after="0"/>
              <w:rPr>
                <w:sz w:val="20"/>
                <w:szCs w:val="20"/>
                <w:color w:val="auto"/>
              </w:rPr>
            </w:pPr>
            <w:r>
              <w:rPr>
                <w:rFonts w:ascii="Arial" w:cs="Arial" w:eastAsia="Arial" w:hAnsi="Arial"/>
                <w:sz w:val="14"/>
                <w:szCs w:val="14"/>
                <w:color w:val="auto"/>
              </w:rPr>
              <w:t>and Political Subdivisions</w:t>
            </w:r>
          </w:p>
        </w:tc>
        <w:tc>
          <w:tcPr>
            <w:tcW w:w="1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38,138</w:t>
            </w:r>
          </w:p>
        </w:tc>
        <w:tc>
          <w:tcPr>
            <w:tcW w:w="3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156,772</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194,910</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59,770</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163,371</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223,141</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6,299</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19,011</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25,310</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473,380</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473,380</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(12,563)</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59,380</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59,380</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6,299</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551,771</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558,070</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(17,976)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261,265</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(1,264)</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1,045,677</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(22,177)</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1,306,942</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99,440</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134,239</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233,679</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95,511</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95,511</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12,974</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1,491,747</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(51,728)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1,504,721</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(51,773)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617,000</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617,000</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19,217</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145,715</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164,932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32,191</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2,254,462</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(77,103)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2,286,653</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(77,209)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131,631</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2,484,212</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(79,714)</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2,615,843</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(80,057)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does not believe that the investment securities that were in an unrealized loss position as of September 30, 2019, which were comprised of 233 individual securities, represent an other-than-temporary impairment. Total gross unrealized losses were primarily attributable to changes in interest rates, relative to when the investment securities were purchased, and not due to the credit quality of the investment securities. As of September 30, 2019 and December 31, 2018, the gross unrealized losses reported for mortgage-backed securities were mostly related to investment securities issued by the Government National Mortgage Association.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from taxable and non-taxable investment securities for the three and nine months ended September 30, 2019 and 2018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Taxable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35,584</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28,855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102,912</w:t>
            </w:r>
          </w:p>
        </w:tc>
        <w:tc>
          <w:tcPr>
            <w:tcW w:w="8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85,931</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Non-Taxable</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724</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4,554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5,970</w:t>
            </w:r>
          </w:p>
        </w:tc>
        <w:tc>
          <w:tcPr>
            <w:tcW w:w="8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14,006</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 from Investment Securities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36,308</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33,409</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108,882</w:t>
            </w:r>
          </w:p>
        </w:tc>
        <w:tc>
          <w:tcPr>
            <w:tcW w:w="8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99,937</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As of September 30, 2019 and December 31, 2018, the carrying value of the Company’s Federal Home Loan Bank of Des Moines stock and Federal Reserve Bank stock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September 30,</w:t>
            </w:r>
          </w:p>
        </w:tc>
        <w:tc>
          <w:tcPr>
            <w:tcW w:w="3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Stock</w:t>
            </w:r>
          </w:p>
        </w:tc>
        <w:tc>
          <w:tcPr>
            <w:tcW w:w="3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Federal Reserve Bank Stock</w:t>
            </w:r>
          </w:p>
        </w:tc>
        <w:tc>
          <w:tcPr>
            <w:tcW w:w="3340" w:type="dxa"/>
            <w:vAlign w:val="bottom"/>
          </w:tcPr>
          <w:p>
            <w:pPr>
              <w:spacing w:after="0"/>
              <w:rPr>
                <w:sz w:val="20"/>
                <w:szCs w:val="20"/>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21,093</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20,858</w:t>
            </w:r>
          </w:p>
        </w:tc>
      </w:tr>
      <w:tr>
        <w:trPr>
          <w:trHeight w:val="33"/>
        </w:trPr>
        <w:tc>
          <w:tcPr>
            <w:tcW w:w="53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35,093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35,858</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These securities can only be redeemed or sold at their par value and only to the respective issuing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will be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September 30, 2019, the conversion ratio was 1.6228. See Note 12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occasionally sells these Visa Class B shares to other financial institutions. Concurrent with every sale the Company enters into an agreement with the buyer that requires payment to the buyer in the event Visa further reduces the conversion ratio. Based on the existing transfer restriction and the uncertainty of the outcome of the Visa litigation mentioned above, the remaining 83,014 Class B shares (134,715 Class A equivalents) that the Company owns as of September 30, 2019 are carried at a zero cost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Loans and Leases and the Allowance for Loan and Lease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September 30, 2019 and December 31,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1,361,011</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1,331,149</w:t>
            </w:r>
          </w:p>
        </w:tc>
      </w:tr>
      <w:tr>
        <w:trPr>
          <w:trHeight w:val="33"/>
        </w:trPr>
        <w:tc>
          <w:tcPr>
            <w:tcW w:w="5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3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2,477,296</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2,302,356</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32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154,754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170,061</w:t>
            </w:r>
          </w:p>
        </w:tc>
      </w:tr>
      <w:tr>
        <w:trPr>
          <w:trHeight w:val="33"/>
        </w:trPr>
        <w:tc>
          <w:tcPr>
            <w:tcW w:w="5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3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163,672</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176,226</w:t>
            </w:r>
          </w:p>
        </w:tc>
      </w:tr>
      <w:tr>
        <w:trPr>
          <w:trHeight w:val="231"/>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4,156,733</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33"/>
        </w:trPr>
        <w:tc>
          <w:tcPr>
            <w:tcW w:w="5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2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3,846,511</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3,673,796</w:t>
            </w:r>
          </w:p>
        </w:tc>
      </w:tr>
      <w:tr>
        <w:trPr>
          <w:trHeight w:val="33"/>
        </w:trPr>
        <w:tc>
          <w:tcPr>
            <w:tcW w:w="5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1,681,951</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1,681,442</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2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713,424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658,133</w:t>
            </w:r>
          </w:p>
        </w:tc>
      </w:tr>
      <w:tr>
        <w:trPr>
          <w:trHeight w:val="33"/>
        </w:trPr>
        <w:tc>
          <w:tcPr>
            <w:tcW w:w="5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482,679</w:t>
            </w: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455,611</w:t>
            </w:r>
          </w:p>
        </w:tc>
      </w:tr>
      <w:tr>
        <w:trPr>
          <w:trHeight w:val="231"/>
        </w:trPr>
        <w:tc>
          <w:tcPr>
            <w:tcW w:w="524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2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6,724,565</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6,468,982</w:t>
            </w:r>
          </w:p>
        </w:tc>
      </w:tr>
      <w:tr>
        <w:trPr>
          <w:trHeight w:val="33"/>
        </w:trPr>
        <w:tc>
          <w:tcPr>
            <w:tcW w:w="5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10,881,298</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10,448,774</w:t>
            </w: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3"/>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majority of the Company’s lending activity is with customers located in the State of Hawaii. A substantial portion of the Company’s real estate loans are secured by real estate in Hawaii.</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gains related to sales of residential mortgage loans, recorded as a component of mortgage banking income were $2.5 million and $0.4 million for the three months ended September 30, 2019 and 2018, respectively, and $4.1 million and $1.1 million for the nine months ended September 30, 2019 and 2018,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 (the “Allowance”)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presents by portfolio segment, the activity in the Allowance for the three and nine months ended September 30, 2019 and 2018. The following also presents by portfolio segment, the balance in the Allowance disaggregated on the basis of the Company’s impairment measurement method and the related recorded investment in loans and leases as of September 30, 2019 and 2018.</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Commercial</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Consumer</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2019</w:t>
            </w:r>
          </w:p>
        </w:tc>
        <w:tc>
          <w:tcPr>
            <w:tcW w:w="1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69,268</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38,404</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107,672</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(239)</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(5,516)</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(5,755)</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318</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2,451</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2,769</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79</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(3,065)</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(2,986)</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1,023</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3,227</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70,370</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38,566</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108,936</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2019</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66,874</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39,819</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106,693</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(2,431)</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(15,281)</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(17,712)</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1,220</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7,485</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8,705</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(1,211)</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(7,796)</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(9,007)</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4,707</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6,543</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70,370</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38,566</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108,936</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September 30, 2019</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115</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3,266</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3,381</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70,255</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35,300</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105,555</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70,370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38,566</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108,936</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19,324</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40,665</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59,989</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4,137,409</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6,683,900</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10,821,309</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4,156,733</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6,724,565</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10,881,298</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1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63,712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44,476</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108,188</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(449)</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(5,578)</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(6,027)</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542</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2,187</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2,729</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93</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(3,391)</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(3,298)</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1,274</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2,526</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65,079</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43,611</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108,690</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2018</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65,822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41,524</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107,346</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(1,140)</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(16,536)</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(17,676)</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1,236</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6,359</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7,595</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96</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(10,177)</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(10,081)</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(839)</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12,264</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11,425</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65,079</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43,611</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108,690</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September 30, 2018</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135</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3,810</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3,945</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64,944</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39,801</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104,745</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65,079</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43,611</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108,690</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12,190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42,218</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54,408</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3,888,118</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6,288,536</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10,176,654</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3,900,308</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6,330,754</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10,231,062</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584" w:right="1440"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ectPr>
          <w:pgSz w:w="11900" w:h="16838" w:orient="portrait"/>
          <w:cols w:equalWidth="0" w:num="1">
            <w:col w:w="11400"/>
          </w:cols>
          <w:pgMar w:left="240" w:top="130" w:right="259" w:bottom="1440" w:gutter="0" w:footer="0" w:header="0"/>
        </w:sect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Pass: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60"/>
        <w:spacing w:after="0" w:line="340" w:lineRule="auto"/>
        <w:rPr>
          <w:sz w:val="20"/>
          <w:szCs w:val="20"/>
          <w:color w:val="auto"/>
        </w:rPr>
      </w:pPr>
      <w:r>
        <w:rPr>
          <w:rFonts w:ascii="Arial" w:cs="Arial" w:eastAsia="Arial" w:hAnsi="Arial"/>
          <w:sz w:val="15"/>
          <w:szCs w:val="15"/>
          <w:color w:val="auto"/>
        </w:rPr>
        <w:t>Loans and leases in all classes within the commercial and consumer portfolio segments that are not adversely rated, are contractually current as to principal and interest, and are otherwise in compliance with the contractual terms of the loan or lease agreement. Management believes that there is a low likelihood of loss related to those loans and leases that are considered Pass.</w:t>
      </w:r>
    </w:p>
    <w:p>
      <w:pPr>
        <w:spacing w:after="0" w:line="131" w:lineRule="exact"/>
        <w:rPr>
          <w:sz w:val="20"/>
          <w:szCs w:val="20"/>
          <w:color w:val="auto"/>
        </w:rPr>
      </w:pPr>
    </w:p>
    <w:p>
      <w:pPr>
        <w:sectPr>
          <w:pgSz w:w="11900" w:h="16838" w:orient="portrait"/>
          <w:cols w:equalWidth="0" w:num="2">
            <w:col w:w="1240" w:space="72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Special Mention:</w:t>
      </w:r>
    </w:p>
    <w:p>
      <w:pPr>
        <w:spacing w:after="0" w:line="20" w:lineRule="exact"/>
        <w:rPr>
          <w:sz w:val="20"/>
          <w:szCs w:val="20"/>
          <w:color w:val="auto"/>
        </w:rPr>
      </w:pPr>
      <w:r>
        <w:rPr>
          <w:sz w:val="20"/>
          <w:szCs w:val="20"/>
          <w:color w:val="auto"/>
        </w:rPr>
        <w:br w:type="column"/>
      </w:r>
    </w:p>
    <w:p>
      <w:pPr>
        <w:jc w:val="both"/>
        <w:ind w:right="520"/>
        <w:spacing w:after="0" w:line="312" w:lineRule="auto"/>
        <w:rPr>
          <w:sz w:val="20"/>
          <w:szCs w:val="20"/>
          <w:color w:val="auto"/>
        </w:rPr>
      </w:pPr>
      <w:r>
        <w:rPr>
          <w:rFonts w:ascii="Arial" w:cs="Arial" w:eastAsia="Arial" w:hAnsi="Arial"/>
          <w:sz w:val="16"/>
          <w:szCs w:val="16"/>
          <w:color w:val="auto"/>
        </w:rPr>
        <w:t>Loans and leases that have potential weaknesses that deserve management’s close attention. If not addressed, these potential weaknesses may result in deterioration of the repayment prospects for the loan or lease. Management believes that there is a moderate likelihood of some loss related to those loans and leases that are considered Special Mention.</w:t>
      </w:r>
    </w:p>
    <w:p>
      <w:pPr>
        <w:spacing w:after="0" w:line="147" w:lineRule="exact"/>
        <w:rPr>
          <w:sz w:val="20"/>
          <w:szCs w:val="20"/>
          <w:color w:val="auto"/>
        </w:rPr>
      </w:pPr>
    </w:p>
    <w:p>
      <w:pPr>
        <w:sectPr>
          <w:pgSz w:w="11900" w:h="16838" w:orient="portrait"/>
          <w:cols w:equalWidth="0" w:num="2">
            <w:col w:w="1720" w:space="24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Classified:</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Loans and leases in the classes within the commercial portfolio segment that are inadequately protected by the sound worth and paying capacity of the borrower or of the collateral pledged, if any. Classified loans and leases are also those in the classes within the consumer portfolio segment that are past due 90 days or more as to principal or interest. Residential mortgage loans that are past due 90 days or more as to principal or interest may be considered Pass if the Company is in the process of collection and the current loan-to-value ratio is 60% or less. Home equity loans that are past due 90 days or more as to principal or interest may be considered Pass if the Company is in the process of collection, the first mortgage is with the Company, and the current combined loan-to-value ratio is 60% or less. Residential mortgage and home equity loans may be current as to principal and interest, but may be considered Classified for a period of generally up to six months following a loan modification. Following a period of demonstrated performance in accordance with the modified contractual terms, the loan may be removed from Classified status. Management believes that there is a distinct possibility that the Company will sustain some loss if the deficiencies related to Classified loans and leases are not corrected in a timely manner.</w:t>
      </w:r>
    </w:p>
    <w:p>
      <w:pPr>
        <w:spacing w:after="0" w:line="200" w:lineRule="exact"/>
        <w:rPr>
          <w:sz w:val="20"/>
          <w:szCs w:val="20"/>
          <w:color w:val="auto"/>
        </w:rPr>
      </w:pPr>
    </w:p>
    <w:p>
      <w:pPr>
        <w:sectPr>
          <w:pgSz w:w="11900" w:h="16838" w:orient="portrait"/>
          <w:cols w:equalWidth="0" w:num="2">
            <w:col w:w="1260" w:space="700"/>
            <w:col w:w="9440"/>
          </w:cols>
          <w:pgMar w:left="240" w:top="130" w:right="259" w:bottom="1440" w:gutter="0" w:footer="0" w:header="0"/>
          <w:type w:val="continuous"/>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30" w:right="25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credit quality indicators are periodically updated on a case-by-case basis. The following presents by class and by credit quality indicator, the recorded investment in the Company’s loans and leases as of September 30, 2019 and December 31,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2"/>
              </w:rPr>
              <w:t>September 30, 2019</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1,305,019</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2,413,316</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149,757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161,947</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4,030,039</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19,394</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37,454</w:t>
            </w:r>
          </w:p>
        </w:tc>
        <w:tc>
          <w:tcPr>
            <w:tcW w:w="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3,778</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60,626</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36,598</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26,526</w:t>
            </w:r>
          </w:p>
        </w:tc>
        <w:tc>
          <w:tcPr>
            <w:tcW w:w="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1,219</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1,725</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66,068</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1,361,011</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2,477,296</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154,754</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163,672</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4,156,733</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3,841,820</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1,678,930</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712,842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481,604</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6,715,196</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4,691</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3,021</w:t>
            </w:r>
          </w:p>
        </w:tc>
        <w:tc>
          <w:tcPr>
            <w:tcW w:w="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582</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1,075</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9,369</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3,846,511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1,681,951</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713,424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482,679</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6,724,565</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10,881,298</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7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94"/>
              </w:rPr>
              <w:t>December 31, 2018</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1,302,278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2,256,128</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168,740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175,223</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3,902,369</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17,688</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30,468</w:t>
            </w:r>
          </w:p>
        </w:tc>
        <w:tc>
          <w:tcPr>
            <w:tcW w:w="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48,161</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11,183</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15,760</w:t>
            </w:r>
          </w:p>
        </w:tc>
        <w:tc>
          <w:tcPr>
            <w:tcW w:w="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1,321</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998</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29,262</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1,331,149</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2,302,356</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170,061</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176,226</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3,668,475</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1,677,193</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657,620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454,697</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6,457,985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5,321</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4,249</w:t>
            </w:r>
          </w:p>
        </w:tc>
        <w:tc>
          <w:tcPr>
            <w:tcW w:w="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513</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914</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10,997</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3,673,796</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1,681,442</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658,133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455,611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6,468,982</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10,448,774</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4"/>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by class, an aging analysis of the Company’s loan and lease portfolio as of September 30, 2019 and December 31, 2018.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30 - 59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60 - 89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Loans and</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90 Days</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Past Due and</w:t>
            </w:r>
          </w:p>
        </w:tc>
        <w:tc>
          <w:tcPr>
            <w:tcW w:w="34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Current</w:t>
            </w:r>
          </w:p>
        </w:tc>
        <w:tc>
          <w:tcPr>
            <w:tcW w:w="3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Loans and</w:t>
            </w: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Leases that</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or More</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Accrual</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Non-Accrual</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Leases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are Current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 of September 30, 2019</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826</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1,611</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1,359,400</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1,361,011</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11,088</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11,838</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2,465,458</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2,477,296</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11,088</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154,754</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154,754</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163,672</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163,672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1,576</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11,661</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13,449</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4,143,284</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4,156,733</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11,536</w:t>
            </w: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3,666</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979</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2,032</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4,258</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10,935</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3,835,576</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3,846,511</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2,446</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2,159</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2,320</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2,787</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9,712</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1,672,239</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1,681,951</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13,809</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1,681</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16,072</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697,352</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713,424</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2,507</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1,812</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1,076</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5,395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477,284</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482,679</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22,428</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6,631</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6,010</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7,045</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42,114</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6,682,451</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6,724,565</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24,004</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6,762</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6,091</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18,706</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55,563</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10,825,735</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10,881,298</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13,260</w:t>
            </w:r>
          </w:p>
        </w:tc>
        <w:tc>
          <w:tcPr>
            <w:tcW w:w="0" w:type="dxa"/>
            <w:vAlign w:val="bottom"/>
          </w:tcPr>
          <w:p>
            <w:pPr>
              <w:spacing w:after="0"/>
              <w:rPr>
                <w:sz w:val="1"/>
                <w:szCs w:val="1"/>
                <w:color w:val="auto"/>
              </w:rPr>
            </w:pPr>
          </w:p>
        </w:tc>
      </w:tr>
      <w:tr>
        <w:trPr>
          <w:trHeight w:val="257"/>
        </w:trPr>
        <w:tc>
          <w:tcPr>
            <w:tcW w:w="2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3,653</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118</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542</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4,323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1,326,826</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1,331,149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2,040</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2,601</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2,299,755</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2,302,356</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170,061</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170,061</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176,226</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176,226</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4,214</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6,924</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3,972,868</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3,979,792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2,555</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5,319</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638</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2,446</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5,321</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13,724</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3,660,072</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3,673,796</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3,323</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1,581</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2,684</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3,671</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11,259</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1,670,183</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1,681,442</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12,372</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2,240</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513</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15,125</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643,008</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658,133</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2,913</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1,245</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914</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5,072</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450,539</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455,611</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23,927</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5,704</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6,557</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8,992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45,180</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6,423,802</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6,468,982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28,141</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5,822</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6,567</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11,574</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52,104</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10,396,670</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10,448,774</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5"/>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80" w:hanging="72"/>
        <w:spacing w:after="0"/>
        <w:tabs>
          <w:tab w:leader="none" w:pos="8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impaired loans as of September 30, 2019 and December 31,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Recorded</w:t>
            </w:r>
          </w:p>
        </w:tc>
        <w:tc>
          <w:tcPr>
            <w:tcW w:w="36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Unpaid</w:t>
            </w:r>
          </w:p>
        </w:tc>
        <w:tc>
          <w:tcPr>
            <w:tcW w:w="3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Related</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Principal</w:t>
            </w:r>
          </w:p>
        </w:tc>
        <w:tc>
          <w:tcPr>
            <w:tcW w:w="3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Allowance for</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Investment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Balance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Loan Losses</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2019</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4,439</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4,439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10,997</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16,114</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1,219</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1,219</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16,655</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21,772</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16,655</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21,772</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942</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1,225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1,727</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1,727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2,669</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2,952</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18,129</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21,721</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3,228</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3,228</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17,621</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17,621</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1,687</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1,687</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40,665</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44,257</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3,266</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43,334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47,209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19,324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24,724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40,665</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44,257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3,266</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59,989</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68,981</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4,587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4,587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2,712</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6,212</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1,321</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1,321</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8,620</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12,120</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8,620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12,120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1,856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2,099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1,822</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1,822</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3,678</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3,921</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19,753</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23,635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3,051</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3,359</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3,359</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17,117</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17,117</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2,098</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2,098</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42,327</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46,209</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3,754</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46,005</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50,130</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3,976</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12,298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16,041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42,327</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46,209</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3,754</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54,625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62,250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26" w:name="page27"/>
    <w:bookmarkEnd w:id="26"/>
    <w:p>
      <w:pPr>
        <w:ind w:left="80" w:hanging="72"/>
        <w:spacing w:after="0"/>
        <w:tabs>
          <w:tab w:leader="none" w:pos="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Comprised of other revolving credit and installment financing.</w:t>
      </w:r>
    </w:p>
    <w:p>
      <w:pPr>
        <w:spacing w:after="0" w:line="33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96" w:right="1440" w:bottom="1440" w:gutter="0" w:footer="0" w:header="0"/>
        </w:sectPr>
      </w:pPr>
    </w:p>
    <w:bookmarkStart w:id="27" w:name="page28"/>
    <w:bookmarkEnd w:id="27"/>
    <w:p>
      <w:pPr>
        <w:spacing w:after="0" w:line="47"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presents by class, information related to the average recorded investment and interest income recognized on impaired loans for the three and nine months ended September 30, 2019 and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9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1"/>
              </w:rPr>
              <w:t>September 30, 2019</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1"/>
              </w:rPr>
              <w:t>September 30, 2018</w:t>
            </w: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Average Recorded</w:t>
            </w:r>
          </w:p>
        </w:tc>
        <w:tc>
          <w:tcPr>
            <w:tcW w:w="420" w:type="dxa"/>
            <w:vAlign w:val="bottom"/>
          </w:tcPr>
          <w:p>
            <w:pPr>
              <w:spacing w:after="0"/>
              <w:rPr>
                <w:sz w:val="13"/>
                <w:szCs w:val="13"/>
                <w:color w:val="auto"/>
              </w:rPr>
            </w:pPr>
          </w:p>
        </w:tc>
        <w:tc>
          <w:tcPr>
            <w:tcW w:w="14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Interest Income</w:t>
            </w:r>
          </w:p>
        </w:tc>
        <w:tc>
          <w:tcPr>
            <w:tcW w:w="220" w:type="dxa"/>
            <w:vAlign w:val="bottom"/>
          </w:tcPr>
          <w:p>
            <w:pPr>
              <w:spacing w:after="0"/>
              <w:rPr>
                <w:sz w:val="13"/>
                <w:szCs w:val="13"/>
                <w:color w:val="auto"/>
              </w:rPr>
            </w:pPr>
          </w:p>
        </w:tc>
        <w:tc>
          <w:tcPr>
            <w:tcW w:w="14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8"/>
              </w:rPr>
              <w:t>Average Recorded</w:t>
            </w:r>
          </w:p>
        </w:tc>
        <w:tc>
          <w:tcPr>
            <w:tcW w:w="340" w:type="dxa"/>
            <w:vAlign w:val="bottom"/>
          </w:tcPr>
          <w:p>
            <w:pPr>
              <w:spacing w:after="0"/>
              <w:rPr>
                <w:sz w:val="13"/>
                <w:szCs w:val="13"/>
                <w:color w:val="auto"/>
              </w:rPr>
            </w:pPr>
          </w:p>
        </w:tc>
        <w:tc>
          <w:tcPr>
            <w:tcW w:w="116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Interest Income</w:t>
            </w:r>
          </w:p>
        </w:tc>
      </w:tr>
      <w:tr>
        <w:trPr>
          <w:trHeight w:val="205"/>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Recognized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Recognized</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 with No Related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4,642</w:t>
            </w:r>
          </w:p>
        </w:tc>
        <w:tc>
          <w:tcPr>
            <w:tcW w:w="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5,900</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8,359</w:t>
            </w:r>
          </w:p>
        </w:tc>
        <w:tc>
          <w:tcPr>
            <w:tcW w:w="4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3,179</w:t>
            </w:r>
          </w:p>
        </w:tc>
        <w:tc>
          <w:tcPr>
            <w:tcW w:w="3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Construction</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1,243</w:t>
            </w: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1,361</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14,244</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10,440</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 with No Related Allowance Recorded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14,244</w:t>
            </w:r>
          </w:p>
        </w:tc>
        <w:tc>
          <w:tcPr>
            <w:tcW w:w="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10,440</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 with an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1,312</w:t>
            </w:r>
          </w:p>
        </w:tc>
        <w:tc>
          <w:tcPr>
            <w:tcW w:w="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1,537</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4,502</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211</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5,814</w:t>
            </w:r>
          </w:p>
        </w:tc>
        <w:tc>
          <w:tcPr>
            <w:tcW w:w="4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1,748</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Residential Mortgage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18,587</w:t>
            </w: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20,571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Home Equity</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3,362</w:t>
            </w:r>
          </w:p>
        </w:tc>
        <w:tc>
          <w:tcPr>
            <w:tcW w:w="4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2,695</w:t>
            </w:r>
          </w:p>
        </w:tc>
        <w:tc>
          <w:tcPr>
            <w:tcW w:w="3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Automobile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17,624</w:t>
            </w: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16,008</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1,746</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2,826</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Consumer</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41,319</w:t>
            </w:r>
          </w:p>
        </w:tc>
        <w:tc>
          <w:tcPr>
            <w:tcW w:w="4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564</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42,100</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846</w:t>
            </w:r>
          </w:p>
        </w:tc>
      </w:tr>
      <w:tr>
        <w:trPr>
          <w:trHeight w:val="30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Impaired Loans with an Allowance Recorded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47,133</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573</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43,848</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918</w:t>
            </w:r>
          </w:p>
        </w:tc>
      </w:tr>
      <w:tr>
        <w:trPr>
          <w:trHeight w:val="203"/>
        </w:trPr>
        <w:tc>
          <w:tcPr>
            <w:tcW w:w="4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Impaired Loans:</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20,058</w:t>
            </w:r>
          </w:p>
        </w:tc>
        <w:tc>
          <w:tcPr>
            <w:tcW w:w="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12,188</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41,319</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564</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42,100</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846</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61,377</w:t>
            </w:r>
          </w:p>
        </w:tc>
        <w:tc>
          <w:tcPr>
            <w:tcW w:w="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678</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54,288</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983</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gridSpan w:val="3"/>
          </w:tcPr>
          <w:p>
            <w:pPr>
              <w:spacing w:after="0" w:line="20" w:lineRule="exact"/>
              <w:rPr>
                <w:sz w:val="1"/>
                <w:szCs w:val="1"/>
                <w:color w:val="auto"/>
              </w:rPr>
            </w:pPr>
          </w:p>
        </w:tc>
      </w:tr>
      <w:tr>
        <w:trPr>
          <w:trHeight w:val="355"/>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24"/>
                <w:szCs w:val="24"/>
                <w:color w:val="auto"/>
              </w:rPr>
            </w:pPr>
          </w:p>
        </w:tc>
        <w:tc>
          <w:tcPr>
            <w:tcW w:w="29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1"/>
              </w:rPr>
              <w:t>September 30, 2019</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1"/>
              </w:rPr>
              <w:t>September 30, 2018</w:t>
            </w: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Average Recorded</w:t>
            </w:r>
          </w:p>
        </w:tc>
        <w:tc>
          <w:tcPr>
            <w:tcW w:w="420" w:type="dxa"/>
            <w:vAlign w:val="bottom"/>
          </w:tcPr>
          <w:p>
            <w:pPr>
              <w:spacing w:after="0"/>
              <w:rPr>
                <w:sz w:val="13"/>
                <w:szCs w:val="13"/>
                <w:color w:val="auto"/>
              </w:rPr>
            </w:pPr>
          </w:p>
        </w:tc>
        <w:tc>
          <w:tcPr>
            <w:tcW w:w="14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Interest Income</w:t>
            </w:r>
          </w:p>
        </w:tc>
        <w:tc>
          <w:tcPr>
            <w:tcW w:w="220" w:type="dxa"/>
            <w:vAlign w:val="bottom"/>
          </w:tcPr>
          <w:p>
            <w:pPr>
              <w:spacing w:after="0"/>
              <w:rPr>
                <w:sz w:val="13"/>
                <w:szCs w:val="13"/>
                <w:color w:val="auto"/>
              </w:rPr>
            </w:pPr>
          </w:p>
        </w:tc>
        <w:tc>
          <w:tcPr>
            <w:tcW w:w="14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8"/>
              </w:rPr>
              <w:t>Average Recorded</w:t>
            </w:r>
          </w:p>
        </w:tc>
        <w:tc>
          <w:tcPr>
            <w:tcW w:w="340" w:type="dxa"/>
            <w:vAlign w:val="bottom"/>
          </w:tcPr>
          <w:p>
            <w:pPr>
              <w:spacing w:after="0"/>
              <w:rPr>
                <w:sz w:val="13"/>
                <w:szCs w:val="13"/>
                <w:color w:val="auto"/>
              </w:rPr>
            </w:pPr>
          </w:p>
        </w:tc>
        <w:tc>
          <w:tcPr>
            <w:tcW w:w="116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Interest Income</w:t>
            </w:r>
          </w:p>
        </w:tc>
      </w:tr>
      <w:tr>
        <w:trPr>
          <w:trHeight w:val="205"/>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Recognized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Recognized</w:t>
            </w: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b w:val="1"/>
                <w:bCs w:val="1"/>
                <w:color w:val="auto"/>
              </w:rPr>
              <w:t>Impaired Loans with No Related Allowance Recorded: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4,760</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6,927</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244</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6,322</w:t>
            </w: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5,285</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Construction</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1,275</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1,373</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12,357</w:t>
            </w:r>
          </w:p>
        </w:tc>
        <w:tc>
          <w:tcPr>
            <w:tcW w:w="4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342</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13,585</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423</w:t>
            </w:r>
          </w:p>
        </w:tc>
      </w:tr>
      <w:tr>
        <w:trPr>
          <w:trHeight w:val="30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Impaired Loans with No Related Allowance Recorded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12,357</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13,585</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w:t>
            </w:r>
          </w:p>
        </w:tc>
      </w:tr>
      <w:tr>
        <w:trPr>
          <w:trHeight w:val="203"/>
        </w:trPr>
        <w:tc>
          <w:tcPr>
            <w:tcW w:w="4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b w:val="1"/>
                <w:bCs w:val="1"/>
                <w:color w:val="auto"/>
              </w:rPr>
              <w:t>Impaired Loans with an Allowance Recorded: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1,499</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1,347</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75</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3,155</w:t>
            </w: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223</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4,654</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1,570</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w:t>
            </w: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Residential Mortgage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19,060</w:t>
            </w:r>
          </w:p>
        </w:tc>
        <w:tc>
          <w:tcPr>
            <w:tcW w:w="4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585</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20,514</w:t>
            </w:r>
          </w:p>
        </w:tc>
        <w:tc>
          <w:tcPr>
            <w:tcW w:w="3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883</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Home Equity</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3,341</w:t>
            </w: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2,448</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Automobile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17,537</w:t>
            </w:r>
          </w:p>
        </w:tc>
        <w:tc>
          <w:tcPr>
            <w:tcW w:w="4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890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15,881</w:t>
            </w:r>
          </w:p>
        </w:tc>
        <w:tc>
          <w:tcPr>
            <w:tcW w:w="3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832</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1,895</w:t>
            </w: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2,800</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Consumer</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41,833</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1,713</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41,643</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1,971</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 with an Allowance Recorded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46,487</w:t>
            </w:r>
          </w:p>
        </w:tc>
        <w:tc>
          <w:tcPr>
            <w:tcW w:w="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1,769</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43,213</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2,069</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17,011</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398</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15,155</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521</w:t>
            </w:r>
          </w:p>
        </w:tc>
      </w:tr>
      <w:tr>
        <w:trPr>
          <w:trHeight w:val="270"/>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41,833</w:t>
            </w: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1,713</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41,643</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1,971</w:t>
            </w:r>
          </w:p>
        </w:tc>
      </w:tr>
      <w:tr>
        <w:trPr>
          <w:trHeight w:val="190"/>
        </w:trPr>
        <w:tc>
          <w:tcPr>
            <w:tcW w:w="4700" w:type="dxa"/>
            <w:vAlign w:val="bottom"/>
          </w:tcPr>
          <w:p>
            <w:pPr>
              <w:ind w:left="280"/>
              <w:spacing w:after="0"/>
              <w:rPr>
                <w:sz w:val="20"/>
                <w:szCs w:val="20"/>
                <w:color w:val="auto"/>
              </w:rPr>
            </w:pPr>
            <w:r>
              <w:rPr>
                <w:rFonts w:ascii="Arial" w:cs="Arial" w:eastAsia="Arial" w:hAnsi="Arial"/>
                <w:sz w:val="14"/>
                <w:szCs w:val="14"/>
                <w:color w:val="auto"/>
              </w:rPr>
              <w:t>Total Impaired Loans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58,844</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2,111</w:t>
            </w:r>
          </w:p>
        </w:tc>
        <w:tc>
          <w:tcPr>
            <w:tcW w:w="2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56,798</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2,492</w:t>
            </w:r>
          </w:p>
        </w:tc>
      </w:tr>
    </w:tbl>
    <w:p>
      <w:pPr>
        <w:sectPr>
          <w:pgSz w:w="11900" w:h="16885" w:orient="portrait"/>
          <w:cols w:equalWidth="0" w:num="1">
            <w:col w:w="11420"/>
          </w:cols>
          <w:pgMar w:left="240" w:top="130" w:right="239" w:bottom="0" w:gutter="0" w:footer="0" w:header="0"/>
        </w:sectPr>
      </w:pPr>
    </w:p>
    <w:bookmarkStart w:id="28" w:name="page29"/>
    <w:bookmarkEnd w:id="28"/>
    <w:p>
      <w:pPr>
        <w:ind w:left="80" w:hanging="72"/>
        <w:spacing w:after="0"/>
        <w:tabs>
          <w:tab w:leader="none" w:pos="80" w:val="left"/>
        </w:tabs>
        <w:numPr>
          <w:ilvl w:val="0"/>
          <w:numId w:val="8"/>
        </w:numPr>
        <w:rPr>
          <w:rFonts w:ascii="Arial" w:cs="Arial" w:eastAsia="Arial" w:hAnsi="Arial"/>
          <w:sz w:val="9"/>
          <w:szCs w:val="9"/>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Comprised of other revolving credit and installment financing.</w:t>
      </w:r>
    </w:p>
    <w:p>
      <w:pPr>
        <w:spacing w:after="0" w:line="200" w:lineRule="exact"/>
        <w:rPr>
          <w:sz w:val="20"/>
          <w:szCs w:val="20"/>
          <w:color w:val="auto"/>
        </w:rPr>
      </w:pP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512" w:right="1440"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and nine months ended September 30, 2019 and 2018, the amounts of interest income recognized by the Company within the periods that the loans were impaired were primarily related to loans modified in a troubled debt restructuring (“TDR”) that remained on accrual status. For the three and nine months ended September 30, 2019 and 2018, the amount of interest income recognized using a cash-basis method of accounting during the periods that the loans were impaired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modification of a loan constitutes a TDR when the Company, for economic or legal reasons related to a borrower’s financial difficulties, grants a concession to the borrower that it would not otherwise consider. Loans modified in a TDR were $54.0 million as of September 30, 2019 and December 31, 2018. There were $0.1 million and $0.2 million commitments to lend additional funds on loans modified in a TDR as of September 30, 2019 and December 31, 2018, respectively.</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a lower interest rate and the loan being fully amortized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monthly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6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130"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by class, information related to loans modified in a TDR during the three and nine months ended September 30, 2019 and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40" w:type="dxa"/>
            <w:vAlign w:val="bottom"/>
            <w:gridSpan w:val="5"/>
          </w:tcPr>
          <w:p>
            <w:pPr>
              <w:jc w:val="center"/>
              <w:ind w:right="1080"/>
              <w:spacing w:after="0"/>
              <w:rPr>
                <w:sz w:val="20"/>
                <w:szCs w:val="20"/>
                <w:color w:val="auto"/>
              </w:rPr>
            </w:pPr>
            <w:r>
              <w:rPr>
                <w:rFonts w:ascii="Arial" w:cs="Arial" w:eastAsia="Arial" w:hAnsi="Arial"/>
                <w:sz w:val="16"/>
                <w:szCs w:val="16"/>
                <w:b w:val="1"/>
                <w:bCs w:val="1"/>
                <w:color w:val="auto"/>
                <w:w w:val="93"/>
              </w:rPr>
              <w:t>Loans Modified as a TDR for the</w:t>
            </w:r>
          </w:p>
        </w:tc>
        <w:tc>
          <w:tcPr>
            <w:tcW w:w="920" w:type="dxa"/>
            <w:vAlign w:val="bottom"/>
          </w:tcPr>
          <w:p>
            <w:pPr>
              <w:spacing w:after="0"/>
              <w:rPr>
                <w:sz w:val="17"/>
                <w:szCs w:val="17"/>
                <w:color w:val="auto"/>
              </w:rPr>
            </w:pPr>
          </w:p>
        </w:tc>
        <w:tc>
          <w:tcPr>
            <w:tcW w:w="3220" w:type="dxa"/>
            <w:vAlign w:val="bottom"/>
            <w:gridSpan w:val="4"/>
          </w:tcPr>
          <w:p>
            <w:pPr>
              <w:jc w:val="right"/>
              <w:ind w:right="841"/>
              <w:spacing w:after="0"/>
              <w:rPr>
                <w:sz w:val="20"/>
                <w:szCs w:val="20"/>
                <w:color w:val="auto"/>
              </w:rPr>
            </w:pPr>
            <w:r>
              <w:rPr>
                <w:rFonts w:ascii="Arial" w:cs="Arial" w:eastAsia="Arial" w:hAnsi="Arial"/>
                <w:sz w:val="16"/>
                <w:szCs w:val="16"/>
                <w:b w:val="1"/>
                <w:bCs w:val="1"/>
                <w:color w:val="auto"/>
                <w:w w:val="93"/>
              </w:rPr>
              <w:t>Loans Modified as a TDR for the</w:t>
            </w:r>
          </w:p>
        </w:tc>
      </w:tr>
      <w:tr>
        <w:trPr>
          <w:trHeight w:val="210"/>
        </w:trPr>
        <w:tc>
          <w:tcPr>
            <w:tcW w:w="2880" w:type="dxa"/>
            <w:vAlign w:val="bottom"/>
          </w:tcPr>
          <w:p>
            <w:pPr>
              <w:spacing w:after="0"/>
              <w:rPr>
                <w:sz w:val="18"/>
                <w:szCs w:val="18"/>
                <w:color w:val="auto"/>
              </w:rPr>
            </w:pPr>
          </w:p>
        </w:tc>
        <w:tc>
          <w:tcPr>
            <w:tcW w:w="44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1"/>
              </w:rPr>
              <w:t>Three Months Ended September 30, 2019</w:t>
            </w:r>
          </w:p>
        </w:tc>
        <w:tc>
          <w:tcPr>
            <w:tcW w:w="4140" w:type="dxa"/>
            <w:vAlign w:val="bottom"/>
            <w:gridSpan w:val="5"/>
          </w:tcPr>
          <w:p>
            <w:pPr>
              <w:jc w:val="right"/>
              <w:ind w:right="541"/>
              <w:spacing w:after="0"/>
              <w:rPr>
                <w:sz w:val="20"/>
                <w:szCs w:val="20"/>
                <w:color w:val="auto"/>
              </w:rPr>
            </w:pPr>
            <w:r>
              <w:rPr>
                <w:rFonts w:ascii="Arial" w:cs="Arial" w:eastAsia="Arial" w:hAnsi="Arial"/>
                <w:sz w:val="16"/>
                <w:szCs w:val="16"/>
                <w:b w:val="1"/>
                <w:bCs w:val="1"/>
                <w:color w:val="auto"/>
              </w:rPr>
              <w:t>Three Months Ended September 30, 2018</w:t>
            </w:r>
          </w:p>
        </w:tc>
      </w:tr>
      <w:tr>
        <w:trPr>
          <w:trHeight w:val="33"/>
        </w:trPr>
        <w:tc>
          <w:tcPr>
            <w:tcW w:w="28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2"/>
        </w:trPr>
        <w:tc>
          <w:tcPr>
            <w:tcW w:w="2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Increase in</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Allowance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89"/>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8"/>
              </w:rPr>
              <w:t>(as of period end)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45</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233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233</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1"/>
        </w:trPr>
        <w:tc>
          <w:tcPr>
            <w:tcW w:w="28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Consumer</w:t>
            </w:r>
          </w:p>
        </w:tc>
        <w:tc>
          <w:tcPr>
            <w:tcW w:w="9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296</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434</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69</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1,665</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1,700</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w:t>
            </w:r>
          </w:p>
        </w:tc>
      </w:tr>
      <w:tr>
        <w:trPr>
          <w:trHeight w:val="270"/>
        </w:trPr>
        <w:tc>
          <w:tcPr>
            <w:tcW w:w="28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117</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326</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w:t>
            </w: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1,782</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2,756</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w:t>
            </w:r>
          </w:p>
        </w:tc>
      </w:tr>
      <w:tr>
        <w:trPr>
          <w:trHeight w:val="231"/>
        </w:trPr>
        <w:tc>
          <w:tcPr>
            <w:tcW w:w="28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1,827</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26</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2,989</w:t>
            </w:r>
          </w:p>
        </w:tc>
        <w:tc>
          <w:tcPr>
            <w:tcW w:w="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116</w:t>
            </w:r>
          </w:p>
        </w:tc>
      </w:tr>
      <w:tr>
        <w:trPr>
          <w:trHeight w:val="73"/>
        </w:trPr>
        <w:tc>
          <w:tcPr>
            <w:tcW w:w="28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4"/>
        </w:trPr>
        <w:tc>
          <w:tcPr>
            <w:tcW w:w="2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40" w:type="dxa"/>
            <w:vAlign w:val="bottom"/>
            <w:gridSpan w:val="5"/>
          </w:tcPr>
          <w:p>
            <w:pPr>
              <w:jc w:val="center"/>
              <w:ind w:right="1080"/>
              <w:spacing w:after="0"/>
              <w:rPr>
                <w:sz w:val="20"/>
                <w:szCs w:val="20"/>
                <w:color w:val="auto"/>
              </w:rPr>
            </w:pPr>
            <w:r>
              <w:rPr>
                <w:rFonts w:ascii="Arial" w:cs="Arial" w:eastAsia="Arial" w:hAnsi="Arial"/>
                <w:sz w:val="16"/>
                <w:szCs w:val="16"/>
                <w:b w:val="1"/>
                <w:bCs w:val="1"/>
                <w:color w:val="auto"/>
                <w:w w:val="93"/>
              </w:rPr>
              <w:t>Loans Modified as a TDR for the</w:t>
            </w:r>
          </w:p>
        </w:tc>
        <w:tc>
          <w:tcPr>
            <w:tcW w:w="920" w:type="dxa"/>
            <w:vAlign w:val="bottom"/>
          </w:tcPr>
          <w:p>
            <w:pPr>
              <w:spacing w:after="0"/>
              <w:rPr>
                <w:sz w:val="17"/>
                <w:szCs w:val="17"/>
                <w:color w:val="auto"/>
              </w:rPr>
            </w:pPr>
          </w:p>
        </w:tc>
        <w:tc>
          <w:tcPr>
            <w:tcW w:w="3220" w:type="dxa"/>
            <w:vAlign w:val="bottom"/>
            <w:gridSpan w:val="4"/>
          </w:tcPr>
          <w:p>
            <w:pPr>
              <w:jc w:val="right"/>
              <w:ind w:right="841"/>
              <w:spacing w:after="0"/>
              <w:rPr>
                <w:sz w:val="20"/>
                <w:szCs w:val="20"/>
                <w:color w:val="auto"/>
              </w:rPr>
            </w:pPr>
            <w:r>
              <w:rPr>
                <w:rFonts w:ascii="Arial" w:cs="Arial" w:eastAsia="Arial" w:hAnsi="Arial"/>
                <w:sz w:val="16"/>
                <w:szCs w:val="16"/>
                <w:b w:val="1"/>
                <w:bCs w:val="1"/>
                <w:color w:val="auto"/>
                <w:w w:val="93"/>
              </w:rPr>
              <w:t>Loans Modified as a TDR for the</w:t>
            </w:r>
          </w:p>
        </w:tc>
      </w:tr>
      <w:tr>
        <w:trPr>
          <w:trHeight w:val="210"/>
        </w:trPr>
        <w:tc>
          <w:tcPr>
            <w:tcW w:w="2880" w:type="dxa"/>
            <w:vAlign w:val="bottom"/>
          </w:tcPr>
          <w:p>
            <w:pPr>
              <w:spacing w:after="0"/>
              <w:rPr>
                <w:sz w:val="18"/>
                <w:szCs w:val="18"/>
                <w:color w:val="auto"/>
              </w:rPr>
            </w:pPr>
          </w:p>
        </w:tc>
        <w:tc>
          <w:tcPr>
            <w:tcW w:w="44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1"/>
              </w:rPr>
              <w:t>Nine Months Ended September 30, 2019</w:t>
            </w:r>
          </w:p>
        </w:tc>
        <w:tc>
          <w:tcPr>
            <w:tcW w:w="4140" w:type="dxa"/>
            <w:vAlign w:val="bottom"/>
            <w:gridSpan w:val="5"/>
          </w:tcPr>
          <w:p>
            <w:pPr>
              <w:jc w:val="right"/>
              <w:ind w:right="581"/>
              <w:spacing w:after="0"/>
              <w:rPr>
                <w:sz w:val="20"/>
                <w:szCs w:val="20"/>
                <w:color w:val="auto"/>
              </w:rPr>
            </w:pPr>
            <w:r>
              <w:rPr>
                <w:rFonts w:ascii="Arial" w:cs="Arial" w:eastAsia="Arial" w:hAnsi="Arial"/>
                <w:sz w:val="16"/>
                <w:szCs w:val="16"/>
                <w:b w:val="1"/>
                <w:bCs w:val="1"/>
                <w:color w:val="auto"/>
              </w:rPr>
              <w:t>Nine Months Ended September 30, 2018</w:t>
            </w:r>
          </w:p>
        </w:tc>
      </w:tr>
      <w:tr>
        <w:trPr>
          <w:trHeight w:val="33"/>
        </w:trPr>
        <w:tc>
          <w:tcPr>
            <w:tcW w:w="28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28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Increase in</w:t>
            </w: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58"/>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Allowance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7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8"/>
              </w:rPr>
              <w:t>(as of period end)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244</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1,450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47</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3,766</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1"/>
        </w:trPr>
        <w:tc>
          <w:tcPr>
            <w:tcW w:w="28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4,010</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1,450</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47</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749</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35</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971</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960" w:type="dxa"/>
            <w:vAlign w:val="bottom"/>
          </w:tcPr>
          <w:p>
            <w:pPr>
              <w:jc w:val="right"/>
              <w:spacing w:after="0"/>
              <w:rPr>
                <w:sz w:val="20"/>
                <w:szCs w:val="20"/>
                <w:color w:val="auto"/>
              </w:rPr>
            </w:pPr>
            <w:r>
              <w:rPr>
                <w:rFonts w:ascii="Arial" w:cs="Arial" w:eastAsia="Arial" w:hAnsi="Arial"/>
                <w:sz w:val="16"/>
                <w:szCs w:val="16"/>
                <w:color w:val="auto"/>
              </w:rPr>
              <w:t>271</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5,011</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254</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5,196</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100</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8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459</w:t>
            </w: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1,182</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r>
      <w:tr>
        <w:trPr>
          <w:trHeight w:val="231"/>
        </w:trPr>
        <w:tc>
          <w:tcPr>
            <w:tcW w:w="288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960" w:type="dxa"/>
            <w:vAlign w:val="bottom"/>
          </w:tcPr>
          <w:p>
            <w:pPr>
              <w:jc w:val="right"/>
              <w:spacing w:after="0"/>
              <w:rPr>
                <w:sz w:val="20"/>
                <w:szCs w:val="20"/>
                <w:color w:val="auto"/>
              </w:rPr>
            </w:pPr>
            <w:r>
              <w:rPr>
                <w:rFonts w:ascii="Arial" w:cs="Arial" w:eastAsia="Arial" w:hAnsi="Arial"/>
                <w:sz w:val="16"/>
                <w:szCs w:val="16"/>
                <w:color w:val="auto"/>
              </w:rPr>
              <w:t>349</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5,773</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436</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8,098</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238</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9,783</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9,548</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285</w:t>
            </w:r>
          </w:p>
        </w:tc>
      </w:tr>
      <w:tr>
        <w:trPr>
          <w:trHeight w:val="20"/>
        </w:trPr>
        <w:tc>
          <w:tcPr>
            <w:tcW w:w="2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following presents by class, all loans modified in a TDR that defaulted during the three and nine months ended September 30, 2019 and 2018, and within twelve months of their modification date. A TDR is considered to be in default once it becomes 60 days or more past due following a modification.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0"/>
              </w:rPr>
              <w:t>September 30, 2019</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September 30, 2018</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1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Recorded</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40" w:type="dxa"/>
            <w:vAlign w:val="bottom"/>
          </w:tcPr>
          <w:p>
            <w:pPr>
              <w:jc w:val="right"/>
              <w:ind w:right="121"/>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w:t>
            </w:r>
          </w:p>
        </w:tc>
        <w:tc>
          <w:tcPr>
            <w:tcW w:w="132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89"/>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133</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195</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72</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28</w:t>
            </w:r>
          </w:p>
        </w:tc>
        <w:tc>
          <w:tcPr>
            <w:tcW w:w="3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1"/>
        </w:trPr>
        <w:tc>
          <w:tcPr>
            <w:tcW w:w="516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526</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40</w:t>
            </w:r>
          </w:p>
        </w:tc>
        <w:tc>
          <w:tcPr>
            <w:tcW w:w="36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526</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40</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20" w:type="dxa"/>
            <w:vAlign w:val="bottom"/>
            <w:gridSpan w:val="4"/>
          </w:tcPr>
          <w:p>
            <w:pPr>
              <w:ind w:left="820"/>
              <w:spacing w:after="0"/>
              <w:rPr>
                <w:sz w:val="20"/>
                <w:szCs w:val="20"/>
                <w:color w:val="auto"/>
              </w:rPr>
            </w:pPr>
            <w:r>
              <w:rPr>
                <w:rFonts w:ascii="Arial" w:cs="Arial" w:eastAsia="Arial" w:hAnsi="Arial"/>
                <w:sz w:val="16"/>
                <w:szCs w:val="16"/>
                <w:b w:val="1"/>
                <w:bCs w:val="1"/>
                <w:color w:val="auto"/>
              </w:rPr>
              <w:t>Nine Months Ended</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20" w:type="dxa"/>
            <w:vAlign w:val="bottom"/>
            <w:gridSpan w:val="4"/>
          </w:tcPr>
          <w:p>
            <w:pPr>
              <w:ind w:left="820"/>
              <w:spacing w:after="0"/>
              <w:rPr>
                <w:sz w:val="20"/>
                <w:szCs w:val="20"/>
                <w:color w:val="auto"/>
              </w:rPr>
            </w:pPr>
            <w:r>
              <w:rPr>
                <w:rFonts w:ascii="Arial" w:cs="Arial" w:eastAsia="Arial" w:hAnsi="Arial"/>
                <w:sz w:val="16"/>
                <w:szCs w:val="16"/>
                <w:b w:val="1"/>
                <w:bCs w:val="1"/>
                <w:color w:val="auto"/>
              </w:rPr>
              <w:t>September 30, 2019</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September 30, 2018</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1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Recorded</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21"/>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40" w:type="dxa"/>
            <w:vAlign w:val="bottom"/>
          </w:tcPr>
          <w:p>
            <w:pPr>
              <w:jc w:val="right"/>
              <w:ind w:right="120"/>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w:t>
            </w:r>
          </w:p>
        </w:tc>
        <w:tc>
          <w:tcPr>
            <w:tcW w:w="1320" w:type="dxa"/>
            <w:vAlign w:val="bottom"/>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1"/>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and Industrial</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1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3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55</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Consumer</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133</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195</w:t>
            </w:r>
          </w:p>
        </w:tc>
        <w:tc>
          <w:tcPr>
            <w:tcW w:w="220" w:type="dxa"/>
            <w:vAlign w:val="bottom"/>
          </w:tcPr>
          <w:p>
            <w:pPr>
              <w:spacing w:after="0"/>
              <w:rPr>
                <w:sz w:val="20"/>
                <w:szCs w:val="20"/>
                <w:color w:val="auto"/>
              </w:rPr>
            </w:pP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326</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32</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24</w:t>
            </w:r>
          </w:p>
        </w:tc>
        <w:tc>
          <w:tcPr>
            <w:tcW w:w="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144</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56</w:t>
            </w:r>
          </w:p>
        </w:tc>
        <w:tc>
          <w:tcPr>
            <w:tcW w:w="3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48</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798</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88</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31"/>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49</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853</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88</w:t>
            </w: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Commercial and consumer 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$1.8 million as of September 30,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Company’s portfolio of residential mortgage loans serviced for third parties was $3.0 billion and $2.9 billion as of September 30, 2019 and December 31, 2018, respectively. Substantially all of these loans were originated by the Company and sold to third parties on a non-recourse basis with servicing rights retained. These retained servicing rights are recorded as a servicing asset and are initially recorded at fair value (see Note 14 </w:t>
      </w:r>
      <w:r>
        <w:rPr>
          <w:rFonts w:ascii="Arial" w:cs="Arial" w:eastAsia="Arial" w:hAnsi="Arial"/>
          <w:sz w:val="18"/>
          <w:szCs w:val="18"/>
          <w:i w:val="1"/>
          <w:iCs w:val="1"/>
          <w:color w:val="auto"/>
        </w:rPr>
        <w:t>Fair Value of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for more information). Changes to the balance of mortgage servicing rights are recorded in mortgage banking income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$1.8 million for the three months ended September 30, 2019 and 2018, and $5.4 million for the nine months ended September 30, 2019 and 2018. Servicing income is recorded in mortgage banking income in the Company’s consolidated statements of income. The Company’s residential mortgage investor loan servicing portfolio is primarily comprised of fixed rate loans concentrated in Hawaii.</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three and nine months ended September 30, 2019 and 2018, the change in the carrying value of the Company’s mortgage servicing rights accounted for under the fair value measurement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Nine Months Ended</w:t>
            </w:r>
          </w:p>
        </w:tc>
        <w:tc>
          <w:tcPr>
            <w:tcW w:w="62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9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1,212</w:t>
            </w:r>
          </w:p>
        </w:tc>
        <w:tc>
          <w:tcPr>
            <w:tcW w:w="9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1,366</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1,290</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Change in Fair Value:</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Due to Payoffs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9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w:t>
            </w:r>
          </w:p>
        </w:tc>
        <w:tc>
          <w:tcPr>
            <w:tcW w:w="8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Changes in Fair Value of Mortgage Servicing Rights</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w:t>
            </w:r>
          </w:p>
        </w:tc>
        <w:tc>
          <w:tcPr>
            <w:tcW w:w="9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(116)</w:t>
            </w:r>
          </w:p>
        </w:tc>
        <w:tc>
          <w:tcPr>
            <w:tcW w:w="8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1,174</w:t>
            </w:r>
          </w:p>
        </w:tc>
        <w:tc>
          <w:tcPr>
            <w:tcW w:w="9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1,327</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1,174</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1,327</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three and nine months ended September 30, 2019 and 2018, the change in the carrying value of the Company’s mortgage servicing rights accounted for under the amortization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23,021</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23,217</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23,020</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23,168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Servicing Rights that Resulted From Asset Transfers</w:t>
            </w:r>
          </w:p>
        </w:tc>
        <w:tc>
          <w:tcPr>
            <w:tcW w:w="4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1,263</w:t>
            </w:r>
          </w:p>
        </w:tc>
        <w:tc>
          <w:tcPr>
            <w:tcW w:w="8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562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2,788</w:t>
            </w:r>
          </w:p>
        </w:tc>
        <w:tc>
          <w:tcPr>
            <w:tcW w:w="8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1,957</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(1,032)</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(2,546)</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(1,989)</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Valuation Allowance Provision</w:t>
            </w:r>
          </w:p>
        </w:tc>
        <w:tc>
          <w:tcPr>
            <w:tcW w:w="4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88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8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23,234</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23,136</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23,234</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23,136</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Valuation Allowance:</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8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Valuation Allowance Provision</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8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c>
          <w:tcPr>
            <w:tcW w:w="8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w:t>
            </w:r>
          </w:p>
        </w:tc>
        <w:tc>
          <w:tcPr>
            <w:tcW w:w="88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w:t>
            </w:r>
          </w:p>
        </w:tc>
        <w:tc>
          <w:tcPr>
            <w:tcW w:w="82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73"/>
        </w:trPr>
        <w:tc>
          <w:tcPr>
            <w:tcW w:w="52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197"/>
        </w:trPr>
        <w:tc>
          <w:tcPr>
            <w:tcW w:w="5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Fair Value of Mortgage Servicing Rights Accounted for</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5260" w:type="dxa"/>
            <w:vAlign w:val="bottom"/>
          </w:tcPr>
          <w:p>
            <w:pPr>
              <w:ind w:left="320"/>
              <w:spacing w:after="0"/>
              <w:rPr>
                <w:sz w:val="20"/>
                <w:szCs w:val="20"/>
                <w:color w:val="auto"/>
              </w:rPr>
            </w:pPr>
            <w:r>
              <w:rPr>
                <w:rFonts w:ascii="Arial" w:cs="Arial" w:eastAsia="Arial" w:hAnsi="Arial"/>
                <w:sz w:val="16"/>
                <w:szCs w:val="16"/>
                <w:b w:val="1"/>
                <w:bCs w:val="1"/>
                <w:color w:val="auto"/>
              </w:rPr>
              <w:t>Under the Amortization Method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24,905</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29,746</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29,218</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26,716</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End of Period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23,674</w:t>
            </w:r>
          </w:p>
        </w:tc>
        <w:tc>
          <w:tcPr>
            <w:tcW w:w="8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30,063</w:t>
            </w:r>
          </w:p>
        </w:tc>
        <w:tc>
          <w:tcPr>
            <w:tcW w:w="2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23,674</w:t>
            </w:r>
          </w:p>
        </w:tc>
        <w:tc>
          <w:tcPr>
            <w:tcW w:w="8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30,063</w:t>
            </w:r>
          </w:p>
        </w:tc>
      </w:tr>
    </w:tbl>
    <w:p>
      <w:pPr>
        <w:spacing w:after="0" w:line="200" w:lineRule="exact"/>
        <w:rPr>
          <w:sz w:val="20"/>
          <w:szCs w:val="20"/>
          <w:color w:val="auto"/>
        </w:rPr>
      </w:pPr>
    </w:p>
    <w:p>
      <w:pPr>
        <w:spacing w:after="0" w:line="25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September 30, 2019 and December 31, 2018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4200" w:type="dxa"/>
            <w:vAlign w:val="bottom"/>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840" w:type="dxa"/>
            <w:vAlign w:val="bottom"/>
          </w:tcPr>
          <w:p>
            <w:pPr>
              <w:spacing w:after="0"/>
              <w:rPr>
                <w:sz w:val="18"/>
                <w:szCs w:val="18"/>
                <w:color w:val="auto"/>
              </w:rPr>
            </w:pPr>
          </w:p>
        </w:tc>
        <w:tc>
          <w:tcPr>
            <w:tcW w:w="42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33"/>
        </w:trPr>
        <w:tc>
          <w:tcPr>
            <w:tcW w:w="58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Weighted-Average Constant Prepayment Rate </w:t>
            </w:r>
            <w:r>
              <w:rPr>
                <w:rFonts w:ascii="Arial" w:cs="Arial" w:eastAsia="Arial" w:hAnsi="Arial"/>
                <w:sz w:val="21"/>
                <w:szCs w:val="21"/>
                <w:color w:val="auto"/>
                <w:vertAlign w:val="superscript"/>
              </w:rPr>
              <w:t>1</w:t>
            </w:r>
          </w:p>
        </w:tc>
        <w:tc>
          <w:tcPr>
            <w:tcW w:w="4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11.81%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r>
      <w:tr>
        <w:trPr>
          <w:trHeight w:val="237"/>
        </w:trPr>
        <w:tc>
          <w:tcPr>
            <w:tcW w:w="5840" w:type="dxa"/>
            <w:vAlign w:val="bottom"/>
          </w:tcPr>
          <w:p>
            <w:pPr>
              <w:ind w:left="40"/>
              <w:spacing w:after="0"/>
              <w:rPr>
                <w:sz w:val="20"/>
                <w:szCs w:val="20"/>
                <w:color w:val="auto"/>
              </w:rPr>
            </w:pPr>
            <w:r>
              <w:rPr>
                <w:rFonts w:ascii="Arial" w:cs="Arial" w:eastAsia="Arial" w:hAnsi="Arial"/>
                <w:sz w:val="16"/>
                <w:szCs w:val="16"/>
                <w:color w:val="auto"/>
              </w:rPr>
              <w:t>Weighted-Average Life (in years)</w:t>
            </w:r>
          </w:p>
        </w:tc>
        <w:tc>
          <w:tcPr>
            <w:tcW w:w="4200" w:type="dxa"/>
            <w:vAlign w:val="bottom"/>
          </w:tcPr>
          <w:p>
            <w:pPr>
              <w:jc w:val="right"/>
              <w:ind w:right="319"/>
              <w:spacing w:after="0"/>
              <w:rPr>
                <w:sz w:val="20"/>
                <w:szCs w:val="20"/>
                <w:color w:val="auto"/>
              </w:rPr>
            </w:pPr>
            <w:r>
              <w:rPr>
                <w:rFonts w:ascii="Arial" w:cs="Arial" w:eastAsia="Arial" w:hAnsi="Arial"/>
                <w:sz w:val="16"/>
                <w:szCs w:val="16"/>
                <w:color w:val="auto"/>
              </w:rPr>
              <w:t>5.79</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7.89</w:t>
            </w:r>
          </w:p>
        </w:tc>
      </w:tr>
      <w:tr>
        <w:trPr>
          <w:trHeight w:val="33"/>
        </w:trPr>
        <w:tc>
          <w:tcPr>
            <w:tcW w:w="58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Note Rate</w:t>
            </w:r>
          </w:p>
        </w:tc>
        <w:tc>
          <w:tcPr>
            <w:tcW w:w="4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311"/>
        </w:trPr>
        <w:tc>
          <w:tcPr>
            <w:tcW w:w="5840" w:type="dxa"/>
            <w:vAlign w:val="bottom"/>
          </w:tcPr>
          <w:p>
            <w:pPr>
              <w:spacing w:after="0"/>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2</w:t>
            </w:r>
          </w:p>
        </w:tc>
        <w:tc>
          <w:tcPr>
            <w:tcW w:w="4200" w:type="dxa"/>
            <w:vAlign w:val="bottom"/>
          </w:tcPr>
          <w:p>
            <w:pPr>
              <w:jc w:val="right"/>
              <w:ind w:right="179"/>
              <w:spacing w:after="0"/>
              <w:rPr>
                <w:sz w:val="20"/>
                <w:szCs w:val="20"/>
                <w:color w:val="auto"/>
              </w:rPr>
            </w:pPr>
            <w:r>
              <w:rPr>
                <w:rFonts w:ascii="Arial" w:cs="Arial" w:eastAsia="Arial" w:hAnsi="Arial"/>
                <w:sz w:val="16"/>
                <w:szCs w:val="16"/>
                <w:color w:val="auto"/>
              </w:rPr>
              <w:t>6.96%</w:t>
            </w:r>
          </w:p>
        </w:tc>
        <w:tc>
          <w:tcPr>
            <w:tcW w:w="1380" w:type="dxa"/>
            <w:vAlign w:val="bottom"/>
          </w:tcPr>
          <w:p>
            <w:pPr>
              <w:jc w:val="right"/>
              <w:spacing w:after="0"/>
              <w:rPr>
                <w:sz w:val="20"/>
                <w:szCs w:val="20"/>
                <w:color w:val="auto"/>
              </w:rPr>
            </w:pPr>
            <w:r>
              <w:rPr>
                <w:rFonts w:ascii="Arial" w:cs="Arial" w:eastAsia="Arial" w:hAnsi="Arial"/>
                <w:sz w:val="16"/>
                <w:szCs w:val="16"/>
                <w:color w:val="auto"/>
              </w:rPr>
              <w:t>9.59%</w:t>
            </w:r>
          </w:p>
        </w:tc>
      </w:tr>
    </w:tbl>
    <w:p>
      <w:pPr>
        <w:spacing w:after="0" w:line="156"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3" w:lineRule="exact"/>
        <w:rPr>
          <w:sz w:val="20"/>
          <w:szCs w:val="20"/>
          <w:color w:val="auto"/>
        </w:rPr>
      </w:pP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September 30, 2019 and December 31, 2018 is presented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Constant Prepayment Rate</w:t>
            </w:r>
          </w:p>
        </w:tc>
        <w:tc>
          <w:tcPr>
            <w:tcW w:w="2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25 basis points (“bps”) adverse change</w:t>
            </w: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(268)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33"/>
        </w:trPr>
        <w:tc>
          <w:tcPr>
            <w:tcW w:w="6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(529)</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25 bps adverse change</w:t>
            </w:r>
          </w:p>
        </w:tc>
        <w:tc>
          <w:tcPr>
            <w:tcW w:w="2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(231)</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1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(458)</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(643)</w:t>
            </w:r>
          </w:p>
        </w:tc>
      </w:tr>
    </w:tbl>
    <w:p>
      <w:pPr>
        <w:spacing w:after="0" w:line="200" w:lineRule="exact"/>
        <w:rPr>
          <w:sz w:val="20"/>
          <w:szCs w:val="20"/>
          <w:color w:val="auto"/>
        </w:rPr>
      </w:pPr>
    </w:p>
    <w:p>
      <w:pPr>
        <w:spacing w:after="0" w:line="25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Affordable Housing Projects Tax Credit Partnerships</w:t>
      </w:r>
    </w:p>
    <w:p>
      <w:pPr>
        <w:spacing w:after="0" w:line="243"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Company makes equity investments in various limited partnerships or limited liability companies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these entities include the identification, development, and operation of multi-family housing that is leased to qualifying residential tenants. Generally, these types of investments are funded through a combination of debt and equity.</w:t>
      </w:r>
    </w:p>
    <w:p>
      <w:pPr>
        <w:spacing w:after="0" w:line="17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 (s)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and related unfunded commitments were $71.9 million and $73.7 million as of September 30, 2019 and December 31, 2018, respectively, and are included in other assets in the consolidated statements of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 expected payments for unfunded affordable housing commitments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2,923</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2020</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12,370</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2022</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1,417</w:t>
            </w:r>
          </w:p>
        </w:tc>
      </w:tr>
      <w:tr>
        <w:trPr>
          <w:trHeight w:val="33"/>
        </w:trPr>
        <w:tc>
          <w:tcPr>
            <w:tcW w:w="61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Unfunded Commitments</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16,868</w:t>
            </w:r>
          </w:p>
        </w:tc>
      </w:tr>
      <w:tr>
        <w:trPr>
          <w:trHeight w:val="20"/>
        </w:trPr>
        <w:tc>
          <w:tcPr>
            <w:tcW w:w="612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three and nine months ended September 30, 2019 and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64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8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Yield Method</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2,930</w:t>
            </w:r>
          </w:p>
        </w:tc>
        <w:tc>
          <w:tcPr>
            <w:tcW w:w="8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3,380</w:t>
            </w:r>
          </w:p>
        </w:tc>
        <w:tc>
          <w:tcPr>
            <w:tcW w:w="2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8,789</w:t>
            </w:r>
          </w:p>
        </w:tc>
        <w:tc>
          <w:tcPr>
            <w:tcW w:w="6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10,192</w:t>
            </w:r>
          </w:p>
        </w:tc>
      </w:tr>
      <w:tr>
        <w:trPr>
          <w:trHeight w:val="33"/>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1,891</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2,078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5,674</w:t>
            </w: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6,233</w:t>
            </w:r>
          </w:p>
        </w:tc>
      </w:tr>
      <w:tr>
        <w:trPr>
          <w:trHeight w:val="270"/>
        </w:trPr>
        <w:tc>
          <w:tcPr>
            <w:tcW w:w="6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Proportional Amortization Method</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753</w:t>
            </w:r>
          </w:p>
        </w:tc>
        <w:tc>
          <w:tcPr>
            <w:tcW w:w="8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2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2,260</w:t>
            </w:r>
          </w:p>
        </w:tc>
        <w:tc>
          <w:tcPr>
            <w:tcW w:w="6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1,231</w:t>
            </w:r>
          </w:p>
        </w:tc>
      </w:tr>
      <w:tr>
        <w:trPr>
          <w:trHeight w:val="33"/>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6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645</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333</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1,934</w:t>
            </w:r>
          </w:p>
        </w:tc>
        <w:tc>
          <w:tcPr>
            <w:tcW w:w="6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999</w:t>
            </w:r>
          </w:p>
        </w:tc>
      </w:tr>
      <w:tr>
        <w:trPr>
          <w:trHeight w:val="33"/>
        </w:trPr>
        <w:tc>
          <w:tcPr>
            <w:tcW w:w="6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were no impairment losses related to LIHTC investments during the nine months ended September 30, 2019 and 2018. During the first quarter of 2018, the Company recorded a $2.0 million adjustment to increase its LIHTC investments. This adjustment resulted in a decrease to the provision for income tax.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Offsetting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 (“Swap Agreements”)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highly-rated third-party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or marketable securities, is posted by the party (i.e., the Company or the financial institution counterparty) with net liability positions in accordance with contract thresholds. The Company had net liability positions with its financial institution counterparties totaling $8.2 million and $0.3 million as of September 30, 2019 and December 31, 2018, respectively. See Note 12 </w:t>
      </w:r>
      <w:r>
        <w:rPr>
          <w:rFonts w:ascii="Arial" w:cs="Arial" w:eastAsia="Arial" w:hAnsi="Arial"/>
          <w:sz w:val="17"/>
          <w:szCs w:val="17"/>
          <w:i w:val="1"/>
          <w:iCs w:val="1"/>
          <w:color w:val="auto"/>
        </w:rPr>
        <w:t>Derivative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for more information.</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Parties to a centrally cleared over-the-counter derivative exchange daily payments that reflect the daily change in value of the derivative. Effective 2017, these payments, commonly referred to as variation margin, are recorded as settlements of the derivatives’ mark-to-market exposure rather than collateral against the exposures. This rule change effectively results in any centrally cleared derivative having a fair value that approximates zero on a daily basis, and therefore, these swap agreements were not included in the offsetting table at the end of this section.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 (“Repurchase Agreements”)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September 30, 2019 and December 31, 2018, disaggregated by the class of collateral pledged.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gridSpan w:val="8"/>
          </w:tcPr>
          <w:p>
            <w:pPr>
              <w:jc w:val="right"/>
              <w:spacing w:after="0"/>
              <w:rPr>
                <w:sz w:val="20"/>
                <w:szCs w:val="20"/>
                <w:color w:val="auto"/>
              </w:rPr>
            </w:pPr>
            <w:r>
              <w:rPr>
                <w:rFonts w:ascii="Arial" w:cs="Arial" w:eastAsia="Arial" w:hAnsi="Arial"/>
                <w:sz w:val="16"/>
                <w:szCs w:val="16"/>
                <w:b w:val="1"/>
                <w:bCs w:val="1"/>
                <w:color w:val="auto"/>
              </w:rPr>
              <w:t>Remaining Contractual Maturity of Repurchase Agreements</w:t>
            </w:r>
          </w:p>
        </w:tc>
        <w:tc>
          <w:tcPr>
            <w:tcW w:w="62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b w:val="1"/>
                <w:bCs w:val="1"/>
                <w:color w:val="auto"/>
              </w:rPr>
              <w:t>Up to</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b w:val="1"/>
                <w:bCs w:val="1"/>
                <w:color w:val="auto"/>
              </w:rPr>
              <w:t>After</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7"/>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90 days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w w:val="88"/>
              </w:rPr>
              <w:t>91-365 days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1-3 Years</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 Years</w:t>
            </w: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Total</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2019</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198,303</w:t>
            </w:r>
          </w:p>
        </w:tc>
        <w:tc>
          <w:tcPr>
            <w:tcW w:w="3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116,587</w:t>
            </w:r>
          </w:p>
        </w:tc>
        <w:tc>
          <w:tcPr>
            <w:tcW w:w="4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2"/>
              </w:rPr>
              <w:t>314,890</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490</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2,300</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2,790</w:t>
            </w: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1,509</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26,697</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59,524</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87,730</w:t>
            </w:r>
          </w:p>
        </w:tc>
      </w:tr>
      <w:tr>
        <w:trPr>
          <w:trHeight w:val="27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198,889</w:t>
            </w:r>
          </w:p>
        </w:tc>
        <w:tc>
          <w:tcPr>
            <w:tcW w:w="4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2"/>
              </w:rPr>
              <w:t>198,889</w:t>
            </w:r>
          </w:p>
        </w:tc>
      </w:tr>
      <w:tr>
        <w:trPr>
          <w:trHeight w:val="304"/>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1,999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2,300</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225,000</w:t>
            </w:r>
          </w:p>
        </w:tc>
        <w:tc>
          <w:tcPr>
            <w:tcW w:w="3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375,000</w:t>
            </w:r>
          </w:p>
        </w:tc>
        <w:tc>
          <w:tcPr>
            <w:tcW w:w="4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2"/>
              </w:rPr>
              <w:t>604,299</w:t>
            </w:r>
          </w:p>
        </w:tc>
      </w:tr>
      <w:tr>
        <w:trPr>
          <w:trHeight w:val="160"/>
        </w:trPr>
        <w:tc>
          <w:tcPr>
            <w:tcW w:w="5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198,442</w:t>
            </w:r>
          </w:p>
        </w:tc>
        <w:tc>
          <w:tcPr>
            <w:tcW w:w="3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117,021</w:t>
            </w:r>
          </w:p>
        </w:tc>
        <w:tc>
          <w:tcPr>
            <w:tcW w:w="48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2"/>
              </w:rPr>
              <w:t>315,463</w:t>
            </w: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1,906</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1,590</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3,496</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800</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26,558</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70,341</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97,699</w:t>
            </w:r>
          </w:p>
        </w:tc>
      </w:tr>
      <w:tr>
        <w:trPr>
          <w:trHeight w:val="266"/>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87,638</w:t>
            </w:r>
          </w:p>
        </w:tc>
        <w:tc>
          <w:tcPr>
            <w:tcW w:w="4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87,638</w:t>
            </w:r>
          </w:p>
        </w:tc>
      </w:tr>
      <w:tr>
        <w:trPr>
          <w:trHeight w:val="264"/>
        </w:trPr>
        <w:tc>
          <w:tcPr>
            <w:tcW w:w="5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rPr>
              <w:t>2,706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1,590</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225,000</w:t>
            </w: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275,000</w:t>
            </w:r>
          </w:p>
        </w:tc>
        <w:tc>
          <w:tcPr>
            <w:tcW w:w="4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2"/>
              </w:rPr>
              <w:t>504,296</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September 30, 2019 and December 31, 2018. The swap agreements the Company has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(ii)</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(iii) = (i)-(ii)</w:t>
            </w:r>
          </w:p>
        </w:tc>
        <w:tc>
          <w:tcPr>
            <w:tcW w:w="160" w:type="dxa"/>
            <w:vAlign w:val="bottom"/>
          </w:tcPr>
          <w:p>
            <w:pPr>
              <w:spacing w:after="0"/>
              <w:rPr>
                <w:sz w:val="18"/>
                <w:szCs w:val="18"/>
                <w:color w:val="auto"/>
              </w:rPr>
            </w:pPr>
          </w:p>
        </w:tc>
        <w:tc>
          <w:tcPr>
            <w:tcW w:w="1400" w:type="dxa"/>
            <w:vAlign w:val="bottom"/>
          </w:tcPr>
          <w:p>
            <w:pPr>
              <w:jc w:val="center"/>
              <w:ind w:left="1039"/>
              <w:spacing w:after="0"/>
              <w:rPr>
                <w:sz w:val="20"/>
                <w:szCs w:val="20"/>
                <w:color w:val="auto"/>
              </w:rPr>
            </w:pPr>
            <w:r>
              <w:rPr>
                <w:rFonts w:ascii="Arial" w:cs="Arial" w:eastAsia="Arial" w:hAnsi="Arial"/>
                <w:sz w:val="16"/>
                <w:szCs w:val="16"/>
                <w:b w:val="1"/>
                <w:bCs w:val="1"/>
                <w:color w:val="auto"/>
                <w:w w:val="99"/>
              </w:rPr>
              <w:t>(iv)</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(v) = (iii)-(iv)</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3"/>
          </w:tcPr>
          <w:p>
            <w:pPr>
              <w:jc w:val="center"/>
              <w:ind w:right="21"/>
              <w:spacing w:after="0"/>
              <w:rPr>
                <w:sz w:val="20"/>
                <w:szCs w:val="20"/>
                <w:color w:val="auto"/>
              </w:rPr>
            </w:pPr>
            <w:r>
              <w:rPr>
                <w:rFonts w:ascii="Arial" w:cs="Arial" w:eastAsia="Arial" w:hAnsi="Arial"/>
                <w:sz w:val="16"/>
                <w:szCs w:val="16"/>
                <w:b w:val="1"/>
                <w:bCs w:val="1"/>
                <w:color w:val="auto"/>
                <w:w w:val="90"/>
              </w:rPr>
              <w:t>Gross Amounts Not Offset in the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3"/>
          </w:tcPr>
          <w:p>
            <w:pPr>
              <w:jc w:val="center"/>
              <w:ind w:right="41"/>
              <w:spacing w:after="0"/>
              <w:rPr>
                <w:sz w:val="20"/>
                <w:szCs w:val="20"/>
                <w:color w:val="auto"/>
              </w:rPr>
            </w:pPr>
            <w:r>
              <w:rPr>
                <w:rFonts w:ascii="Arial" w:cs="Arial" w:eastAsia="Arial" w:hAnsi="Arial"/>
                <w:sz w:val="16"/>
                <w:szCs w:val="16"/>
                <w:b w:val="1"/>
                <w:bCs w:val="1"/>
                <w:color w:val="auto"/>
                <w:w w:val="90"/>
              </w:rPr>
              <w:t>Statements of Condition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Gross Amounts</w:t>
            </w: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Net Amounts</w:t>
            </w:r>
          </w:p>
        </w:tc>
        <w:tc>
          <w:tcPr>
            <w:tcW w:w="16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7"/>
                <w:szCs w:val="17"/>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93"/>
              </w:rPr>
              <w:t>Fair Value of</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Recognized in the</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Offset in the</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7"/>
                <w:szCs w:val="7"/>
                <w:color w:val="auto"/>
              </w:rPr>
            </w:pPr>
          </w:p>
        </w:tc>
        <w:tc>
          <w:tcPr>
            <w:tcW w:w="14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6"/>
              </w:rPr>
              <w:t>per Master</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95"/>
              </w:rPr>
              <w:t>Collateral</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Statements</w:t>
            </w:r>
          </w:p>
        </w:tc>
        <w:tc>
          <w:tcPr>
            <w:tcW w:w="160" w:type="dxa"/>
            <w:vAlign w:val="bottom"/>
          </w:tcPr>
          <w:p>
            <w:pPr>
              <w:spacing w:after="0"/>
              <w:rPr>
                <w:sz w:val="7"/>
                <w:szCs w:val="7"/>
                <w:color w:val="auto"/>
              </w:rPr>
            </w:pPr>
          </w:p>
        </w:tc>
        <w:tc>
          <w:tcPr>
            <w:tcW w:w="14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6"/>
              </w:rPr>
              <w:t>Pledged/Received</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7"/>
                <w:szCs w:val="7"/>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of Condition</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of Condition</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of Condition</w:t>
            </w:r>
          </w:p>
        </w:tc>
        <w:tc>
          <w:tcPr>
            <w:tcW w:w="160" w:type="dxa"/>
            <w:vAlign w:val="bottom"/>
          </w:tcPr>
          <w:p>
            <w:pPr>
              <w:spacing w:after="0"/>
              <w:rPr>
                <w:sz w:val="7"/>
                <w:szCs w:val="7"/>
                <w:color w:val="auto"/>
              </w:rPr>
            </w:pPr>
          </w:p>
        </w:tc>
        <w:tc>
          <w:tcPr>
            <w:tcW w:w="14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2"/>
              </w:rPr>
              <w:t>Arrangements</w:t>
            </w: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156"/>
        </w:trPr>
        <w:tc>
          <w:tcPr>
            <w:tcW w:w="28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97"/>
              </w:rPr>
              <w:t>1</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2019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92</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8,258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8,258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92</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6,113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2,053</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604,299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604,299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604,299</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7,572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7,572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1,490</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6,082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1,490</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504,296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504,296</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80" w:right="100" w:hanging="80"/>
        <w:spacing w:after="0" w:line="257" w:lineRule="auto"/>
        <w:rPr>
          <w:sz w:val="20"/>
          <w:szCs w:val="20"/>
          <w:color w:val="auto"/>
        </w:rPr>
      </w:pPr>
      <w:r>
        <w:rPr>
          <w:rFonts w:ascii="Arial" w:cs="Arial" w:eastAsia="Arial" w:hAnsi="Arial"/>
          <w:sz w:val="14"/>
          <w:szCs w:val="14"/>
          <w:color w:val="auto"/>
        </w:rPr>
        <w:t>1 The application of collateral cannot reduce the net amount below zero. Therefore, excess collateral is not reflected in this table. For repurchase agreements with private institutions, the fair value of investment securities pledged was $644.3 million and $526.7 million as of September 30, 2019 and December 31, 2018, respectively. For repurchase agreements with government entities, the fair value of investment securities pledged was $5.8 million and $6.8 million as of September 30, 2019 and December 31, 2018, respectively.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30"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other comprehensive income (loss) for the three and nine months ended September 30, 2019 and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98"/>
              </w:rPr>
              <w:t>Before Tax</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Tax Effect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Net of Tax</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2019</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7,314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1,938</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5,376</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7,353</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1,948</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5,405</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406</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108</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298</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334</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89</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245</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7,687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2,037</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5,650</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(8,086)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(5,949)</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476</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126</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(7,610)</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(2,011)</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(5,599)</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437</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115</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322</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295</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79</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(5,383)</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2019</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38,077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10,090</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27,987</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(Gain) Loss on Sale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70"/>
        </w:trPr>
        <w:tc>
          <w:tcPr>
            <w:tcW w:w="73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804</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212</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592</w:t>
            </w:r>
          </w:p>
        </w:tc>
      </w:tr>
      <w:tr>
        <w:trPr>
          <w:trHeight w:val="244"/>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38,818</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10,285</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28,533</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1,218</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w:t>
            </w: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1,002</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266</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w:t>
            </w:r>
          </w:p>
        </w:tc>
      </w:tr>
      <w:tr>
        <w:trPr>
          <w:trHeight w:val="231"/>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39,820</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10,551</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29,269</w:t>
            </w:r>
          </w:p>
        </w:tc>
      </w:tr>
      <w:tr>
        <w:trPr>
          <w:trHeight w:val="73"/>
        </w:trPr>
        <w:tc>
          <w:tcPr>
            <w:tcW w:w="73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143"/>
        </w:trPr>
        <w:tc>
          <w:tcPr>
            <w:tcW w:w="7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2018</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(25,765)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(6,812)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(18,953)</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73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70"/>
        </w:trPr>
        <w:tc>
          <w:tcPr>
            <w:tcW w:w="73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1,712</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453</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1,259</w:t>
            </w:r>
          </w:p>
        </w:tc>
      </w:tr>
      <w:tr>
        <w:trPr>
          <w:trHeight w:val="244"/>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(24,053)</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(6,359)</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(17,694)</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1,309</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w:t>
            </w: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883</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235</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w:t>
            </w:r>
          </w:p>
        </w:tc>
      </w:tr>
      <w:tr>
        <w:trPr>
          <w:trHeight w:val="231"/>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(23,170)</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(6,124)</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(17,046)</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80" w:right="400" w:hanging="72"/>
        <w:spacing w:after="0" w:line="273" w:lineRule="auto"/>
        <w:tabs>
          <w:tab w:leader="none" w:pos="80"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amount relates to the amortization/accretion of unrealized net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ectPr>
          <w:pgSz w:w="11900" w:h="16838" w:orient="portrait"/>
          <w:cols w:equalWidth="0" w:num="1">
            <w:col w:w="11420"/>
          </w:cols>
          <w:pgMar w:left="240" w:top="130" w:right="239"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 for the three and nine months ended September 30, 2019 and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r>
      <w:tr>
        <w:trPr>
          <w:trHeight w:val="203"/>
        </w:trPr>
        <w:tc>
          <w:tcPr>
            <w:tcW w:w="5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r>
      <w:tr>
        <w:trPr>
          <w:trHeight w:val="203"/>
        </w:trPr>
        <w:tc>
          <w:tcPr>
            <w:tcW w:w="5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16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Securities-Held-to-</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Defined Benefit</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Comprehensive</w:t>
            </w:r>
          </w:p>
        </w:tc>
      </w:tr>
      <w:tr>
        <w:trPr>
          <w:trHeight w:val="23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Available-for-Sale</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Maturity</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Plans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 (Loss)</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2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8,859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(35,519)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(27,424)</w:t>
            </w: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5,376</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5,376</w:t>
            </w:r>
          </w:p>
        </w:tc>
      </w:tr>
      <w:tr>
        <w:trPr>
          <w:trHeight w:val="220"/>
        </w:trPr>
        <w:tc>
          <w:tcPr>
            <w:tcW w:w="52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52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4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245</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274</w:t>
            </w:r>
          </w:p>
        </w:tc>
      </w:tr>
      <w:tr>
        <w:trPr>
          <w:trHeight w:val="33"/>
        </w:trPr>
        <w:tc>
          <w:tcPr>
            <w:tcW w:w="5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5,376</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245</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5,650</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2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14,235</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(35,274)</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(21,774)</w:t>
            </w:r>
          </w:p>
        </w:tc>
      </w:tr>
      <w:tr>
        <w:trPr>
          <w:trHeight w:val="73"/>
        </w:trPr>
        <w:tc>
          <w:tcPr>
            <w:tcW w:w="52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1"/>
        </w:trPr>
        <w:tc>
          <w:tcPr>
            <w:tcW w:w="5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(15,331)</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(33,252)</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(53,855)</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4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(5,949)</w:t>
            </w:r>
          </w:p>
        </w:tc>
        <w:tc>
          <w:tcPr>
            <w:tcW w:w="4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(5,949)</w:t>
            </w: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5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Comprehensive Income (Loss)</w:t>
            </w: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350</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Comprehensive Income (Loss)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(5,949)</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350</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216</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(5,383)</w:t>
            </w:r>
          </w:p>
        </w:tc>
      </w:tr>
      <w:tr>
        <w:trPr>
          <w:trHeight w:val="33"/>
        </w:trPr>
        <w:tc>
          <w:tcPr>
            <w:tcW w:w="5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0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(21,280)</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(33,036)</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(59,238)</w:t>
            </w:r>
          </w:p>
        </w:tc>
      </w:tr>
      <w:tr>
        <w:trPr>
          <w:trHeight w:val="251"/>
        </w:trPr>
        <w:tc>
          <w:tcPr>
            <w:tcW w:w="526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2019</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(10,447)</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(36,010)</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(51,043)</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4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27,987</w:t>
            </w:r>
          </w:p>
        </w:tc>
        <w:tc>
          <w:tcPr>
            <w:tcW w:w="4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27,987</w:t>
            </w: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Transfers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(3,259)</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3,259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52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52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4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592</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736</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1,282</w:t>
            </w:r>
          </w:p>
        </w:tc>
      </w:tr>
      <w:tr>
        <w:trPr>
          <w:trHeight w:val="33"/>
        </w:trPr>
        <w:tc>
          <w:tcPr>
            <w:tcW w:w="5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24,682</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3,851</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736</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29,269</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2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14,235</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(35,274)</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(21,774)</w:t>
            </w:r>
          </w:p>
        </w:tc>
      </w:tr>
      <w:tr>
        <w:trPr>
          <w:trHeight w:val="73"/>
        </w:trPr>
        <w:tc>
          <w:tcPr>
            <w:tcW w:w="52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1"/>
        </w:trPr>
        <w:tc>
          <w:tcPr>
            <w:tcW w:w="5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2018</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(1,915)</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(27,715)</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(34,715)</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4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(18,953)</w:t>
            </w:r>
          </w:p>
        </w:tc>
        <w:tc>
          <w:tcPr>
            <w:tcW w:w="4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(18,953)</w:t>
            </w: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5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Comprehensive Income (Loss)</w:t>
            </w: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1,259</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648</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1,907</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Comprehensive Income (Loss)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(18,953)</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1,259</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648</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(17,046)</w:t>
            </w: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the Income Tax Effects of the</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Cuts and Jobs Act from AOCI</w:t>
            </w: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(5,969)</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(7,477)</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2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(21,280)</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(4,922)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(33,036)</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(59,238)</w:t>
            </w:r>
          </w:p>
        </w:tc>
      </w:tr>
      <w:tr>
        <w:trPr>
          <w:trHeight w:val="33"/>
        </w:trPr>
        <w:tc>
          <w:tcPr>
            <w:tcW w:w="5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amounts reclassified out of each component of accumulated other comprehensive income (loss) for the three and nine months ended September 30, 2019 and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20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80" w:type="dxa"/>
            <w:vAlign w:val="bottom"/>
          </w:tcPr>
          <w:p>
            <w:pPr>
              <w:ind w:left="40"/>
              <w:spacing w:after="0"/>
              <w:rPr>
                <w:sz w:val="20"/>
                <w:szCs w:val="20"/>
                <w:color w:val="auto"/>
              </w:rPr>
            </w:pPr>
            <w:r>
              <w:rPr>
                <w:rFonts w:ascii="Arial" w:cs="Arial" w:eastAsia="Arial" w:hAnsi="Arial"/>
                <w:sz w:val="16"/>
                <w:szCs w:val="16"/>
                <w:b w:val="1"/>
                <w:bCs w:val="1"/>
                <w:color w:val="auto"/>
                <w:w w:val="92"/>
              </w:rPr>
              <w:t>Statement Where Net Income Is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Presented</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Three Months Ended September 30,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16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2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(334)</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(295)</w:t>
            </w:r>
          </w:p>
        </w:tc>
        <w:tc>
          <w:tcPr>
            <w:tcW w:w="2280" w:type="dxa"/>
            <w:vAlign w:val="bottom"/>
          </w:tcPr>
          <w:p>
            <w:pPr>
              <w:ind w:left="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20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80" w:type="dxa"/>
            <w:vAlign w:val="bottom"/>
          </w:tcPr>
          <w:p>
            <w:pPr>
              <w:ind w:left="40"/>
              <w:spacing w:after="0"/>
              <w:rPr>
                <w:sz w:val="20"/>
                <w:szCs w:val="20"/>
                <w:color w:val="auto"/>
              </w:rPr>
            </w:pPr>
            <w:r>
              <w:rPr>
                <w:rFonts w:ascii="Arial" w:cs="Arial" w:eastAsia="Arial" w:hAnsi="Arial"/>
                <w:sz w:val="16"/>
                <w:szCs w:val="16"/>
                <w:b w:val="1"/>
                <w:bCs w:val="1"/>
                <w:color w:val="auto"/>
                <w:w w:val="92"/>
              </w:rPr>
              <w:t>Statement Where Net Income Is</w:t>
            </w:r>
          </w:p>
        </w:tc>
        <w:tc>
          <w:tcPr>
            <w:tcW w:w="0" w:type="dxa"/>
            <w:vAlign w:val="bottom"/>
          </w:tcPr>
          <w:p>
            <w:pPr>
              <w:spacing w:after="0"/>
              <w:rPr>
                <w:sz w:val="1"/>
                <w:szCs w:val="1"/>
                <w:color w:val="auto"/>
              </w:rPr>
            </w:pPr>
          </w:p>
        </w:tc>
      </w:tr>
      <w:tr>
        <w:trPr>
          <w:trHeight w:val="24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Presented</w:t>
            </w:r>
          </w:p>
        </w:tc>
        <w:tc>
          <w:tcPr>
            <w:tcW w:w="0" w:type="dxa"/>
            <w:vAlign w:val="bottom"/>
          </w:tcPr>
          <w:p>
            <w:pPr>
              <w:spacing w:after="0"/>
              <w:rPr>
                <w:sz w:val="1"/>
                <w:szCs w:val="1"/>
                <w:color w:val="auto"/>
              </w:rPr>
            </w:pPr>
          </w:p>
        </w:tc>
      </w:tr>
      <w:tr>
        <w:trPr>
          <w:trHeight w:val="232"/>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(1,712)</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1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453</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(1,259)</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Investment Securities Gains</w:t>
            </w:r>
          </w:p>
        </w:tc>
        <w:tc>
          <w:tcPr>
            <w:tcW w:w="0" w:type="dxa"/>
            <w:vAlign w:val="bottom"/>
          </w:tcPr>
          <w:p>
            <w:pPr>
              <w:spacing w:after="0"/>
              <w:rPr>
                <w:sz w:val="1"/>
                <w:szCs w:val="1"/>
                <w:color w:val="auto"/>
              </w:rPr>
            </w:pPr>
          </w:p>
        </w:tc>
      </w:tr>
      <w:tr>
        <w:trPr>
          <w:trHeight w:val="206"/>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Sale of Investment Securities Available-for-Sale</w:t>
            </w:r>
          </w:p>
        </w:tc>
        <w:tc>
          <w:tcPr>
            <w:tcW w:w="140" w:type="dxa"/>
            <w:vAlign w:val="bottom"/>
          </w:tcPr>
          <w:p>
            <w:pPr>
              <w:spacing w:after="0"/>
              <w:rPr>
                <w:sz w:val="17"/>
                <w:szCs w:val="17"/>
                <w:color w:val="auto"/>
              </w:rPr>
            </w:pPr>
          </w:p>
        </w:tc>
        <w:tc>
          <w:tcPr>
            <w:tcW w:w="1680" w:type="dxa"/>
            <w:vAlign w:val="bottom"/>
            <w:vMerge w:val="restart"/>
          </w:tcPr>
          <w:p>
            <w:pPr>
              <w:jc w:val="right"/>
              <w:ind w:right="19"/>
              <w:spacing w:after="0"/>
              <w:rPr>
                <w:sz w:val="20"/>
                <w:szCs w:val="20"/>
                <w:color w:val="auto"/>
              </w:rPr>
            </w:pPr>
            <w:r>
              <w:rPr>
                <w:rFonts w:ascii="Arial" w:cs="Arial" w:eastAsia="Arial" w:hAnsi="Arial"/>
                <w:sz w:val="16"/>
                <w:szCs w:val="16"/>
                <w:color w:val="auto"/>
              </w:rPr>
              <w:t>63</w:t>
            </w:r>
          </w:p>
        </w:tc>
        <w:tc>
          <w:tcPr>
            <w:tcW w:w="1160" w:type="dxa"/>
            <w:vAlign w:val="bottom"/>
          </w:tcPr>
          <w:p>
            <w:pPr>
              <w:spacing w:after="0"/>
              <w:rPr>
                <w:sz w:val="17"/>
                <w:szCs w:val="17"/>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280" w:type="dxa"/>
            <w:vAlign w:val="bottom"/>
          </w:tcPr>
          <w:p>
            <w:pPr>
              <w:ind w:left="20"/>
              <w:spacing w:after="0"/>
              <w:rPr>
                <w:sz w:val="20"/>
                <w:szCs w:val="20"/>
                <w:color w:val="auto"/>
              </w:rPr>
            </w:pPr>
            <w:r>
              <w:rPr>
                <w:rFonts w:ascii="Arial" w:cs="Arial" w:eastAsia="Arial" w:hAnsi="Arial"/>
                <w:sz w:val="16"/>
                <w:szCs w:val="16"/>
                <w:color w:val="auto"/>
              </w:rPr>
              <w:t>(Losses), Net</w:t>
            </w:r>
          </w:p>
        </w:tc>
        <w:tc>
          <w:tcPr>
            <w:tcW w:w="0" w:type="dxa"/>
            <w:vAlign w:val="bottom"/>
          </w:tcPr>
          <w:p>
            <w:pPr>
              <w:spacing w:after="0"/>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426</w:t>
            </w:r>
          </w:p>
        </w:tc>
        <w:tc>
          <w:tcPr>
            <w:tcW w:w="2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w:t>
            </w:r>
          </w:p>
        </w:tc>
        <w:tc>
          <w:tcPr>
            <w:tcW w:w="1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(1,309)</w:t>
            </w:r>
          </w:p>
        </w:tc>
        <w:tc>
          <w:tcPr>
            <w:tcW w:w="22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(1,907)</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9"/>
          <w:szCs w:val="9"/>
          <w:color w:val="auto"/>
        </w:rPr>
      </w:pPr>
      <w:r>
        <w:rPr>
          <w:rFonts w:ascii="Arial" w:cs="Arial" w:eastAsia="Arial" w:hAnsi="Arial"/>
          <w:sz w:val="14"/>
          <w:szCs w:val="14"/>
          <w:color w:val="auto"/>
        </w:rPr>
        <w:t>Amounts in parentheses indicate reductions to net income.</w:t>
      </w:r>
    </w:p>
    <w:p>
      <w:pPr>
        <w:spacing w:after="0" w:line="13" w:lineRule="exact"/>
        <w:rPr>
          <w:sz w:val="20"/>
          <w:szCs w:val="20"/>
          <w:color w:val="auto"/>
        </w:rPr>
      </w:pPr>
    </w:p>
    <w:p>
      <w:pPr>
        <w:ind w:left="180" w:right="40" w:hanging="172"/>
        <w:spacing w:after="0" w:line="255" w:lineRule="auto"/>
        <w:tabs>
          <w:tab w:leader="none" w:pos="180" w:val="left"/>
        </w:tabs>
        <w:numPr>
          <w:ilvl w:val="0"/>
          <w:numId w:val="15"/>
        </w:numPr>
        <w:rPr>
          <w:rFonts w:ascii="Arial" w:cs="Arial" w:eastAsia="Arial" w:hAnsi="Arial"/>
          <w:sz w:val="9"/>
          <w:szCs w:val="9"/>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Other Noninterest Expense on the consolidated statements of income (see Note 11 </w:t>
      </w:r>
      <w:r>
        <w:rPr>
          <w:rFonts w:ascii="Arial" w:cs="Arial" w:eastAsia="Arial" w:hAnsi="Arial"/>
          <w:sz w:val="14"/>
          <w:szCs w:val="14"/>
          <w:i w:val="1"/>
          <w:iCs w:val="1"/>
          <w:color w:val="auto"/>
        </w:rPr>
        <w:t>Pension Plans and Postretirement Benefit Plan</w:t>
      </w:r>
      <w:r>
        <w:rPr>
          <w:rFonts w:ascii="Arial" w:cs="Arial" w:eastAsia="Arial" w:hAnsi="Arial"/>
          <w:sz w:val="14"/>
          <w:szCs w:val="14"/>
          <w:color w:val="auto"/>
        </w:rPr>
        <w:t xml:space="preserve"> for additional details).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adjustments to net income, the numerator, for purposes of computing earnings per share. The following is a reconciliation of the weighted average number of common shares outstanding for computing diluted earnings per share and antidilutive stock options and restricted stock outstanding for the three and nine months ended September 30, 2019 and 2018:</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3100" w:type="dxa"/>
            <w:vAlign w:val="bottom"/>
            <w:gridSpan w:val="3"/>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294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3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1980" w:type="dxa"/>
            <w:vAlign w:val="bottom"/>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0"/>
                <w:szCs w:val="20"/>
                <w:color w:val="auto"/>
              </w:rPr>
            </w:pPr>
          </w:p>
        </w:tc>
        <w:tc>
          <w:tcPr>
            <w:tcW w:w="20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2019</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33"/>
        </w:trPr>
        <w:tc>
          <w:tcPr>
            <w:tcW w:w="5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Earnings Per Share</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40,190,508</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41,620,776</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40,554,036</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41,846,080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Dilutive Effect of Equity Based Awards</w:t>
            </w:r>
          </w:p>
        </w:tc>
        <w:tc>
          <w:tcPr>
            <w:tcW w:w="1980" w:type="dxa"/>
            <w:vAlign w:val="bottom"/>
          </w:tcPr>
          <w:p>
            <w:pPr>
              <w:jc w:val="right"/>
              <w:ind w:right="639"/>
              <w:spacing w:after="0"/>
              <w:rPr>
                <w:sz w:val="20"/>
                <w:szCs w:val="20"/>
                <w:color w:val="auto"/>
              </w:rPr>
            </w:pPr>
            <w:r>
              <w:rPr>
                <w:rFonts w:ascii="Arial" w:cs="Arial" w:eastAsia="Arial" w:hAnsi="Arial"/>
                <w:sz w:val="16"/>
                <w:szCs w:val="16"/>
                <w:color w:val="auto"/>
              </w:rPr>
              <w:t>260,234</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278,625</w:t>
            </w:r>
          </w:p>
        </w:tc>
        <w:tc>
          <w:tcPr>
            <w:tcW w:w="220" w:type="dxa"/>
            <w:vAlign w:val="bottom"/>
          </w:tcPr>
          <w:p>
            <w:pPr>
              <w:spacing w:after="0"/>
              <w:rPr>
                <w:sz w:val="20"/>
                <w:szCs w:val="20"/>
                <w:color w:val="auto"/>
              </w:rPr>
            </w:pPr>
          </w:p>
        </w:tc>
        <w:tc>
          <w:tcPr>
            <w:tcW w:w="2040" w:type="dxa"/>
            <w:vAlign w:val="bottom"/>
          </w:tcPr>
          <w:p>
            <w:pPr>
              <w:jc w:val="right"/>
              <w:ind w:right="699"/>
              <w:spacing w:after="0"/>
              <w:rPr>
                <w:sz w:val="20"/>
                <w:szCs w:val="20"/>
                <w:color w:val="auto"/>
              </w:rPr>
            </w:pPr>
            <w:r>
              <w:rPr>
                <w:rFonts w:ascii="Arial" w:cs="Arial" w:eastAsia="Arial" w:hAnsi="Arial"/>
                <w:sz w:val="16"/>
                <w:szCs w:val="16"/>
                <w:color w:val="auto"/>
              </w:rPr>
              <w:t>252,259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287,696</w:t>
            </w:r>
          </w:p>
        </w:tc>
      </w:tr>
      <w:tr>
        <w:trPr>
          <w:trHeight w:val="33"/>
        </w:trPr>
        <w:tc>
          <w:tcPr>
            <w:tcW w:w="5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 for Diluted Earnings Per Share</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40,450,742</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41,899,401</w:t>
            </w:r>
          </w:p>
        </w:tc>
        <w:tc>
          <w:tcPr>
            <w:tcW w:w="2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40,806,295</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42,133,776</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2,399</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Company’s business segments are defined as Retail Banking, Commercial Banking, Investment Services and Private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provision for credit losses reflects the actual net charge-offs of the business segments. The amount of the consolidated provision for loan and lease losses is based on the methodology that we use to estimate the Company’s consolidated Allowance. The residual provision for credit losses to arrive at the consolidated provision for credit losses is included in Treasury and Other.</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provision for income taxes is allocated to business segments using a 26% effective income tax rate. However, the provision for income taxes for the Company’s Leasing business unit (included in the Commercial Banking segment) and Auto Leasing portfolio and Pacific Century Life Insurance business unit (both included in the Retail Banking segment) are assigned their actual effective income tax rates due to the unique relationship that income taxes have with their products. The residual income tax expense or benefit to arrive at the consolidated effective income tax rate is included in Treasury and Other.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Retail Banking offers a broad range of financial products and services to consumers and small businesses. Loan and lease products include residential mortgage loans, home equity lines of credit, automobile loans and leases, personal lines of credit, installment loans, and small business loans and leases. Deposit products include checking, savings, and time deposit accounts. Retail Banking also offers co-branded credit cards and some types of consumer insurance products. Products and services from Retail Banking are delivered to customers through 67 branch locations and 379 ATMs throughout Hawaii and the Pacific Islands, e-Bankoh (on-line banking service), a 24-hour customer service center, and a mobile banking service.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Investment Services and Private Banking includes private banking and international client banking services, trust services, investment management, and institutional investment advisory services. A significant portion of this segment’s income is derived from fees, which are generally based on the market values of assets under management. The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Institutional client services offer investment advice to corporations, government entities, and foundations. This segment also provides a full service brokerage offering equities, mutual funds, life insurance, and annuity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30" w:right="29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Selected business segment financial information as of and for the three and nine months ended September 30, 2019 and 2018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Services and</w:t>
            </w:r>
          </w:p>
        </w:tc>
        <w:tc>
          <w:tcPr>
            <w:tcW w:w="38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28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Consolidated</w:t>
            </w:r>
          </w:p>
        </w:tc>
      </w:tr>
      <w:tr>
        <w:trPr>
          <w:trHeight w:val="237"/>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Retail Banking</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Banking</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Private Banking</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Other</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2019</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66,648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46,791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9,641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1,816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124,896</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3,084</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1,264</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4,250</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63,564</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46,921</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9,609</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552</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120,646</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22,964</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8,739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13,663</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1,141</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46,507</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(59,358)</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(21,330)</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(15,840)</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(3,821)</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(100,349)</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27,170</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34,330</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7,432</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(2,128)</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66,804</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(6,547)</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(8,560)</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(1,959)</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2,314</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(14,752)</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20,623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25,770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5,473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52,052</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September 30, 2019</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6,668,902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4,145,717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324,388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6,533,133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17,672,140</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66,927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46,240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10,574</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(814)</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122,927</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3,229</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502</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3,800</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63,698</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46,171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10,574</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(1,316)</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119,127</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19,814</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6,241</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13,526</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1,901</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41,482</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(51,806)</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(20,242)</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(15,657)</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(2,833)</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(90,538)</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31,706</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32,170</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8,443</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(2,248)</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70,071</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(7,943)</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(7,218)</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(2,226)</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4,249</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(13,138)</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23,763</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24,952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6,217</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2,001</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56,933</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as of September 30, 2018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6,246,126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3,873,454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340,793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6,531,361</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16,991,734</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3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2019</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200,019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139,784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29,685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4,342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373,830</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7,852</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1,141</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2,243</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11,250</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192,167</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138,643</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29,671</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2,099</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362,580</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65,305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22,738</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41,767</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5,826</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135,636</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(163,968)</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(63,545)</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(49,200)</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(9,418)</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(286,131)</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93,504</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97,836</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22,238</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(1,493)</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212,085</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(22,883)</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(22,507)</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(5,862)</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6,937</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(44,315)</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70,621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75,329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16,376</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5,444</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167,770</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September 30, 2019</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6,668,902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4,145,717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324,388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6,533,133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17,672,140</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2018</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197,007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133,148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30,987</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1,237</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362,379</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10,417</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(276)</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1,344</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11,425</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186,590</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133,424</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31,047</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350,954</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58,665</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17,395</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41,941</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8,814</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126,815</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(158,344)</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(60,432)</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(48,264)</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(8,673)</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(275,713)</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86,911</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90,387</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24,724</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34</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202,056</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(21,707)</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(20,782)</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(6,518)</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12,642</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(36,365)</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65,204</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69,605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18,206</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12,676</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165,691</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as of September 30, 2018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6,246,126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3,873,454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340,793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6,531,361</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16,991,734</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Plans and Postretirement Benefit Plan</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three and nine months ended September 30, 2019 and 2018.</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Pension Benefits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Postretirement Benefits</w:t>
            </w:r>
          </w:p>
        </w:tc>
        <w:tc>
          <w:tcPr>
            <w:tcW w:w="54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2019</w:t>
            </w: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118</w:t>
            </w:r>
          </w:p>
        </w:tc>
        <w:tc>
          <w:tcPr>
            <w:tcW w:w="94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114</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1,094</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1,041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258</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235</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Pr>
          <w:p>
            <w:pPr>
              <w:spacing w:after="0"/>
              <w:rPr>
                <w:sz w:val="20"/>
                <w:szCs w:val="20"/>
                <w:color w:val="auto"/>
              </w:rPr>
            </w:pPr>
          </w:p>
        </w:tc>
        <w:tc>
          <w:tcPr>
            <w:tcW w:w="1000" w:type="dxa"/>
            <w:vAlign w:val="bottom"/>
          </w:tcPr>
          <w:p>
            <w:pPr>
              <w:jc w:val="right"/>
              <w:ind w:right="78"/>
              <w:spacing w:after="0"/>
              <w:rPr>
                <w:sz w:val="20"/>
                <w:szCs w:val="20"/>
                <w:color w:val="auto"/>
              </w:rPr>
            </w:pPr>
            <w:r>
              <w:rPr>
                <w:rFonts w:ascii="Arial" w:cs="Arial" w:eastAsia="Arial" w:hAnsi="Arial"/>
                <w:sz w:val="16"/>
                <w:szCs w:val="16"/>
                <w:color w:val="auto"/>
              </w:rPr>
              <w:t>(1,249)</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(72)</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483</w:t>
            </w:r>
          </w:p>
        </w:tc>
        <w:tc>
          <w:tcPr>
            <w:tcW w:w="8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498</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(77)</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328</w:t>
            </w:r>
          </w:p>
        </w:tc>
        <w:tc>
          <w:tcPr>
            <w:tcW w:w="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258</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227</w:t>
            </w:r>
          </w:p>
        </w:tc>
        <w:tc>
          <w:tcPr>
            <w:tcW w:w="94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146</w:t>
            </w:r>
          </w:p>
        </w:tc>
      </w:tr>
      <w:tr>
        <w:trPr>
          <w:trHeight w:val="73"/>
        </w:trPr>
        <w:tc>
          <w:tcPr>
            <w:tcW w:w="52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r>
      <w:tr>
        <w:trPr>
          <w:trHeight w:val="251"/>
        </w:trPr>
        <w:tc>
          <w:tcPr>
            <w:tcW w:w="5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353</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344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3,281</w:t>
            </w:r>
          </w:p>
        </w:tc>
        <w:tc>
          <w:tcPr>
            <w:tcW w:w="80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3,123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773</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706</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(3,747)</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(216)</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1,451</w:t>
            </w:r>
          </w:p>
        </w:tc>
        <w:tc>
          <w:tcPr>
            <w:tcW w:w="80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1,494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(233)</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33"/>
        </w:trPr>
        <w:tc>
          <w:tcPr>
            <w:tcW w:w="5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985</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772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677</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439</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service cost component of net periodic benefit cost are included in salaries and benefits and all other components of net periodic benefit cost are included in other noninterest expense in the consolidated statements of income for the Company’s pension plans and postretirement benefit plan. For the three and nine months ended September 30, 2019, the Company contributed $0.2 million and $0.4 million, respectively, to the pension plans and $0.5 million and $1.1 million, respectively, to the postretirement benefit plan. The Company expects to contribute a total of $0.5 million to the pension plans and $1.5 million to the postretirement benefit plan for the year ending December 31,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notional amount and fair value of the Company’s derivative financial instruments as of September 30, 2019 and December 31, 2018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September 30, 2019</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 2018</w:t>
            </w:r>
          </w:p>
        </w:tc>
        <w:tc>
          <w:tcPr>
            <w:tcW w:w="94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8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Notional Amount</w:t>
            </w: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182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Notional Amount</w:t>
            </w: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7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110,702</w:t>
            </w:r>
          </w:p>
        </w:tc>
        <w:tc>
          <w:tcPr>
            <w:tcW w:w="6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33,133</w:t>
            </w:r>
          </w:p>
        </w:tc>
        <w:tc>
          <w:tcPr>
            <w:tcW w:w="6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760" w:type="dxa"/>
            <w:vAlign w:val="bottom"/>
          </w:tcPr>
          <w:p>
            <w:pPr>
              <w:spacing w:after="0"/>
              <w:rPr>
                <w:sz w:val="20"/>
                <w:szCs w:val="20"/>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130,815</w:t>
            </w:r>
          </w:p>
        </w:tc>
        <w:tc>
          <w:tcPr>
            <w:tcW w:w="6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34,102</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33"/>
        </w:trPr>
        <w:tc>
          <w:tcPr>
            <w:tcW w:w="4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6"/>
                <w:szCs w:val="16"/>
                <w:color w:val="auto"/>
              </w:rPr>
              <w:t>Receive Fixed/Pay Variable Swaps</w:t>
            </w:r>
          </w:p>
        </w:tc>
        <w:tc>
          <w:tcPr>
            <w:tcW w:w="760" w:type="dxa"/>
            <w:vAlign w:val="bottom"/>
          </w:tcPr>
          <w:p>
            <w:pPr>
              <w:spacing w:after="0"/>
              <w:rPr>
                <w:sz w:val="20"/>
                <w:szCs w:val="20"/>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763,316</w:t>
            </w:r>
          </w:p>
        </w:tc>
        <w:tc>
          <w:tcPr>
            <w:tcW w:w="6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37,289</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505,034</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(2,537)</w:t>
            </w:r>
          </w:p>
        </w:tc>
      </w:tr>
      <w:tr>
        <w:trPr>
          <w:trHeight w:val="33"/>
        </w:trPr>
        <w:tc>
          <w:tcPr>
            <w:tcW w:w="4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 Fixed/Receive Variable Swaps</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763,316</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(8,166)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505,034</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6,082</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760" w:type="dxa"/>
            <w:vAlign w:val="bottom"/>
          </w:tcPr>
          <w:p>
            <w:pPr>
              <w:spacing w:after="0"/>
              <w:rPr>
                <w:sz w:val="20"/>
                <w:szCs w:val="20"/>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72,683</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55,663</w:t>
            </w:r>
          </w:p>
        </w:tc>
        <w:tc>
          <w:tcPr>
            <w:tcW w:w="6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793</w:t>
            </w:r>
          </w:p>
        </w:tc>
      </w:tr>
      <w:tr>
        <w:trPr>
          <w:trHeight w:val="33"/>
        </w:trPr>
        <w:tc>
          <w:tcPr>
            <w:tcW w:w="4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7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104,816</w:t>
            </w: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80,746</w:t>
            </w: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September 30, 2019 and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40" w:type="dxa"/>
            <w:vAlign w:val="bottom"/>
          </w:tcPr>
          <w:p>
            <w:pPr>
              <w:spacing w:after="0"/>
              <w:rPr>
                <w:sz w:val="18"/>
                <w:szCs w:val="18"/>
                <w:color w:val="auto"/>
              </w:rPr>
            </w:pPr>
          </w:p>
        </w:tc>
        <w:tc>
          <w:tcPr>
            <w:tcW w:w="2760" w:type="dxa"/>
            <w:vAlign w:val="bottom"/>
            <w:gridSpan w:val="4"/>
          </w:tcPr>
          <w:p>
            <w:pPr>
              <w:ind w:left="480"/>
              <w:spacing w:after="0"/>
              <w:rPr>
                <w:sz w:val="20"/>
                <w:szCs w:val="20"/>
                <w:color w:val="auto"/>
              </w:rPr>
            </w:pPr>
            <w:r>
              <w:rPr>
                <w:rFonts w:ascii="Arial" w:cs="Arial" w:eastAsia="Arial" w:hAnsi="Arial"/>
                <w:sz w:val="16"/>
                <w:szCs w:val="16"/>
                <w:b w:val="1"/>
                <w:bCs w:val="1"/>
                <w:color w:val="auto"/>
              </w:rPr>
              <w:t>September 30, 2019</w:t>
            </w:r>
          </w:p>
        </w:tc>
        <w:tc>
          <w:tcPr>
            <w:tcW w:w="220" w:type="dxa"/>
            <w:vAlign w:val="bottom"/>
          </w:tcPr>
          <w:p>
            <w:pPr>
              <w:spacing w:after="0"/>
              <w:rPr>
                <w:sz w:val="18"/>
                <w:szCs w:val="18"/>
                <w:color w:val="auto"/>
              </w:rPr>
            </w:pPr>
          </w:p>
        </w:tc>
        <w:tc>
          <w:tcPr>
            <w:tcW w:w="24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0"/>
        </w:trPr>
        <w:tc>
          <w:tcPr>
            <w:tcW w:w="5720" w:type="dxa"/>
            <w:vAlign w:val="bottom"/>
          </w:tcPr>
          <w:p>
            <w:pPr>
              <w:ind w:left="200"/>
              <w:spacing w:after="0"/>
              <w:rPr>
                <w:sz w:val="20"/>
                <w:szCs w:val="20"/>
                <w:color w:val="auto"/>
              </w:rPr>
            </w:pPr>
            <w:r>
              <w:rPr>
                <w:rFonts w:ascii="Arial" w:cs="Arial" w:eastAsia="Arial" w:hAnsi="Arial"/>
                <w:sz w:val="16"/>
                <w:szCs w:val="16"/>
                <w:b w:val="1"/>
                <w:bCs w:val="1"/>
                <w:color w:val="auto"/>
              </w:rPr>
              <w:t xml:space="preserve">Not Designated as Hedging Instruments </w:t>
            </w:r>
            <w:r>
              <w:rPr>
                <w:rFonts w:ascii="Arial" w:cs="Arial" w:eastAsia="Arial" w:hAnsi="Arial"/>
                <w:sz w:val="21"/>
                <w:szCs w:val="21"/>
                <w:b w:val="1"/>
                <w:bCs w:val="1"/>
                <w:color w:val="auto"/>
                <w:vertAlign w:val="superscript"/>
              </w:rPr>
              <w:t>1</w:t>
            </w:r>
          </w:p>
        </w:tc>
        <w:tc>
          <w:tcPr>
            <w:tcW w:w="24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Asset</w:t>
            </w:r>
          </w:p>
        </w:tc>
        <w:tc>
          <w:tcPr>
            <w:tcW w:w="4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Liability</w:t>
            </w:r>
          </w:p>
        </w:tc>
        <w:tc>
          <w:tcPr>
            <w:tcW w:w="22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Asset</w:t>
            </w:r>
          </w:p>
        </w:tc>
        <w:tc>
          <w:tcPr>
            <w:tcW w:w="38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Liability</w:t>
            </w:r>
          </w:p>
        </w:tc>
      </w:tr>
      <w:tr>
        <w:trPr>
          <w:trHeight w:val="23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Derivatives</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Derivatives</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Derivatives</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2,788</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877</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391</w:t>
            </w:r>
          </w:p>
        </w:tc>
        <w:tc>
          <w:tcPr>
            <w:tcW w:w="4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356</w:t>
            </w: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37,472</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8,349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12,915</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9,370</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41</w:t>
            </w:r>
          </w:p>
        </w:tc>
        <w:tc>
          <w:tcPr>
            <w:tcW w:w="4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446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808</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40,692</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9,438</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14,604</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9,747</w:t>
            </w:r>
          </w:p>
        </w:tc>
      </w:tr>
      <w:tr>
        <w:trPr>
          <w:trHeight w:val="33"/>
        </w:trPr>
        <w:tc>
          <w:tcPr>
            <w:tcW w:w="5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6"/>
        </w:numPr>
        <w:rPr>
          <w:rFonts w:ascii="Arial" w:cs="Arial" w:eastAsia="Arial" w:hAnsi="Arial"/>
          <w:sz w:val="9"/>
          <w:szCs w:val="9"/>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16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and the amount and location of the net gains or losses recognized in the consolidated statements of income for the three and nine months ended September 30, 2019 and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Location of</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Net Gains (Losses)</w:t>
            </w: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1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3580" w:type="dxa"/>
            <w:vAlign w:val="bottom"/>
          </w:tcPr>
          <w:p>
            <w:pPr>
              <w:ind w:left="200"/>
              <w:spacing w:after="0"/>
              <w:rPr>
                <w:sz w:val="20"/>
                <w:szCs w:val="20"/>
                <w:color w:val="auto"/>
              </w:rPr>
            </w:pPr>
            <w:r>
              <w:rPr>
                <w:rFonts w:ascii="Arial" w:cs="Arial" w:eastAsia="Arial" w:hAnsi="Arial"/>
                <w:sz w:val="16"/>
                <w:szCs w:val="16"/>
                <w:b w:val="1"/>
                <w:bCs w:val="1"/>
                <w:color w:val="auto"/>
              </w:rPr>
              <w:t>Not Designated as Hedging Instruments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Recognized in the</w:t>
            </w:r>
          </w:p>
        </w:tc>
        <w:tc>
          <w:tcPr>
            <w:tcW w:w="17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Pr>
          <w:p>
            <w:pPr>
              <w:spacing w:after="0"/>
              <w:rPr>
                <w:sz w:val="23"/>
                <w:szCs w:val="23"/>
                <w:color w:val="auto"/>
              </w:rPr>
            </w:pPr>
          </w:p>
        </w:tc>
      </w:tr>
      <w:tr>
        <w:trPr>
          <w:trHeight w:val="33"/>
        </w:trPr>
        <w:tc>
          <w:tcPr>
            <w:tcW w:w="3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8"/>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9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Statements of Income</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Mortgage Banking  $</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4,381</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9,667</w:t>
            </w:r>
          </w:p>
        </w:tc>
        <w:tc>
          <w:tcPr>
            <w:tcW w:w="6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2,227</w:t>
            </w: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color w:val="auto"/>
              </w:rPr>
              <w:t>Mortgage Banking</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(282)</w:t>
            </w:r>
          </w:p>
        </w:tc>
        <w:tc>
          <w:tcPr>
            <w:tcW w:w="8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(2,257)</w:t>
            </w:r>
          </w:p>
        </w:tc>
        <w:tc>
          <w:tcPr>
            <w:tcW w:w="6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1,131</w:t>
            </w:r>
          </w:p>
        </w:tc>
      </w:tr>
      <w:tr>
        <w:trPr>
          <w:trHeight w:val="33"/>
        </w:trPr>
        <w:tc>
          <w:tcPr>
            <w:tcW w:w="3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9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Other Noninterest Income</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2,967</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5,863</w:t>
            </w:r>
          </w:p>
        </w:tc>
        <w:tc>
          <w:tcPr>
            <w:tcW w:w="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1,308</w:t>
            </w: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color w:val="auto"/>
              </w:rPr>
              <w:t>Other Noninterest Income</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480</w:t>
            </w:r>
          </w:p>
        </w:tc>
        <w:tc>
          <w:tcPr>
            <w:tcW w:w="8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681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2,546</w:t>
            </w:r>
          </w:p>
        </w:tc>
        <w:tc>
          <w:tcPr>
            <w:tcW w:w="6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2,640</w:t>
            </w:r>
          </w:p>
        </w:tc>
      </w:tr>
      <w:tr>
        <w:trPr>
          <w:trHeight w:val="33"/>
        </w:trPr>
        <w:tc>
          <w:tcPr>
            <w:tcW w:w="3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358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Investment Securities Gains</w:t>
            </w: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29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(Losses), Net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(453)</w:t>
            </w:r>
          </w:p>
        </w:tc>
        <w:tc>
          <w:tcPr>
            <w:tcW w:w="8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(453)</w:t>
            </w:r>
          </w:p>
        </w:tc>
        <w:tc>
          <w:tcPr>
            <w:tcW w:w="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1"/>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7,093</w:t>
            </w:r>
          </w:p>
        </w:tc>
        <w:tc>
          <w:tcPr>
            <w:tcW w:w="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2,175</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15,366</w:t>
            </w:r>
          </w:p>
        </w:tc>
        <w:tc>
          <w:tcPr>
            <w:tcW w:w="6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6,306</w:t>
            </w:r>
          </w:p>
        </w:tc>
      </w:tr>
      <w:tr>
        <w:trPr>
          <w:trHeight w:val="33"/>
        </w:trPr>
        <w:tc>
          <w:tcPr>
            <w:tcW w:w="35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0"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2019 and December 31, 2018,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Swap Agreements, foreign exchange contracts, and conversion rate swap agreements.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enters into Swap Agreements to facilitate the risk management strategies of a small number of commercial banking customers. The Company mitigates the interest rate risk of entering into these agreements by entering into equal and offsetting interest rate swap agreements with highly rated third-party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7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16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regulations require collateral to be posted by the party with a net liability position (i.e., the threshold for posting collateral was reduced to zero, subject to certain minimum transfer amounts). The requirements generally applied to new derivative contracts entered into by the Company after March 1, 2017, although certain counterparties may elect to apply lower thresholds to existing contracts.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causes any derivative cleared through one of the clearinghouses to have a fair value that approximates zero on a daily basis. The majority of the Company’s swap agreements executed with third-party financial institutions are now required to be cleared through one of the clearinghouses. The uncleared swap agreements executed with third-party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30"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As each sale of Visa Class B restricted shares was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The conversion rate swap agreement was valued at zero (i.e., no contingent liability recorded) as further reductions to the conversion ratio were deemed neither probable nor reasonably estimable by management. However, in September 2019, Visa announced a reduction of the conversion ratio from 1.6298 to 1.6228 effective September 27, 2019. As a result, the Company recorded a $0.5 million liability in September 2019 which represented the amount due to the buyers of the Visa Class B shares in October 2019. In June 2018, Visa announced a reduction of the conversion ratio from 1.6483 to 1.6298 effective June 28, 2018. As a result, the Company recorded $1.0 million liability in June 2018 which represented the amount paid to the buyers of the Visa Class B shares in July 2018. Further reductions to the conversion ratio were deemed neither probable nor reasonably estimable by management. See Note 3 </w:t>
      </w:r>
      <w:r>
        <w:rPr>
          <w:rFonts w:ascii="Arial" w:cs="Arial" w:eastAsia="Arial" w:hAnsi="Arial"/>
          <w:sz w:val="16"/>
          <w:szCs w:val="16"/>
          <w:i w:val="1"/>
          <w:iCs w:val="1"/>
          <w:color w:val="auto"/>
        </w:rPr>
        <w:t>Investment Securities</w:t>
      </w:r>
      <w:r>
        <w:rPr>
          <w:rFonts w:ascii="Arial" w:cs="Arial" w:eastAsia="Arial" w:hAnsi="Arial"/>
          <w:sz w:val="16"/>
          <w:szCs w:val="16"/>
          <w:color w:val="auto"/>
        </w:rPr>
        <w:t xml:space="preserve"> for more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Contingencies, and Guarantees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September 30, 2019 and December 31, 2018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9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Unfunded Commitments to Extend Credit</w:t>
            </w:r>
          </w:p>
        </w:tc>
        <w:tc>
          <w:tcPr>
            <w:tcW w:w="29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2,751,256</w:t>
            </w:r>
          </w:p>
        </w:tc>
        <w:tc>
          <w:tcPr>
            <w:tcW w:w="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2,646,085</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296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63,871</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62,344</w:t>
            </w:r>
          </w:p>
        </w:tc>
      </w:tr>
      <w:tr>
        <w:trPr>
          <w:trHeight w:val="33"/>
        </w:trPr>
        <w:tc>
          <w:tcPr>
            <w:tcW w:w="5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Commercial Letters of Credit</w:t>
            </w:r>
          </w:p>
        </w:tc>
        <w:tc>
          <w:tcPr>
            <w:tcW w:w="2960" w:type="dxa"/>
            <w:vAlign w:val="bottom"/>
            <w:tcBorders>
              <w:bottom w:val="single" w:sz="8" w:color="BFE4FF"/>
            </w:tcBorders>
            <w:shd w:val="clear" w:color="auto" w:fill="BFE4FF"/>
          </w:tcPr>
          <w:p>
            <w:pPr>
              <w:spacing w:after="0"/>
              <w:rPr>
                <w:sz w:val="23"/>
                <w:szCs w:val="23"/>
                <w:color w:val="auto"/>
              </w:rPr>
            </w:pPr>
          </w:p>
        </w:tc>
        <w:tc>
          <w:tcPr>
            <w:tcW w:w="13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13,433</w:t>
            </w:r>
          </w:p>
        </w:tc>
        <w:tc>
          <w:tcPr>
            <w:tcW w:w="40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9,411</w:t>
            </w:r>
          </w:p>
        </w:tc>
      </w:tr>
      <w:tr>
        <w:trPr>
          <w:trHeight w:val="231"/>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Credit Commitments</w:t>
            </w:r>
          </w:p>
        </w:tc>
        <w:tc>
          <w:tcPr>
            <w:tcW w:w="2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2,828,560</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2,717,840</w:t>
            </w:r>
          </w:p>
        </w:tc>
      </w:tr>
      <w:tr>
        <w:trPr>
          <w:trHeight w:val="33"/>
        </w:trPr>
        <w:tc>
          <w:tcPr>
            <w:tcW w:w="55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third-party. Standby letters of credit generally become payable upon the failure of the customer to perform according to the terms of the underlying contract with the third-party,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third-party under a standby letter of credit, and generally holds cash or deposits as collateral on those standby letters of credit for which collateral is deemed necessary.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September 9, 2016, a purported class action lawsuit was filed by a Bank customer primarily alleging Bank of Hawaii’s practice of determining whether consumer deposit accounts were overdrawn based on “available balance” (which deducts debit card transactions that have taken place but which have not yet been posted) was not properly applied or disclosed to customers. On October 16, 2019, the Bank reached a tentative settlement with the named plaintiff. The tentative settlement, subject to documentation and court approvals, provides for forgiveness of certain related and previously charged off overdraft fees, and a payment by the Company of $8.0 million into a class settlement fund the proceeds of which will be used to refund class members, and to pay attorneys’ fees, administrative and other costs, in exchange for a complete release of all claims asserted against the Company. Although the Company previously established a $2.0 million reserve relating to this claim, the reserve has been increased to a total of $8.0 million as of September 30, 2019.</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addition to the litigation noted above, the Company is subject to various other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sells residential mortgage loans in the secondary market primarily to the Federal National Mortgage Association (“Fannie Mae”). The Company also pools Federal Housing Administration (“FHA”) insured and U.S. Department of Veterans Affairs (“VA”) guaranteed residential mortgage loans for sale to the Government National Mortgage Corporation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September 30, 2019, the unpaid principal balance of residential mortgage loans sold by the Company was $2.7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 resolution. Repurchase demands are typically reviewed on an individual loan-by-loan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During the nine months ended September 30, 2019, there were two residential mortgage loans repurchased with an aggregate unpaid principal balance of $0.6 million as a result of the representation and warranty provisions contained in the applicable contract. The one loan was delinquent in payment of principal and interest at the time of repurchase, however no material loss was incurred related to this repurchase. As of September 30, 2019, there was one pending repurchase requests totaling $0.3 million related to representation and warranty provisions.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nine months ended September 30, 2019, there were no loans repurchased related to loan servicing activities. As of September 30, 2019, there were no pending repurchase requests related to loan servicing activities.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September 30, 2019, management believes that this exposure is not material due to the historical level of repurchase requests and loss trends and thus has not established a liability for losses related to mortgage loan repurchases. As of September 30, 2019,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127" w:lineRule="exact"/>
        <w:rPr>
          <w:sz w:val="20"/>
          <w:szCs w:val="20"/>
          <w:color w:val="auto"/>
        </w:rPr>
      </w:pPr>
    </w:p>
    <w:p>
      <w:pPr>
        <w:jc w:val="both"/>
        <w:ind w:left="1500" w:right="720" w:hanging="1052"/>
        <w:spacing w:after="0" w:line="286" w:lineRule="auto"/>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22" w:lineRule="exact"/>
        <w:rPr>
          <w:sz w:val="20"/>
          <w:szCs w:val="20"/>
          <w:color w:val="auto"/>
        </w:rPr>
      </w:pPr>
    </w:p>
    <w:p>
      <w:pPr>
        <w:ind w:left="1500" w:right="580" w:hanging="1052"/>
        <w:spacing w:after="0" w:line="259" w:lineRule="auto"/>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00" w:lineRule="exact"/>
        <w:rPr>
          <w:sz w:val="20"/>
          <w:szCs w:val="20"/>
          <w:color w:val="auto"/>
        </w:rPr>
      </w:pPr>
    </w:p>
    <w:p>
      <w:pPr>
        <w:spacing w:after="0" w:line="244" w:lineRule="exact"/>
        <w:rPr>
          <w:sz w:val="20"/>
          <w:szCs w:val="20"/>
          <w:color w:val="auto"/>
        </w:rPr>
      </w:pPr>
    </w:p>
    <w:p>
      <w:pPr>
        <w:ind w:left="1500" w:right="620" w:hanging="1052"/>
        <w:spacing w:after="0" w:line="259" w:lineRule="auto"/>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6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30"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 quarterly basis, management reviews the pricing information received from the Company’s third-party pricing service. This review process includes a comparison to a second source. The Company’s third-party pricing service has also established processes for us to submit inquiries regarding quoted prices. Periodically, based on these reviews, the Company will challenge the quoted prices provided by the Company’s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 Generally, we do not adjust the price from the third-party service provider. On a quarterly basis, management also reviews a sample of securities priced by the Company’s third-party pricing service to review the significant assumptions and valuation methodologies used by the service. The information provided is comprised of market reference data, which may include reported trades; bids, offers, or broker-dealer dealer quotes; benchmark yields and spreads; as well as other reference data as appropriate. Based on this review, management determines whether the current placement of the security in the fair value hierarchy is appropriate or whether transfers may be warranted.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Derivative financial instruments recorded at fair value on a recurring basis are comprised of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September 30, 2019 and December 31, 2018, the conversion rate swap agreements were valued at $0.5 million and zero, respectively. This conversion rate swap agreement is classified as a Level 2 measurement.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30" w:right="25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balances of assets and liabilities measured at fair value on a recurring basis as of September 30, 2019 and December 31,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Quoted Prices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in Active</w:t>
            </w:r>
          </w:p>
        </w:tc>
        <w:tc>
          <w:tcPr>
            <w:tcW w:w="400" w:type="dxa"/>
            <w:vAlign w:val="bottom"/>
          </w:tcPr>
          <w:p>
            <w:pPr>
              <w:spacing w:after="0"/>
              <w:rPr>
                <w:sz w:val="17"/>
                <w:szCs w:val="17"/>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Significant</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Markets for</w:t>
            </w:r>
          </w:p>
        </w:tc>
        <w:tc>
          <w:tcPr>
            <w:tcW w:w="400" w:type="dxa"/>
            <w:vAlign w:val="bottom"/>
          </w:tcPr>
          <w:p>
            <w:pPr>
              <w:spacing w:after="0"/>
              <w:rPr>
                <w:sz w:val="17"/>
                <w:szCs w:val="17"/>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7"/>
                <w:szCs w:val="17"/>
                <w:color w:val="auto"/>
              </w:rPr>
            </w:pPr>
          </w:p>
        </w:tc>
        <w:tc>
          <w:tcPr>
            <w:tcW w:w="1220" w:type="dxa"/>
            <w:vAlign w:val="bottom"/>
          </w:tcPr>
          <w:p>
            <w:pPr>
              <w:jc w:val="right"/>
              <w:ind w:right="87"/>
              <w:spacing w:after="0"/>
              <w:rPr>
                <w:sz w:val="20"/>
                <w:szCs w:val="20"/>
                <w:color w:val="auto"/>
              </w:rPr>
            </w:pPr>
            <w:r>
              <w:rPr>
                <w:rFonts w:ascii="Arial" w:cs="Arial" w:eastAsia="Arial" w:hAnsi="Arial"/>
                <w:sz w:val="16"/>
                <w:szCs w:val="16"/>
                <w:b w:val="1"/>
                <w:bCs w:val="1"/>
                <w:color w:val="auto"/>
              </w:rPr>
              <w:t>Significant</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w w:val="95"/>
              </w:rPr>
              <w:t>Identical Assets</w:t>
            </w:r>
          </w:p>
        </w:tc>
        <w:tc>
          <w:tcPr>
            <w:tcW w:w="400" w:type="dxa"/>
            <w:vAlign w:val="bottom"/>
          </w:tcPr>
          <w:p>
            <w:pPr>
              <w:spacing w:after="0"/>
              <w:rPr>
                <w:sz w:val="17"/>
                <w:szCs w:val="17"/>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Observable</w:t>
            </w:r>
          </w:p>
        </w:tc>
        <w:tc>
          <w:tcPr>
            <w:tcW w:w="340" w:type="dxa"/>
            <w:vAlign w:val="bottom"/>
          </w:tcPr>
          <w:p>
            <w:pPr>
              <w:spacing w:after="0"/>
              <w:rPr>
                <w:sz w:val="17"/>
                <w:szCs w:val="17"/>
                <w:color w:val="auto"/>
              </w:rPr>
            </w:pPr>
          </w:p>
        </w:tc>
        <w:tc>
          <w:tcPr>
            <w:tcW w:w="1220" w:type="dxa"/>
            <w:vAlign w:val="bottom"/>
          </w:tcPr>
          <w:p>
            <w:pPr>
              <w:jc w:val="right"/>
              <w:ind w:right="87"/>
              <w:spacing w:after="0"/>
              <w:rPr>
                <w:sz w:val="20"/>
                <w:szCs w:val="20"/>
                <w:color w:val="auto"/>
              </w:rPr>
            </w:pPr>
            <w:r>
              <w:rPr>
                <w:rFonts w:ascii="Arial" w:cs="Arial" w:eastAsia="Arial" w:hAnsi="Arial"/>
                <w:sz w:val="16"/>
                <w:szCs w:val="16"/>
                <w:b w:val="1"/>
                <w:bCs w:val="1"/>
                <w:color w:val="auto"/>
                <w:w w:val="98"/>
              </w:rPr>
              <w:t>Unobservable</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4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or Liabilities</w:t>
            </w:r>
          </w:p>
        </w:tc>
        <w:tc>
          <w:tcPr>
            <w:tcW w:w="400" w:type="dxa"/>
            <w:vAlign w:val="bottom"/>
          </w:tcPr>
          <w:p>
            <w:pPr>
              <w:spacing w:after="0"/>
              <w:rPr>
                <w:sz w:val="18"/>
                <w:szCs w:val="18"/>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Inputs</w:t>
            </w:r>
          </w:p>
        </w:tc>
        <w:tc>
          <w:tcPr>
            <w:tcW w:w="34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Arial" w:cs="Arial" w:eastAsia="Arial" w:hAnsi="Arial"/>
                <w:sz w:val="16"/>
                <w:szCs w:val="16"/>
                <w:b w:val="1"/>
                <w:bCs w:val="1"/>
                <w:color w:val="auto"/>
              </w:rPr>
              <w:t>Inputs</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486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(Level 1)</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6"/>
                <w:szCs w:val="16"/>
                <w:b w:val="1"/>
                <w:bCs w:val="1"/>
                <w:color w:val="auto"/>
              </w:rPr>
              <w:t>(Level 3)</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6"/>
                <w:szCs w:val="16"/>
                <w:b w:val="1"/>
                <w:bCs w:val="1"/>
                <w:color w:val="auto"/>
              </w:rPr>
              <w:t>Total</w:t>
            </w:r>
          </w:p>
        </w:tc>
      </w:tr>
      <w:tr>
        <w:trPr>
          <w:trHeight w:val="47"/>
        </w:trPr>
        <w:tc>
          <w:tcPr>
            <w:tcW w:w="48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September 30, 2019</w:t>
            </w: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Available-for-Sale</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157"/>
        </w:trPr>
        <w:tc>
          <w:tcPr>
            <w:tcW w:w="4860" w:type="dxa"/>
            <w:vAlign w:val="bottom"/>
          </w:tcPr>
          <w:p>
            <w:pPr>
              <w:ind w:left="28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4860" w:type="dxa"/>
            <w:vAlign w:val="bottom"/>
          </w:tcPr>
          <w:p>
            <w:pPr>
              <w:ind w:left="500"/>
              <w:spacing w:after="0"/>
              <w:rPr>
                <w:sz w:val="20"/>
                <w:szCs w:val="20"/>
                <w:color w:val="auto"/>
              </w:rPr>
            </w:pPr>
            <w:r>
              <w:rPr>
                <w:rFonts w:ascii="Arial" w:cs="Arial" w:eastAsia="Arial" w:hAnsi="Arial"/>
                <w:sz w:val="14"/>
                <w:szCs w:val="14"/>
                <w:color w:val="auto"/>
              </w:rPr>
              <w:t>and Government Agencies</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1,005</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234,680</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235,685</w:t>
            </w:r>
          </w:p>
        </w:tc>
      </w:tr>
      <w:tr>
        <w:trPr>
          <w:trHeight w:val="276"/>
        </w:trPr>
        <w:tc>
          <w:tcPr>
            <w:tcW w:w="4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States and Political Subdivisions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53,982</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53,982</w:t>
            </w:r>
          </w:p>
        </w:tc>
      </w:tr>
      <w:tr>
        <w:trPr>
          <w:trHeight w:val="264"/>
        </w:trPr>
        <w:tc>
          <w:tcPr>
            <w:tcW w:w="4860" w:type="dxa"/>
            <w:vAlign w:val="bottom"/>
          </w:tcPr>
          <w:p>
            <w:pPr>
              <w:ind w:left="460"/>
              <w:spacing w:after="0"/>
              <w:rPr>
                <w:sz w:val="20"/>
                <w:szCs w:val="20"/>
                <w:color w:val="auto"/>
              </w:rPr>
            </w:pPr>
            <w:r>
              <w:rPr>
                <w:rFonts w:ascii="Arial" w:cs="Arial" w:eastAsia="Arial" w:hAnsi="Arial"/>
                <w:sz w:val="14"/>
                <w:szCs w:val="14"/>
                <w:color w:val="auto"/>
              </w:rPr>
              <w:t>Debt Securities Issued by U.S. Government-Sponsored Enterprises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21,895</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21,895</w:t>
            </w:r>
          </w:p>
        </w:tc>
      </w:tr>
      <w:tr>
        <w:trPr>
          <w:trHeight w:val="276"/>
        </w:trPr>
        <w:tc>
          <w:tcPr>
            <w:tcW w:w="4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Corporations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348,441</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348,441</w:t>
            </w:r>
          </w:p>
        </w:tc>
      </w:tr>
      <w:tr>
        <w:trPr>
          <w:trHeight w:val="264"/>
        </w:trPr>
        <w:tc>
          <w:tcPr>
            <w:tcW w:w="4860" w:type="dxa"/>
            <w:vAlign w:val="bottom"/>
          </w:tcPr>
          <w:p>
            <w:pPr>
              <w:ind w:left="460"/>
              <w:spacing w:after="0"/>
              <w:rPr>
                <w:sz w:val="20"/>
                <w:szCs w:val="20"/>
                <w:color w:val="auto"/>
              </w:rPr>
            </w:pPr>
            <w:r>
              <w:rPr>
                <w:rFonts w:ascii="Arial" w:cs="Arial" w:eastAsia="Arial" w:hAnsi="Arial"/>
                <w:sz w:val="14"/>
                <w:szCs w:val="14"/>
                <w:color w:val="auto"/>
              </w:rPr>
              <w:t>Mortgage-Backed Securities:</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4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Residential - Government Agencies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1,228,637</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1,228,637</w:t>
            </w:r>
          </w:p>
        </w:tc>
      </w:tr>
      <w:tr>
        <w:trPr>
          <w:trHeight w:val="264"/>
        </w:trPr>
        <w:tc>
          <w:tcPr>
            <w:tcW w:w="4860" w:type="dxa"/>
            <w:vAlign w:val="bottom"/>
          </w:tcPr>
          <w:p>
            <w:pPr>
              <w:ind w:left="560"/>
              <w:spacing w:after="0"/>
              <w:rPr>
                <w:sz w:val="20"/>
                <w:szCs w:val="20"/>
                <w:color w:val="auto"/>
              </w:rPr>
            </w:pPr>
            <w:r>
              <w:rPr>
                <w:rFonts w:ascii="Arial" w:cs="Arial" w:eastAsia="Arial" w:hAnsi="Arial"/>
                <w:sz w:val="14"/>
                <w:szCs w:val="14"/>
                <w:color w:val="auto"/>
              </w:rPr>
              <w:t>Residential - U.S. Government-Sponsored Enterprises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537,336</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537,336</w:t>
            </w:r>
          </w:p>
        </w:tc>
      </w:tr>
      <w:tr>
        <w:trPr>
          <w:trHeight w:val="270"/>
        </w:trPr>
        <w:tc>
          <w:tcPr>
            <w:tcW w:w="48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Commercial - Government Agencies</w:t>
            </w:r>
          </w:p>
        </w:tc>
        <w:tc>
          <w:tcPr>
            <w:tcW w:w="7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168,418</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168,418</w:t>
            </w:r>
          </w:p>
        </w:tc>
      </w:tr>
      <w:tr>
        <w:trPr>
          <w:trHeight w:val="264"/>
        </w:trPr>
        <w:tc>
          <w:tcPr>
            <w:tcW w:w="48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 Mortgage-Backed Securities</w:t>
            </w: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1,934,391</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1,934,391</w:t>
            </w:r>
          </w:p>
        </w:tc>
      </w:tr>
      <w:tr>
        <w:trPr>
          <w:trHeight w:val="264"/>
        </w:trPr>
        <w:tc>
          <w:tcPr>
            <w:tcW w:w="4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Investment Securities Available-for-Sale</w:t>
            </w:r>
          </w:p>
        </w:tc>
        <w:tc>
          <w:tcPr>
            <w:tcW w:w="7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1,005</w:t>
            </w: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2,593,389</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2,594,394</w:t>
            </w: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Loans Held for Sale</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36,720</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36,720</w:t>
            </w:r>
          </w:p>
        </w:tc>
      </w:tr>
      <w:tr>
        <w:trPr>
          <w:trHeight w:val="27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1,174</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1,174</w:t>
            </w: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37,865</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37,865</w:t>
            </w:r>
          </w:p>
        </w:tc>
      </w:tr>
      <w:tr>
        <w:trPr>
          <w:trHeight w:val="270"/>
        </w:trPr>
        <w:tc>
          <w:tcPr>
            <w:tcW w:w="4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7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432</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40,260</w:t>
            </w: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40,692</w:t>
            </w:r>
          </w:p>
        </w:tc>
      </w:tr>
      <w:tr>
        <w:trPr>
          <w:trHeight w:val="152"/>
        </w:trPr>
        <w:tc>
          <w:tcPr>
            <w:tcW w:w="486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Total Assets Measured at Fair Value on a</w:t>
            </w:r>
          </w:p>
        </w:tc>
        <w:tc>
          <w:tcPr>
            <w:tcW w:w="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32"/>
        </w:trPr>
        <w:tc>
          <w:tcPr>
            <w:tcW w:w="4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Recurring Basis as of September 30, 2019</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38,870</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2,630,541</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41,434</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2,710,845</w:t>
            </w:r>
          </w:p>
        </w:tc>
      </w:tr>
      <w:tr>
        <w:trPr>
          <w:trHeight w:val="122"/>
        </w:trPr>
        <w:tc>
          <w:tcPr>
            <w:tcW w:w="48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4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1,089</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8,349</w:t>
            </w:r>
          </w:p>
        </w:tc>
        <w:tc>
          <w:tcPr>
            <w:tcW w:w="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9,438</w:t>
            </w:r>
          </w:p>
        </w:tc>
      </w:tr>
      <w:tr>
        <w:trPr>
          <w:trHeight w:val="152"/>
        </w:trPr>
        <w:tc>
          <w:tcPr>
            <w:tcW w:w="486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Total Liabilities Measured at Fair Value on a</w:t>
            </w:r>
          </w:p>
        </w:tc>
        <w:tc>
          <w:tcPr>
            <w:tcW w:w="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32"/>
        </w:trPr>
        <w:tc>
          <w:tcPr>
            <w:tcW w:w="4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Recurring Basis as of September 30, 2019</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1,089</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8,349</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9,438</w:t>
            </w:r>
          </w:p>
        </w:tc>
      </w:tr>
      <w:tr>
        <w:trPr>
          <w:trHeight w:val="122"/>
        </w:trPr>
        <w:tc>
          <w:tcPr>
            <w:tcW w:w="48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Investment Securities Available-for-Sale</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3"/>
        </w:trPr>
        <w:tc>
          <w:tcPr>
            <w:tcW w:w="4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Securities Issued by the U.S. Treasury</w:t>
            </w:r>
          </w:p>
        </w:tc>
        <w:tc>
          <w:tcPr>
            <w:tcW w:w="7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4"/>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and Government Agencies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972</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391,429</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392,401</w:t>
            </w:r>
          </w:p>
        </w:tc>
      </w:tr>
      <w:tr>
        <w:trPr>
          <w:trHeight w:val="264"/>
        </w:trPr>
        <w:tc>
          <w:tcPr>
            <w:tcW w:w="4860" w:type="dxa"/>
            <w:vAlign w:val="bottom"/>
          </w:tcPr>
          <w:p>
            <w:pPr>
              <w:ind w:left="460"/>
              <w:spacing w:after="0"/>
              <w:rPr>
                <w:sz w:val="20"/>
                <w:szCs w:val="20"/>
                <w:color w:val="auto"/>
              </w:rPr>
            </w:pPr>
            <w:r>
              <w:rPr>
                <w:rFonts w:ascii="Arial" w:cs="Arial" w:eastAsia="Arial" w:hAnsi="Arial"/>
                <w:sz w:val="14"/>
                <w:szCs w:val="14"/>
                <w:color w:val="auto"/>
              </w:rPr>
              <w:t>Debt Securities Issued by States and Political Subdivisions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563,996</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563,996</w:t>
            </w:r>
          </w:p>
        </w:tc>
      </w:tr>
      <w:tr>
        <w:trPr>
          <w:trHeight w:val="276"/>
        </w:trPr>
        <w:tc>
          <w:tcPr>
            <w:tcW w:w="4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U.S. Government-Sponsored Enterprises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56</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r>
      <w:tr>
        <w:trPr>
          <w:trHeight w:val="264"/>
        </w:trPr>
        <w:tc>
          <w:tcPr>
            <w:tcW w:w="4860" w:type="dxa"/>
            <w:vAlign w:val="bottom"/>
          </w:tcPr>
          <w:p>
            <w:pPr>
              <w:ind w:left="460"/>
              <w:spacing w:after="0"/>
              <w:rPr>
                <w:sz w:val="20"/>
                <w:szCs w:val="20"/>
                <w:color w:val="auto"/>
              </w:rPr>
            </w:pPr>
            <w:r>
              <w:rPr>
                <w:rFonts w:ascii="Arial" w:cs="Arial" w:eastAsia="Arial" w:hAnsi="Arial"/>
                <w:sz w:val="14"/>
                <w:szCs w:val="14"/>
                <w:color w:val="auto"/>
              </w:rPr>
              <w:t>Debt Securities Issued by Corporations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223,140</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223,140</w:t>
            </w:r>
          </w:p>
        </w:tc>
      </w:tr>
      <w:tr>
        <w:trPr>
          <w:trHeight w:val="276"/>
        </w:trPr>
        <w:tc>
          <w:tcPr>
            <w:tcW w:w="4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Mortgage-Backed Securities: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4860" w:type="dxa"/>
            <w:vAlign w:val="bottom"/>
          </w:tcPr>
          <w:p>
            <w:pPr>
              <w:ind w:left="560"/>
              <w:spacing w:after="0"/>
              <w:rPr>
                <w:sz w:val="20"/>
                <w:szCs w:val="20"/>
                <w:color w:val="auto"/>
              </w:rPr>
            </w:pPr>
            <w:r>
              <w:rPr>
                <w:rFonts w:ascii="Arial" w:cs="Arial" w:eastAsia="Arial" w:hAnsi="Arial"/>
                <w:sz w:val="14"/>
                <w:szCs w:val="14"/>
                <w:color w:val="auto"/>
              </w:rPr>
              <w:t>Residential - Government Agencies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190,442</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190,442</w:t>
            </w:r>
          </w:p>
        </w:tc>
      </w:tr>
      <w:tr>
        <w:trPr>
          <w:trHeight w:val="276"/>
        </w:trPr>
        <w:tc>
          <w:tcPr>
            <w:tcW w:w="4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Residential - U.S. Government-Sponsored Enterprises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578,527</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578,527</w:t>
            </w:r>
          </w:p>
        </w:tc>
      </w:tr>
      <w:tr>
        <w:trPr>
          <w:trHeight w:val="264"/>
        </w:trPr>
        <w:tc>
          <w:tcPr>
            <w:tcW w:w="48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Commercial - Government Agencies</w:t>
            </w: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59,380</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59,380</w:t>
            </w:r>
          </w:p>
        </w:tc>
      </w:tr>
      <w:tr>
        <w:trPr>
          <w:trHeight w:val="264"/>
        </w:trPr>
        <w:tc>
          <w:tcPr>
            <w:tcW w:w="48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Total Mortgage-Backed Securities</w:t>
            </w:r>
          </w:p>
        </w:tc>
        <w:tc>
          <w:tcPr>
            <w:tcW w:w="7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828,349</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828,349</w:t>
            </w: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Investment Securities Available-for-Sale</w:t>
            </w: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972</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2,006,970</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2,007,942</w:t>
            </w: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Held for Sale</w:t>
            </w:r>
          </w:p>
        </w:tc>
        <w:tc>
          <w:tcPr>
            <w:tcW w:w="7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10,987</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10,987</w:t>
            </w: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Mortgage Servicing Rights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1,290</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1,290</w:t>
            </w:r>
          </w:p>
        </w:tc>
      </w:tr>
      <w:tr>
        <w:trPr>
          <w:trHeight w:val="27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31,871</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31,871</w:t>
            </w: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812</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13,792</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14,604</w:t>
            </w:r>
          </w:p>
        </w:tc>
      </w:tr>
      <w:tr>
        <w:trPr>
          <w:trHeight w:val="152"/>
        </w:trPr>
        <w:tc>
          <w:tcPr>
            <w:tcW w:w="486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Total Assets Measured at Fair Value on a</w:t>
            </w:r>
          </w:p>
        </w:tc>
        <w:tc>
          <w:tcPr>
            <w:tcW w:w="7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92"/>
        </w:trPr>
        <w:tc>
          <w:tcPr>
            <w:tcW w:w="4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Recurring Basis as of December 31, 2018</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32,843</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2,018,769</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15,082</w:t>
            </w:r>
          </w:p>
        </w:tc>
        <w:tc>
          <w:tcPr>
            <w:tcW w:w="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2,066,694</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7"/>
        </w:trPr>
        <w:tc>
          <w:tcPr>
            <w:tcW w:w="4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7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371</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9,376</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9,747</w:t>
            </w:r>
          </w:p>
        </w:tc>
      </w:tr>
      <w:tr>
        <w:trPr>
          <w:trHeight w:val="152"/>
        </w:trPr>
        <w:tc>
          <w:tcPr>
            <w:tcW w:w="486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Total Liabilities Measured at Fair Value on a</w:t>
            </w:r>
          </w:p>
        </w:tc>
        <w:tc>
          <w:tcPr>
            <w:tcW w:w="7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92"/>
        </w:trPr>
        <w:tc>
          <w:tcPr>
            <w:tcW w:w="4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Recurring Basis as of December 31, 2018</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371</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9,376</w:t>
            </w:r>
          </w:p>
        </w:tc>
        <w:tc>
          <w:tcPr>
            <w:tcW w:w="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9,747</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7"/>
        </w:numPr>
        <w:rPr>
          <w:rFonts w:ascii="Arial" w:cs="Arial" w:eastAsia="Arial" w:hAnsi="Arial"/>
          <w:sz w:val="9"/>
          <w:szCs w:val="9"/>
          <w:color w:val="auto"/>
        </w:rPr>
      </w:pPr>
      <w:r>
        <w:rPr>
          <w:rFonts w:ascii="Arial" w:cs="Arial" w:eastAsia="Arial" w:hAnsi="Arial"/>
          <w:sz w:val="14"/>
          <w:szCs w:val="14"/>
          <w:color w:val="auto"/>
        </w:rPr>
        <w:t xml:space="preserve">The fair value of each class of derivatives is shown in Note 12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420"/>
          </w:cols>
          <w:pgMar w:left="240" w:top="130" w:right="239" w:bottom="487"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0" w:right="239" w:bottom="487"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three and nine months ended September 30, 2019 and 2018, the changes in Level 3 assets and liabilities measured at fair value on a recurring basis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Net Derivative</w:t>
            </w: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Assets and</w:t>
            </w:r>
          </w:p>
        </w:tc>
        <w:tc>
          <w:tcPr>
            <w:tcW w:w="0" w:type="dxa"/>
            <w:vAlign w:val="bottom"/>
          </w:tcPr>
          <w:p>
            <w:pPr>
              <w:spacing w:after="0"/>
              <w:rPr>
                <w:sz w:val="1"/>
                <w:szCs w:val="1"/>
                <w:color w:val="auto"/>
              </w:rPr>
            </w:pPr>
          </w:p>
        </w:tc>
      </w:tr>
      <w:tr>
        <w:trPr>
          <w:trHeight w:val="251"/>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 xml:space="preserve">Servicing Rights </w:t>
            </w:r>
            <w:r>
              <w:rPr>
                <w:rFonts w:ascii="Arial" w:cs="Arial" w:eastAsia="Arial" w:hAnsi="Arial"/>
                <w:sz w:val="17"/>
                <w:szCs w:val="17"/>
                <w:b w:val="1"/>
                <w:bCs w:val="1"/>
                <w:color w:val="auto"/>
                <w:w w:val="99"/>
                <w:vertAlign w:val="superscript"/>
              </w:rPr>
              <w:t>1</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xml:space="preserve">Liabilities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4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2019</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Balance as of July 1, 2019</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1,212</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19,956</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4,360</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(3,736)</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11,331</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September 30, 2019</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1,174</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31,911</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September 30, 2019</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31,911</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July 1,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1,366</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September 30, 2018</w:t>
            </w:r>
          </w:p>
        </w:tc>
        <w:tc>
          <w:tcPr>
            <w:tcW w:w="2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1,327</w:t>
            </w: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Related to Assets Still Held as of September 30,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2019</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Balance as of January 1, 2019</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1,290</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4,416</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9,602</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(7,750)</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25,643</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September 30, 2019</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1,174</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31,911</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September 30, 2019</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31,911</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2018</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January 1,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1,454</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2,234</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(2,591)</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September 30, 2018</w:t>
            </w:r>
          </w:p>
        </w:tc>
        <w:tc>
          <w:tcPr>
            <w:tcW w:w="2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1,327</w:t>
            </w: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Related to Assets Still Held as of September 30,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8"/>
        </w:numPr>
        <w:rPr>
          <w:rFonts w:ascii="Arial" w:cs="Arial" w:eastAsia="Arial" w:hAnsi="Arial"/>
          <w:sz w:val="8"/>
          <w:szCs w:val="8"/>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25" w:lineRule="exact"/>
        <w:rPr>
          <w:sz w:val="20"/>
          <w:szCs w:val="20"/>
          <w:color w:val="auto"/>
        </w:rPr>
      </w:pPr>
    </w:p>
    <w:p>
      <w:pPr>
        <w:ind w:left="80" w:right="140" w:hanging="72"/>
        <w:spacing w:after="0" w:line="338" w:lineRule="auto"/>
        <w:tabs>
          <w:tab w:leader="none" w:pos="80" w:val="left"/>
        </w:tabs>
        <w:numPr>
          <w:ilvl w:val="0"/>
          <w:numId w:val="19"/>
        </w:numPr>
        <w:rPr>
          <w:rFonts w:ascii="Arial" w:cs="Arial" w:eastAsia="Arial" w:hAnsi="Arial"/>
          <w:sz w:val="8"/>
          <w:szCs w:val="8"/>
          <w:color w:val="auto"/>
        </w:rPr>
      </w:pPr>
      <w:r>
        <w:rPr>
          <w:rFonts w:ascii="Arial" w:cs="Arial" w:eastAsia="Arial" w:hAnsi="Arial"/>
          <w:sz w:val="12"/>
          <w:szCs w:val="12"/>
          <w:color w:val="auto"/>
        </w:rPr>
        <w:t>Realized and unrealized gains and losses related to interest rate lock commitments are reported as a component of mortgage banking income in the Company’s consolidated statements of income. Realized and unrealized gains and losses related to interest rate swap agreements are reported as a component of other noninterest income in the Company’s consolidated statements of income.</w:t>
      </w:r>
    </w:p>
    <w:p>
      <w:pPr>
        <w:sectPr>
          <w:pgSz w:w="11900" w:h="16838" w:orient="portrait"/>
          <w:cols w:equalWidth="0" w:num="1">
            <w:col w:w="11420"/>
          </w:cols>
          <w:pgMar w:left="240" w:top="130"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type w:val="continuous"/>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September 30, 2019 and December 31, 2018, the significant unobservable inputs used in the fair value measurements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580" w:type="dxa"/>
            <w:vAlign w:val="bottom"/>
            <w:gridSpan w:val="2"/>
          </w:tcPr>
          <w:p>
            <w:pPr>
              <w:jc w:val="right"/>
              <w:ind w:right="145"/>
              <w:spacing w:after="0"/>
              <w:rPr>
                <w:sz w:val="20"/>
                <w:szCs w:val="20"/>
                <w:color w:val="auto"/>
              </w:rPr>
            </w:pPr>
            <w:r>
              <w:rPr>
                <w:rFonts w:ascii="Arial" w:cs="Arial" w:eastAsia="Arial" w:hAnsi="Arial"/>
                <w:sz w:val="16"/>
                <w:szCs w:val="16"/>
                <w:b w:val="1"/>
                <w:bCs w:val="1"/>
                <w:color w:val="auto"/>
              </w:rPr>
              <w:t>Significant Unobservable Inputs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2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580" w:type="dxa"/>
            <w:vAlign w:val="bottom"/>
            <w:gridSpan w:val="2"/>
          </w:tcPr>
          <w:p>
            <w:pPr>
              <w:jc w:val="right"/>
              <w:ind w:right="605"/>
              <w:spacing w:after="0"/>
              <w:rPr>
                <w:sz w:val="20"/>
                <w:szCs w:val="20"/>
                <w:color w:val="auto"/>
              </w:rPr>
            </w:pPr>
            <w:r>
              <w:rPr>
                <w:rFonts w:ascii="Arial" w:cs="Arial" w:eastAsia="Arial" w:hAnsi="Arial"/>
                <w:sz w:val="16"/>
                <w:szCs w:val="16"/>
                <w:b w:val="1"/>
                <w:bCs w:val="1"/>
                <w:color w:val="auto"/>
              </w:rPr>
              <w:t>(weighted-average)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right"/>
              <w:ind w:right="544"/>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2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2780" w:type="dxa"/>
            <w:vAlign w:val="bottom"/>
          </w:tcPr>
          <w:p>
            <w:pPr>
              <w:spacing w:after="0"/>
              <w:rPr>
                <w:sz w:val="18"/>
                <w:szCs w:val="18"/>
                <w:color w:val="auto"/>
              </w:rPr>
            </w:pPr>
          </w:p>
        </w:tc>
        <w:tc>
          <w:tcPr>
            <w:tcW w:w="2040" w:type="dxa"/>
            <w:vAlign w:val="bottom"/>
          </w:tcPr>
          <w:p>
            <w:pPr>
              <w:jc w:val="right"/>
              <w:ind w:right="64"/>
              <w:spacing w:after="0"/>
              <w:rPr>
                <w:sz w:val="20"/>
                <w:szCs w:val="20"/>
                <w:color w:val="auto"/>
              </w:rPr>
            </w:pPr>
            <w:r>
              <w:rPr>
                <w:rFonts w:ascii="Arial" w:cs="Arial" w:eastAsia="Arial" w:hAnsi="Arial"/>
                <w:sz w:val="16"/>
                <w:szCs w:val="16"/>
                <w:b w:val="1"/>
                <w:bCs w:val="1"/>
                <w:color w:val="auto"/>
              </w:rPr>
              <w:t>Valuation</w:t>
            </w:r>
          </w:p>
        </w:tc>
        <w:tc>
          <w:tcPr>
            <w:tcW w:w="2360" w:type="dxa"/>
            <w:vAlign w:val="bottom"/>
          </w:tcPr>
          <w:p>
            <w:pPr>
              <w:spacing w:after="0"/>
              <w:rPr>
                <w:sz w:val="18"/>
                <w:szCs w:val="18"/>
                <w:color w:val="auto"/>
              </w:rPr>
            </w:pPr>
          </w:p>
        </w:tc>
        <w:tc>
          <w:tcPr>
            <w:tcW w:w="1220" w:type="dxa"/>
            <w:vAlign w:val="bottom"/>
          </w:tcPr>
          <w:p>
            <w:pPr>
              <w:jc w:val="right"/>
              <w:ind w:right="345"/>
              <w:spacing w:after="0"/>
              <w:rPr>
                <w:sz w:val="20"/>
                <w:szCs w:val="20"/>
                <w:color w:val="auto"/>
              </w:rPr>
            </w:pPr>
            <w:r>
              <w:rPr>
                <w:rFonts w:ascii="Arial" w:cs="Arial" w:eastAsia="Arial" w:hAnsi="Arial"/>
                <w:sz w:val="16"/>
                <w:szCs w:val="16"/>
                <w:b w:val="1"/>
                <w:bCs w:val="1"/>
                <w:color w:val="auto"/>
              </w:rPr>
              <w:t>Sept. 30,</w:t>
            </w: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 31,</w:t>
            </w:r>
          </w:p>
        </w:tc>
        <w:tc>
          <w:tcPr>
            <w:tcW w:w="22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b w:val="1"/>
                <w:bCs w:val="1"/>
                <w:color w:val="auto"/>
              </w:rPr>
              <w:t>Sept. 30,</w:t>
            </w:r>
          </w:p>
        </w:tc>
        <w:tc>
          <w:tcPr>
            <w:tcW w:w="2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6"/>
                <w:szCs w:val="16"/>
                <w:b w:val="1"/>
                <w:bCs w:val="1"/>
                <w:color w:val="auto"/>
                <w:w w:val="99"/>
              </w:rPr>
              <w:t>Dec. 31,</w:t>
            </w:r>
          </w:p>
        </w:tc>
      </w:tr>
      <w:tr>
        <w:trPr>
          <w:trHeight w:val="237"/>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0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Technique</w:t>
            </w:r>
          </w:p>
        </w:tc>
        <w:tc>
          <w:tcPr>
            <w:tcW w:w="23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Description</w:t>
            </w:r>
          </w:p>
        </w:tc>
        <w:tc>
          <w:tcPr>
            <w:tcW w:w="122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2019</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2018</w:t>
            </w:r>
          </w:p>
        </w:tc>
      </w:tr>
      <w:tr>
        <w:trPr>
          <w:trHeight w:val="270"/>
        </w:trPr>
        <w:tc>
          <w:tcPr>
            <w:tcW w:w="2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 xml:space="preserve">Constant Prepayment Rate </w:t>
            </w:r>
            <w:r>
              <w:rPr>
                <w:rFonts w:ascii="Arial" w:cs="Arial" w:eastAsia="Arial" w:hAnsi="Arial"/>
                <w:sz w:val="8"/>
                <w:szCs w:val="8"/>
                <w:color w:val="auto"/>
              </w:rPr>
              <w:t>1</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11.81%</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24,848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30,508</w:t>
            </w:r>
          </w:p>
        </w:tc>
      </w:tr>
      <w:tr>
        <w:trPr>
          <w:trHeight w:val="264"/>
        </w:trPr>
        <w:tc>
          <w:tcPr>
            <w:tcW w:w="27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 xml:space="preserve">Discount Rate </w:t>
            </w:r>
            <w:r>
              <w:rPr>
                <w:rFonts w:ascii="Arial" w:cs="Arial" w:eastAsia="Arial" w:hAnsi="Arial"/>
                <w:sz w:val="8"/>
                <w:szCs w:val="8"/>
                <w:color w:val="auto"/>
              </w:rPr>
              <w:t>2</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6.96%</w:t>
            </w:r>
          </w:p>
        </w:tc>
        <w:tc>
          <w:tcPr>
            <w:tcW w:w="900" w:type="dxa"/>
            <w:vAlign w:val="bottom"/>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2780" w:type="dxa"/>
            <w:vAlign w:val="bottom"/>
          </w:tcPr>
          <w:p>
            <w:pPr>
              <w:ind w:left="40"/>
              <w:spacing w:after="0"/>
              <w:rPr>
                <w:sz w:val="20"/>
                <w:szCs w:val="20"/>
                <w:color w:val="auto"/>
              </w:rPr>
            </w:pPr>
            <w:r>
              <w:rPr>
                <w:rFonts w:ascii="Arial" w:cs="Arial" w:eastAsia="Arial" w:hAnsi="Arial"/>
                <w:sz w:val="14"/>
                <w:szCs w:val="14"/>
                <w:color w:val="auto"/>
              </w:rPr>
              <w:t>Net Derivative Assets and Liabilities:</w:t>
            </w:r>
          </w:p>
        </w:tc>
        <w:tc>
          <w:tcPr>
            <w:tcW w:w="20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Lock Commitments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Pricing Model</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Closing Ratio</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91.87%</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2,788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871</w:t>
            </w:r>
          </w:p>
        </w:tc>
      </w:tr>
      <w:tr>
        <w:trPr>
          <w:trHeight w:val="258"/>
        </w:trPr>
        <w:tc>
          <w:tcPr>
            <w:tcW w:w="2780" w:type="dxa"/>
            <w:vAlign w:val="bottom"/>
          </w:tcPr>
          <w:p>
            <w:pPr>
              <w:ind w:left="180"/>
              <w:spacing w:after="0"/>
              <w:rPr>
                <w:sz w:val="20"/>
                <w:szCs w:val="20"/>
                <w:color w:val="auto"/>
              </w:rPr>
            </w:pPr>
            <w:r>
              <w:rPr>
                <w:rFonts w:ascii="Arial" w:cs="Arial" w:eastAsia="Arial" w:hAnsi="Arial"/>
                <w:sz w:val="14"/>
                <w:szCs w:val="14"/>
                <w:color w:val="auto"/>
              </w:rPr>
              <w:t>Interest Rate Swap Agreements</w:t>
            </w:r>
          </w:p>
        </w:tc>
        <w:tc>
          <w:tcPr>
            <w:tcW w:w="2040" w:type="dxa"/>
            <w:vAlign w:val="bottom"/>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Credit Factor</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0.20%</w:t>
            </w:r>
          </w:p>
        </w:tc>
        <w:tc>
          <w:tcPr>
            <w:tcW w:w="90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3"/>
              <w:spacing w:after="0"/>
              <w:rPr>
                <w:sz w:val="20"/>
                <w:szCs w:val="20"/>
                <w:color w:val="auto"/>
              </w:rPr>
            </w:pPr>
            <w:r>
              <w:rPr>
                <w:rFonts w:ascii="Arial" w:cs="Arial" w:eastAsia="Arial" w:hAnsi="Arial"/>
                <w:sz w:val="14"/>
                <w:szCs w:val="14"/>
                <w:color w:val="auto"/>
              </w:rPr>
              <w:t>29,123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3,545</w:t>
            </w:r>
          </w:p>
        </w:tc>
      </w:tr>
    </w:tbl>
    <w:p>
      <w:pPr>
        <w:spacing w:after="0" w:line="317" w:lineRule="exact"/>
        <w:rPr>
          <w:sz w:val="20"/>
          <w:szCs w:val="20"/>
          <w:color w:val="auto"/>
        </w:rPr>
      </w:pPr>
    </w:p>
    <w:p>
      <w:pPr>
        <w:ind w:left="80" w:hanging="72"/>
        <w:spacing w:after="0"/>
        <w:tabs>
          <w:tab w:leader="none" w:pos="80" w:val="left"/>
        </w:tabs>
        <w:numPr>
          <w:ilvl w:val="0"/>
          <w:numId w:val="20"/>
        </w:numPr>
        <w:rPr>
          <w:rFonts w:ascii="Arial" w:cs="Arial" w:eastAsia="Arial" w:hAnsi="Arial"/>
          <w:sz w:val="9"/>
          <w:szCs w:val="9"/>
          <w:color w:val="auto"/>
        </w:rPr>
      </w:pPr>
      <w:r>
        <w:rPr>
          <w:rFonts w:ascii="Arial" w:cs="Arial" w:eastAsia="Arial" w:hAnsi="Arial"/>
          <w:sz w:val="14"/>
          <w:szCs w:val="14"/>
          <w:color w:val="auto"/>
        </w:rPr>
        <w:t>Represents annualized loan repayment rate assumption.</w:t>
      </w:r>
    </w:p>
    <w:p>
      <w:pPr>
        <w:spacing w:after="0" w:line="13" w:lineRule="exact"/>
        <w:rPr>
          <w:sz w:val="20"/>
          <w:szCs w:val="20"/>
          <w:color w:val="auto"/>
        </w:rPr>
      </w:pPr>
    </w:p>
    <w:p>
      <w:pPr>
        <w:ind w:left="80" w:hanging="72"/>
        <w:spacing w:after="0"/>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18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model’s results to historical prepayment data. The Treasury Division also compares the fair value of the Company’s mortgage servicing rights to a value calculated by an independent third-party. Discussions are held with members from the Treasury, Mortgage Banking, and Controllers Divisions, along with the independent third-party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the Company’s secondary marketing system using historical data and the ratio is periodically reviewed by the Company for reasonableness.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unobservable input used in the fair value measurement of the Company’s interest rate swap agreements is the credit factor. This factor represents the risk that a counterparty is either unable or unwilling to settle a transaction in accordance with the underlying contractual terms. A significant increase (decrease) in the credit factor could result in a significantly lower (higher) fair value measurement. The credit factor is determined by the Treasury Division based on the risk rating assigned to each counterparty in which the Company holds a net asset position. The Company’s Credit Policy Committee periodically reviews and approves the Expected Default Frequency of the Economic Capital Model for Credit Risk. The Expected Default Frequency is used as the credit factor for interest rate swap agreements.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The following table represents the assets measured at fair value on</w:t>
      </w:r>
    </w:p>
    <w:p>
      <w:pPr>
        <w:ind w:right="2720"/>
        <w:spacing w:after="0" w:line="261" w:lineRule="auto"/>
        <w:rPr>
          <w:sz w:val="20"/>
          <w:szCs w:val="20"/>
          <w:color w:val="auto"/>
        </w:rPr>
      </w:pPr>
      <w:r>
        <w:rPr>
          <w:rFonts w:ascii="Arial" w:cs="Arial" w:eastAsia="Arial" w:hAnsi="Arial"/>
          <w:sz w:val="18"/>
          <w:szCs w:val="18"/>
          <w:color w:val="auto"/>
        </w:rPr>
        <w:t>a nonrecurring basis as of September 30, 2019. There were no assets measured at fair value on a nonrecurring basis as of December 31, 2018.</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rPr>
              <w:t>Net Carrying</w:t>
            </w:r>
          </w:p>
        </w:tc>
        <w:tc>
          <w:tcPr>
            <w:tcW w:w="6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Valuation</w:t>
            </w:r>
          </w:p>
        </w:tc>
      </w:tr>
      <w:tr>
        <w:trPr>
          <w:trHeight w:val="237"/>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 Hierarchy</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Allowance</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September 30, 2019</w:t>
            </w:r>
          </w:p>
        </w:tc>
        <w:tc>
          <w:tcPr>
            <w:tcW w:w="3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6"/>
                <w:szCs w:val="16"/>
                <w:color w:val="auto"/>
              </w:rPr>
              <w:t>Mortgage Servicing Rights - amortization method</w:t>
            </w:r>
          </w:p>
        </w:tc>
        <w:tc>
          <w:tcPr>
            <w:tcW w:w="3100" w:type="dxa"/>
            <w:vAlign w:val="bottom"/>
          </w:tcPr>
          <w:p>
            <w:pPr>
              <w:jc w:val="right"/>
              <w:ind w:right="59"/>
              <w:spacing w:after="0"/>
              <w:rPr>
                <w:sz w:val="20"/>
                <w:szCs w:val="20"/>
                <w:color w:val="auto"/>
              </w:rPr>
            </w:pPr>
            <w:r>
              <w:rPr>
                <w:rFonts w:ascii="Arial" w:cs="Arial" w:eastAsia="Arial" w:hAnsi="Arial"/>
                <w:sz w:val="16"/>
                <w:szCs w:val="16"/>
                <w:color w:val="auto"/>
              </w:rPr>
              <w:t>Level 3</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23,674</w:t>
            </w:r>
          </w:p>
        </w:tc>
        <w:tc>
          <w:tcPr>
            <w:tcW w:w="6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4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4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 Equipment Held for Sale</w:t>
            </w:r>
          </w:p>
        </w:tc>
        <w:tc>
          <w:tcPr>
            <w:tcW w:w="3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Level 3</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33"/>
        </w:trPr>
        <w:tc>
          <w:tcPr>
            <w:tcW w:w="49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write-down of mortgage servicing rights accounted for under the amortization method was primarily due to changes in certain key assumptions used to estimate fair value. As previously mentioned, all of the Company's mortgage servicing rights are classified as Level 3 measurements due to the use of significant unobservable inputs, as well as significant management judgment and estimation. The Company's equipment held for sale at September 30, 2019 represented aircraft parts that were previously on lease agreements. An impairment charge of $0.2 million (included in other noninterest expense in the Company's consolidated statements of income) was recorded in the third quarter of 2019 to reduce the carrying value to estimated fair value less cost to sell based on recent appraisals, market conditions, and management judgment. Due to the use of significant unobservable inputs combined with significant management judgment regarding the fair value of the equipment held for sale, the carrying value was deemed a Level 3 measurement.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September 30, 2019 and December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Aggregate Fair Value</w:t>
            </w:r>
          </w:p>
        </w:tc>
      </w:tr>
      <w:tr>
        <w:trPr>
          <w:trHeight w:val="203"/>
        </w:trPr>
        <w:tc>
          <w:tcPr>
            <w:tcW w:w="36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60" w:type="dxa"/>
            <w:vAlign w:val="bottom"/>
          </w:tcPr>
          <w:p>
            <w:pPr>
              <w:jc w:val="right"/>
              <w:ind w:right="339"/>
              <w:spacing w:after="0"/>
              <w:rPr>
                <w:sz w:val="20"/>
                <w:szCs w:val="20"/>
                <w:color w:val="auto"/>
              </w:rPr>
            </w:pPr>
            <w:r>
              <w:rPr>
                <w:rFonts w:ascii="Arial" w:cs="Arial" w:eastAsia="Arial" w:hAnsi="Arial"/>
                <w:sz w:val="16"/>
                <w:szCs w:val="16"/>
                <w:b w:val="1"/>
                <w:bCs w:val="1"/>
                <w:color w:val="auto"/>
              </w:rPr>
              <w:t>Aggregate</w:t>
            </w:r>
          </w:p>
        </w:tc>
        <w:tc>
          <w:tcPr>
            <w:tcW w:w="720" w:type="dxa"/>
            <w:vAlign w:val="bottom"/>
          </w:tcPr>
          <w:p>
            <w:pPr>
              <w:spacing w:after="0"/>
              <w:rPr>
                <w:sz w:val="17"/>
                <w:szCs w:val="17"/>
                <w:color w:val="auto"/>
              </w:rPr>
            </w:pPr>
          </w:p>
        </w:tc>
        <w:tc>
          <w:tcPr>
            <w:tcW w:w="1380" w:type="dxa"/>
            <w:vAlign w:val="bottom"/>
          </w:tcPr>
          <w:p>
            <w:pPr>
              <w:jc w:val="right"/>
              <w:ind w:right="359"/>
              <w:spacing w:after="0"/>
              <w:rPr>
                <w:sz w:val="20"/>
                <w:szCs w:val="20"/>
                <w:color w:val="auto"/>
              </w:rPr>
            </w:pPr>
            <w:r>
              <w:rPr>
                <w:rFonts w:ascii="Arial" w:cs="Arial" w:eastAsia="Arial" w:hAnsi="Arial"/>
                <w:sz w:val="16"/>
                <w:szCs w:val="16"/>
                <w:b w:val="1"/>
                <w:bCs w:val="1"/>
                <w:color w:val="auto"/>
              </w:rPr>
              <w:t>Aggregate</w:t>
            </w:r>
          </w:p>
        </w:tc>
        <w:tc>
          <w:tcPr>
            <w:tcW w:w="70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w w:val="99"/>
              </w:rPr>
              <w:t>Less Aggregate</w:t>
            </w:r>
          </w:p>
        </w:tc>
      </w:tr>
      <w:tr>
        <w:trPr>
          <w:trHeight w:val="237"/>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c>
          <w:tcPr>
            <w:tcW w:w="210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Unpaid Principal</w:t>
            </w:r>
          </w:p>
        </w:tc>
        <w:tc>
          <w:tcPr>
            <w:tcW w:w="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5"/>
              </w:rPr>
              <w:t>Unpaid Principal</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September 30, 2019</w:t>
            </w:r>
          </w:p>
        </w:tc>
        <w:tc>
          <w:tcPr>
            <w:tcW w:w="2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660" w:type="dxa"/>
            <w:vAlign w:val="bottom"/>
          </w:tcPr>
          <w:p>
            <w:pPr>
              <w:ind w:left="380"/>
              <w:spacing w:after="0"/>
              <w:rPr>
                <w:sz w:val="20"/>
                <w:szCs w:val="20"/>
                <w:color w:val="auto"/>
              </w:rPr>
            </w:pPr>
            <w:r>
              <w:rPr>
                <w:rFonts w:ascii="Arial" w:cs="Arial" w:eastAsia="Arial" w:hAnsi="Arial"/>
                <w:sz w:val="16"/>
                <w:szCs w:val="16"/>
                <w:color w:val="auto"/>
              </w:rPr>
              <w:t>Loans Held for Sale</w:t>
            </w:r>
          </w:p>
        </w:tc>
        <w:tc>
          <w:tcPr>
            <w:tcW w:w="22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39"/>
              <w:spacing w:after="0"/>
              <w:rPr>
                <w:sz w:val="20"/>
                <w:szCs w:val="20"/>
                <w:color w:val="auto"/>
              </w:rPr>
            </w:pPr>
            <w:r>
              <w:rPr>
                <w:rFonts w:ascii="Arial" w:cs="Arial" w:eastAsia="Arial" w:hAnsi="Arial"/>
                <w:sz w:val="16"/>
                <w:szCs w:val="16"/>
                <w:color w:val="auto"/>
              </w:rPr>
              <w:t>36,720</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36,039</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681</w:t>
            </w:r>
          </w:p>
        </w:tc>
      </w:tr>
      <w:tr>
        <w:trPr>
          <w:trHeight w:val="33"/>
        </w:trPr>
        <w:tc>
          <w:tcPr>
            <w:tcW w:w="3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66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2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Loans Held for Sale</w:t>
            </w:r>
          </w:p>
        </w:tc>
        <w:tc>
          <w:tcPr>
            <w:tcW w:w="2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10,987</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10,656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r>
      <w:tr>
        <w:trPr>
          <w:trHeight w:val="33"/>
        </w:trPr>
        <w:tc>
          <w:tcPr>
            <w:tcW w:w="36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three and nine months ended September 30, 2019 and 2018, the net gains or losses from the change in fair value of the Company’s residential mortgage loans held for sale were not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presents the carrying amount, fair value, and placement in the fair value hierarchy of the Company’s financial instruments not recorded at fair value on a recurring basis as of September 30, 2019 and December 31, 2018.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5"/>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5" w:lineRule="exact"/>
              <w:rPr>
                <w:sz w:val="20"/>
                <w:szCs w:val="20"/>
                <w:color w:val="auto"/>
              </w:rPr>
            </w:pPr>
            <w:r>
              <w:rPr>
                <w:rFonts w:ascii="Arial" w:cs="Arial" w:eastAsia="Arial" w:hAnsi="Arial"/>
                <w:sz w:val="15"/>
                <w:szCs w:val="15"/>
                <w:b w:val="1"/>
                <w:bCs w:val="1"/>
                <w:color w:val="auto"/>
              </w:rPr>
              <w:t>Quoted Prices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in Active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Markets for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Significant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Identical</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4"/>
                <w:szCs w:val="14"/>
                <w:color w:val="auto"/>
              </w:rPr>
            </w:pPr>
          </w:p>
        </w:tc>
        <w:tc>
          <w:tcPr>
            <w:tcW w:w="1080" w:type="dxa"/>
            <w:vAlign w:val="bottom"/>
          </w:tcPr>
          <w:p>
            <w:pPr>
              <w:jc w:val="right"/>
              <w:ind w:right="21"/>
              <w:spacing w:after="0" w:line="162" w:lineRule="exact"/>
              <w:rPr>
                <w:sz w:val="20"/>
                <w:szCs w:val="20"/>
                <w:color w:val="auto"/>
              </w:rPr>
            </w:pPr>
            <w:r>
              <w:rPr>
                <w:rFonts w:ascii="Arial" w:cs="Arial" w:eastAsia="Arial" w:hAnsi="Arial"/>
                <w:sz w:val="15"/>
                <w:szCs w:val="15"/>
                <w:b w:val="1"/>
                <w:bCs w:val="1"/>
                <w:color w:val="auto"/>
              </w:rPr>
              <w:t>Significant</w:t>
            </w:r>
          </w:p>
        </w:tc>
      </w:tr>
      <w:tr>
        <w:trPr>
          <w:trHeight w:val="162"/>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Assets 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Observable</w:t>
            </w:r>
          </w:p>
        </w:tc>
        <w:tc>
          <w:tcPr>
            <w:tcW w:w="180" w:type="dxa"/>
            <w:vAlign w:val="bottom"/>
          </w:tcPr>
          <w:p>
            <w:pPr>
              <w:spacing w:after="0"/>
              <w:rPr>
                <w:sz w:val="14"/>
                <w:szCs w:val="14"/>
                <w:color w:val="auto"/>
              </w:rPr>
            </w:pPr>
          </w:p>
        </w:tc>
        <w:tc>
          <w:tcPr>
            <w:tcW w:w="1080" w:type="dxa"/>
            <w:vAlign w:val="bottom"/>
          </w:tcPr>
          <w:p>
            <w:pPr>
              <w:jc w:val="right"/>
              <w:ind w:right="21"/>
              <w:spacing w:after="0" w:line="162" w:lineRule="exact"/>
              <w:rPr>
                <w:sz w:val="20"/>
                <w:szCs w:val="20"/>
                <w:color w:val="auto"/>
              </w:rPr>
            </w:pPr>
            <w:r>
              <w:rPr>
                <w:rFonts w:ascii="Arial" w:cs="Arial" w:eastAsia="Arial" w:hAnsi="Arial"/>
                <w:sz w:val="15"/>
                <w:szCs w:val="15"/>
                <w:b w:val="1"/>
                <w:bCs w:val="1"/>
                <w:color w:val="auto"/>
                <w:w w:val="96"/>
              </w:rPr>
              <w:t>Unobservable</w:t>
            </w:r>
          </w:p>
        </w:tc>
      </w:tr>
      <w:tr>
        <w:trPr>
          <w:trHeight w:val="198"/>
        </w:trPr>
        <w:tc>
          <w:tcPr>
            <w:tcW w:w="3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120"/>
              <w:spacing w:after="0"/>
              <w:rPr>
                <w:sz w:val="20"/>
                <w:szCs w:val="20"/>
                <w:color w:val="auto"/>
              </w:rPr>
            </w:pPr>
            <w:r>
              <w:rPr>
                <w:rFonts w:ascii="Arial" w:cs="Arial" w:eastAsia="Arial" w:hAnsi="Arial"/>
                <w:sz w:val="15"/>
                <w:szCs w:val="15"/>
                <w:b w:val="1"/>
                <w:bCs w:val="1"/>
                <w:color w:val="auto"/>
              </w:rPr>
              <w:t>Carrying</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Liabilities</w:t>
            </w:r>
          </w:p>
        </w:tc>
        <w:tc>
          <w:tcPr>
            <w:tcW w:w="380" w:type="dxa"/>
            <w:vAlign w:val="bottom"/>
          </w:tcPr>
          <w:p>
            <w:pPr>
              <w:spacing w:after="0"/>
              <w:rPr>
                <w:sz w:val="17"/>
                <w:szCs w:val="17"/>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Inputs</w:t>
            </w:r>
          </w:p>
        </w:tc>
        <w:tc>
          <w:tcPr>
            <w:tcW w:w="180" w:type="dxa"/>
            <w:vAlign w:val="bottom"/>
          </w:tcPr>
          <w:p>
            <w:pPr>
              <w:spacing w:after="0"/>
              <w:rPr>
                <w:sz w:val="17"/>
                <w:szCs w:val="17"/>
                <w:color w:val="auto"/>
              </w:rPr>
            </w:pPr>
          </w:p>
        </w:tc>
        <w:tc>
          <w:tcPr>
            <w:tcW w:w="1080" w:type="dxa"/>
            <w:vAlign w:val="bottom"/>
          </w:tcPr>
          <w:p>
            <w:pPr>
              <w:jc w:val="right"/>
              <w:ind w:right="21"/>
              <w:spacing w:after="0"/>
              <w:rPr>
                <w:sz w:val="20"/>
                <w:szCs w:val="20"/>
                <w:color w:val="auto"/>
              </w:rPr>
            </w:pPr>
            <w:r>
              <w:rPr>
                <w:rFonts w:ascii="Arial" w:cs="Arial" w:eastAsia="Arial" w:hAnsi="Arial"/>
                <w:sz w:val="15"/>
                <w:szCs w:val="15"/>
                <w:b w:val="1"/>
                <w:bCs w:val="1"/>
                <w:color w:val="auto"/>
              </w:rPr>
              <w:t>Inputs</w:t>
            </w:r>
          </w:p>
        </w:tc>
      </w:tr>
      <w:tr>
        <w:trPr>
          <w:trHeight w:val="216"/>
        </w:trPr>
        <w:tc>
          <w:tcPr>
            <w:tcW w:w="382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5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5"/>
                <w:szCs w:val="15"/>
                <w:b w:val="1"/>
                <w:bCs w:val="1"/>
                <w:color w:val="auto"/>
              </w:rPr>
              <w:t>Amount</w:t>
            </w:r>
          </w:p>
        </w:tc>
        <w:tc>
          <w:tcPr>
            <w:tcW w:w="42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5"/>
                <w:szCs w:val="15"/>
                <w:b w:val="1"/>
                <w:bCs w:val="1"/>
                <w:color w:val="auto"/>
              </w:rPr>
              <w:t>Fair Value</w:t>
            </w:r>
          </w:p>
        </w:tc>
        <w:tc>
          <w:tcPr>
            <w:tcW w:w="260" w:type="dxa"/>
            <w:vAlign w:val="bottom"/>
          </w:tcPr>
          <w:p>
            <w:pPr>
              <w:spacing w:after="0"/>
              <w:rPr>
                <w:sz w:val="18"/>
                <w:szCs w:val="18"/>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(Level 1)</w:t>
            </w:r>
          </w:p>
        </w:tc>
        <w:tc>
          <w:tcPr>
            <w:tcW w:w="380" w:type="dxa"/>
            <w:vAlign w:val="bottom"/>
          </w:tcPr>
          <w:p>
            <w:pPr>
              <w:spacing w:after="0"/>
              <w:rPr>
                <w:sz w:val="18"/>
                <w:szCs w:val="18"/>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(Level 2)</w:t>
            </w:r>
          </w:p>
        </w:tc>
        <w:tc>
          <w:tcPr>
            <w:tcW w:w="18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Arial" w:cs="Arial" w:eastAsia="Arial" w:hAnsi="Arial"/>
                <w:sz w:val="15"/>
                <w:szCs w:val="15"/>
                <w:b w:val="1"/>
                <w:bCs w:val="1"/>
                <w:color w:val="auto"/>
              </w:rPr>
              <w:t>(Level 3)</w:t>
            </w:r>
          </w:p>
        </w:tc>
      </w:tr>
      <w:tr>
        <w:trPr>
          <w:trHeight w:val="62"/>
        </w:trPr>
        <w:tc>
          <w:tcPr>
            <w:tcW w:w="38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September 30, 2019</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2,946,910</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2,972,273</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355,442</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2,616,831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20" w:type="dxa"/>
            <w:vAlign w:val="bottom"/>
          </w:tcPr>
          <w:p>
            <w:pPr>
              <w:spacing w:after="0"/>
              <w:rPr>
                <w:sz w:val="23"/>
                <w:szCs w:val="23"/>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w w:val="99"/>
              </w:rPr>
              <w:t>10,514,438</w:t>
            </w:r>
          </w:p>
        </w:tc>
        <w:tc>
          <w:tcPr>
            <w:tcW w:w="420" w:type="dxa"/>
            <w:vAlign w:val="bottom"/>
          </w:tcPr>
          <w:p>
            <w:pPr>
              <w:spacing w:after="0"/>
              <w:rPr>
                <w:sz w:val="23"/>
                <w:szCs w:val="23"/>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10,784,711</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10,784,711</w:t>
            </w:r>
          </w:p>
        </w:tc>
      </w:tr>
      <w:tr>
        <w:trPr>
          <w:trHeight w:val="271"/>
        </w:trPr>
        <w:tc>
          <w:tcPr>
            <w:tcW w:w="38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1,806,083</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1,805,230</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1,805,230</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2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604,299</w:t>
            </w:r>
          </w:p>
        </w:tc>
        <w:tc>
          <w:tcPr>
            <w:tcW w:w="420" w:type="dxa"/>
            <w:vAlign w:val="bottom"/>
          </w:tcPr>
          <w:p>
            <w:pPr>
              <w:spacing w:after="0"/>
              <w:rPr>
                <w:sz w:val="20"/>
                <w:szCs w:val="20"/>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633,599</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633,599</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100,000</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100,627</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100,627</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70"/>
        </w:trPr>
        <w:tc>
          <w:tcPr>
            <w:tcW w:w="3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December 31, 2018</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3,482,092</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3,413,994</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352,216</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3,061,778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20" w:type="dxa"/>
            <w:vAlign w:val="bottom"/>
          </w:tcPr>
          <w:p>
            <w:pPr>
              <w:spacing w:after="0"/>
              <w:rPr>
                <w:sz w:val="23"/>
                <w:szCs w:val="23"/>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w w:val="99"/>
              </w:rPr>
              <w:t>10,084,527</w:t>
            </w:r>
          </w:p>
        </w:tc>
        <w:tc>
          <w:tcPr>
            <w:tcW w:w="420" w:type="dxa"/>
            <w:vAlign w:val="bottom"/>
          </w:tcPr>
          <w:p>
            <w:pPr>
              <w:spacing w:after="0"/>
              <w:rPr>
                <w:sz w:val="23"/>
                <w:szCs w:val="23"/>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10,008,417</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10,008,417</w:t>
            </w:r>
          </w:p>
        </w:tc>
      </w:tr>
      <w:tr>
        <w:trPr>
          <w:trHeight w:val="271"/>
        </w:trPr>
        <w:tc>
          <w:tcPr>
            <w:tcW w:w="38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1,745,522</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1,734,447</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1,734,447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2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504,296</w:t>
            </w:r>
          </w:p>
        </w:tc>
        <w:tc>
          <w:tcPr>
            <w:tcW w:w="420" w:type="dxa"/>
            <w:vAlign w:val="bottom"/>
          </w:tcPr>
          <w:p>
            <w:pPr>
              <w:spacing w:after="0"/>
              <w:rPr>
                <w:sz w:val="20"/>
                <w:szCs w:val="20"/>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504,288</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504,288</w:t>
            </w:r>
          </w:p>
        </w:tc>
        <w:tc>
          <w:tcPr>
            <w:tcW w:w="1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125,000</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124,559</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124,559</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Carrying amount is net of unearned income and the Allowance.</w:t>
      </w:r>
    </w:p>
    <w:p>
      <w:pPr>
        <w:spacing w:after="0" w:line="13"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Excludes capitalized lease obligations.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Revenue Recognition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On January 1, 2018, the Company adopted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and all subsequent ASUs that modified Topic 606. The standard’s core principle is that a company will recognize revenue when it transfers promised goods or services to customers in an amount that reflects the consideration to which the company expects to be entitled in exchange for those goods or services. Topic 606 does not apply to revenue associated with financial instruments, including revenue from loans and securities, which comprise the majority of the Company’s revenue. In addition, certain noninterest income streams such as fees associated with mortgage servicing rights, financial guarantees, derivatives, and certain credit card fees are also not within the scope of the new guidance. Topic 606 is applicable to noninterest revenue streams such as trust and asset management income, deposit related fees, interchange fees, merchant income, and annuity and insurance commissions. However, the recognition of these covered revenue streams did not change significantly upon adoption of Topic 606. Substantially all of the Company’s revenue is generated from contracts with customers. Noninterest revenue streams in-scope of Topic 606 are discussed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and Asset Management</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Trust and asset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Charges on Deposit Accounts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fees and monthly service fees is generally satisfied, and the related revenue recognized, over the period in which the service is provided. Check orders and other deposit account related fees are largely transaction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Exchange, and Other Service Charges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Fees, exchange, and other service charges are primarily comprised of debit card income, ATM fees, merchant services income, and other service charges. Debit card income is primarily comprised of interchange fees earned whenever the Company’s debit cards are processed through card payment networks such as Visa. ATM fees are primarily generated when a Company cardholder uses a non-Company ATM or a non-Company cardholder uses a Company ATM. Merchant services income mainly represents fees charged to merchants to process their debit and credit card transactions, in addition to account management fees.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Annuity and Insurance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30" w:right="2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Other noninterest income consists of other recurring revenue streams such as commissions from sales of mutual funds and other investments, investment advisor fees from the Company’s Managed Account Platform Services (MAPS) wealth management product, safety deposit box rental fees, and other miscellaneous revenue streams. Commissions from the sale of mutual funds and other investments are recognized on trade date,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MAPS wealth management product is earned over time and based on an annual percentage rate of the net asset value. The investment advisor fees are charged to the customer’s account in advance on the first month of the quarter, and the revenue is recognized over the following three-month period. 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1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presents noninterest income, segregated by revenue streams in-scope and out-of-scope of Topic 606, for the three and nine months ended September 30, 2019 and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8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Noninterest Income</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60"/>
              <w:spacing w:after="0"/>
              <w:rPr>
                <w:sz w:val="20"/>
                <w:szCs w:val="20"/>
                <w:color w:val="auto"/>
              </w:rPr>
            </w:pPr>
            <w:r>
              <w:rPr>
                <w:rFonts w:ascii="Arial" w:cs="Arial" w:eastAsia="Arial" w:hAnsi="Arial"/>
                <w:sz w:val="16"/>
                <w:szCs w:val="16"/>
                <w:i w:val="1"/>
                <w:iCs w:val="1"/>
                <w:color w:val="auto"/>
              </w:rPr>
              <w:t>In-scope of Topic 606:</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Trust and Asset Management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10,930</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10,782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33,076</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33,319</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Service Charges on Deposit Accounts</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3,268</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3,194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9,912</w:t>
            </w:r>
          </w:p>
        </w:tc>
        <w:tc>
          <w:tcPr>
            <w:tcW w:w="8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9,982</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Fees, Exchange, and Other Service Charges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11,705</w:t>
            </w: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34,859</w:t>
            </w: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34,556</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Annuity and Insurance</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1,251</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1,311</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5,567</w:t>
            </w:r>
          </w:p>
        </w:tc>
        <w:tc>
          <w:tcPr>
            <w:tcW w:w="8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4,251</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2,224</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2,366</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7,200</w:t>
            </w:r>
          </w:p>
        </w:tc>
        <w:tc>
          <w:tcPr>
            <w:tcW w:w="8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7,176</w:t>
            </w:r>
          </w:p>
        </w:tc>
      </w:tr>
      <w:tr>
        <w:trPr>
          <w:trHeight w:val="231"/>
        </w:trPr>
        <w:tc>
          <w:tcPr>
            <w:tcW w:w="526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Noninterest Income (in-scope of Topic 606)</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29,378</w:t>
            </w:r>
          </w:p>
        </w:tc>
        <w:tc>
          <w:tcPr>
            <w:tcW w:w="9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29,159</w:t>
            </w: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90,614</w:t>
            </w:r>
          </w:p>
        </w:tc>
        <w:tc>
          <w:tcPr>
            <w:tcW w:w="8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89,284</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Noninterest Income (out-of-scope of Topic 606)</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17,129</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12,323</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45,022</w:t>
            </w:r>
          </w:p>
        </w:tc>
        <w:tc>
          <w:tcPr>
            <w:tcW w:w="8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37,531</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46,507</w:t>
            </w:r>
          </w:p>
        </w:tc>
        <w:tc>
          <w:tcPr>
            <w:tcW w:w="9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41,482</w:t>
            </w: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135,636</w:t>
            </w:r>
          </w:p>
        </w:tc>
        <w:tc>
          <w:tcPr>
            <w:tcW w:w="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126,815</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such as asset management fees based on month-end market values.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As of September 30, 2019 and December 31, 2018, the Company did not have any significant contract balances.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Leases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A lease is defined as a contract, or part of a contract, that conveys the right to control the use of identified property, plant or equipment for a period of time in exchange for consideration. On January 1, 2019, 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all subsequent ASUs that modified Topic 842. For the Company, Topic 842 primarily affected the accounting treatment for operating lease agreements in which the Company is the lessee.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Substantially all of the leases in which the Company is the lessee are comprised of real estate property for branches, ATM locations, and office space with terms extending through 2052. Portions of certain properties are subleased for terms extending through 2033. Substantially all of the Company’s leases are classified as operating leases, and therefore, were previously not recognized on the Company’s consolidated statements of condition. With the adoption of Topic 842, operating lease agreements are required to be recognized on the consolidated statements of condition as right-of-use (“ROU”) assets and corresponding lease liabilities. The Company has one existing finance lease (previously referred to as a capital lease) for a portion of the Company’s headquarters’ building with a lease term through 2052. As this lease was previously required to be recorded on the Company’s consolidated statements of condition, Topic 842 did not materially impact the accounting for this lease.</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 represents the consolidated statements of condition classification of the Company’s ROU assets and lease liabilities. The Company elected not to include short-term leases (i.e., leases with initial terms of twelve months or less), or equipment leases (deemed immaterial) on the consolidated statements of condition.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0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ind w:left="1340"/>
              <w:spacing w:after="0"/>
              <w:rPr>
                <w:sz w:val="20"/>
                <w:szCs w:val="20"/>
                <w:color w:val="auto"/>
              </w:rPr>
            </w:pPr>
            <w:r>
              <w:rPr>
                <w:rFonts w:ascii="Arial" w:cs="Arial" w:eastAsia="Arial" w:hAnsi="Arial"/>
                <w:sz w:val="16"/>
                <w:szCs w:val="16"/>
                <w:b w:val="1"/>
                <w:bCs w:val="1"/>
                <w:color w:val="auto"/>
                <w:w w:val="96"/>
              </w:rPr>
              <w:t>September 30, 2019</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Lease Right-of-Use Assets</w:t>
            </w:r>
          </w:p>
        </w:tc>
        <w:tc>
          <w:tcPr>
            <w:tcW w:w="50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b w:val="1"/>
                <w:bCs w:val="1"/>
                <w:color w:val="auto"/>
              </w:rPr>
              <w:t>Classification</w:t>
            </w:r>
          </w:p>
        </w:tc>
        <w:tc>
          <w:tcPr>
            <w:tcW w:w="18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4"/>
        </w:trPr>
        <w:tc>
          <w:tcPr>
            <w:tcW w:w="3560" w:type="dxa"/>
            <w:vAlign w:val="bottom"/>
          </w:tcPr>
          <w:p>
            <w:pPr>
              <w:ind w:left="180"/>
              <w:spacing w:after="0"/>
              <w:rPr>
                <w:sz w:val="20"/>
                <w:szCs w:val="20"/>
                <w:color w:val="auto"/>
              </w:rPr>
            </w:pPr>
            <w:r>
              <w:rPr>
                <w:rFonts w:ascii="Arial" w:cs="Arial" w:eastAsia="Arial" w:hAnsi="Arial"/>
                <w:sz w:val="16"/>
                <w:szCs w:val="16"/>
                <w:color w:val="auto"/>
              </w:rPr>
              <w:t>Operating lease right-of-use assets</w:t>
            </w:r>
          </w:p>
        </w:tc>
        <w:tc>
          <w:tcPr>
            <w:tcW w:w="5060" w:type="dxa"/>
            <w:vAlign w:val="bottom"/>
          </w:tcPr>
          <w:p>
            <w:pPr>
              <w:ind w:left="1300"/>
              <w:spacing w:after="0"/>
              <w:rPr>
                <w:sz w:val="20"/>
                <w:szCs w:val="20"/>
                <w:color w:val="auto"/>
              </w:rPr>
            </w:pPr>
            <w:r>
              <w:rPr>
                <w:rFonts w:ascii="Arial" w:cs="Arial" w:eastAsia="Arial" w:hAnsi="Arial"/>
                <w:sz w:val="16"/>
                <w:szCs w:val="16"/>
                <w:color w:val="auto"/>
              </w:rPr>
              <w:t>Operating Lease Right-of-Use Assets</w:t>
            </w:r>
          </w:p>
        </w:tc>
        <w:tc>
          <w:tcPr>
            <w:tcW w:w="1800" w:type="dxa"/>
            <w:vAlign w:val="bottom"/>
          </w:tcPr>
          <w:p>
            <w:pPr>
              <w:ind w:left="13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101,005</w:t>
            </w:r>
          </w:p>
        </w:tc>
      </w:tr>
      <w:tr>
        <w:trPr>
          <w:trHeight w:val="33"/>
        </w:trPr>
        <w:tc>
          <w:tcPr>
            <w:tcW w:w="35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2"/>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Finance lease right-of-use assets</w:t>
            </w:r>
          </w:p>
        </w:tc>
        <w:tc>
          <w:tcPr>
            <w:tcW w:w="50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Premises and Equipment, Net</w:t>
            </w:r>
          </w:p>
        </w:tc>
        <w:tc>
          <w:tcPr>
            <w:tcW w:w="18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2,394</w:t>
            </w:r>
          </w:p>
        </w:tc>
      </w:tr>
      <w:tr>
        <w:trPr>
          <w:trHeight w:val="231"/>
        </w:trPr>
        <w:tc>
          <w:tcPr>
            <w:tcW w:w="3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Lease Right-of-Use Assets</w:t>
            </w:r>
          </w:p>
        </w:tc>
        <w:tc>
          <w:tcPr>
            <w:tcW w:w="50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ind w:left="136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103,399</w:t>
            </w:r>
          </w:p>
        </w:tc>
      </w:tr>
      <w:tr>
        <w:trPr>
          <w:trHeight w:val="73"/>
        </w:trPr>
        <w:tc>
          <w:tcPr>
            <w:tcW w:w="3560" w:type="dxa"/>
            <w:vAlign w:val="bottom"/>
            <w:tcBorders>
              <w:bottom w:val="single" w:sz="8" w:color="auto"/>
            </w:tcBorders>
          </w:tcPr>
          <w:p>
            <w:pPr>
              <w:spacing w:after="0"/>
              <w:rPr>
                <w:sz w:val="6"/>
                <w:szCs w:val="6"/>
                <w:color w:val="auto"/>
              </w:rPr>
            </w:pPr>
          </w:p>
        </w:tc>
        <w:tc>
          <w:tcPr>
            <w:tcW w:w="50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51"/>
        </w:trPr>
        <w:tc>
          <w:tcPr>
            <w:tcW w:w="3560" w:type="dxa"/>
            <w:vAlign w:val="bottom"/>
            <w:shd w:val="clear" w:color="auto" w:fill="CCEEFF"/>
          </w:tcPr>
          <w:p>
            <w:pPr>
              <w:spacing w:after="0"/>
              <w:rPr>
                <w:sz w:val="21"/>
                <w:szCs w:val="21"/>
                <w:color w:val="auto"/>
              </w:rPr>
            </w:pPr>
          </w:p>
        </w:tc>
        <w:tc>
          <w:tcPr>
            <w:tcW w:w="506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Lease Liabilities</w:t>
            </w:r>
          </w:p>
        </w:tc>
        <w:tc>
          <w:tcPr>
            <w:tcW w:w="50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50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Operating Lease Liabilities</w:t>
            </w:r>
          </w:p>
        </w:tc>
        <w:tc>
          <w:tcPr>
            <w:tcW w:w="18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108,264</w:t>
            </w:r>
          </w:p>
        </w:tc>
      </w:tr>
      <w:tr>
        <w:trPr>
          <w:trHeight w:val="224"/>
        </w:trPr>
        <w:tc>
          <w:tcPr>
            <w:tcW w:w="3560" w:type="dxa"/>
            <w:vAlign w:val="bottom"/>
          </w:tcPr>
          <w:p>
            <w:pPr>
              <w:ind w:left="180"/>
              <w:spacing w:after="0"/>
              <w:rPr>
                <w:sz w:val="20"/>
                <w:szCs w:val="20"/>
                <w:color w:val="auto"/>
              </w:rPr>
            </w:pPr>
            <w:r>
              <w:rPr>
                <w:rFonts w:ascii="Arial" w:cs="Arial" w:eastAsia="Arial" w:hAnsi="Arial"/>
                <w:sz w:val="16"/>
                <w:szCs w:val="16"/>
                <w:color w:val="auto"/>
              </w:rPr>
              <w:t>Finance lease liabilities</w:t>
            </w:r>
          </w:p>
        </w:tc>
        <w:tc>
          <w:tcPr>
            <w:tcW w:w="5060" w:type="dxa"/>
            <w:vAlign w:val="bottom"/>
          </w:tcPr>
          <w:p>
            <w:pPr>
              <w:ind w:left="1300"/>
              <w:spacing w:after="0"/>
              <w:rPr>
                <w:sz w:val="20"/>
                <w:szCs w:val="20"/>
                <w:color w:val="auto"/>
              </w:rPr>
            </w:pPr>
            <w:r>
              <w:rPr>
                <w:rFonts w:ascii="Arial" w:cs="Arial" w:eastAsia="Arial" w:hAnsi="Arial"/>
                <w:sz w:val="16"/>
                <w:szCs w:val="16"/>
                <w:color w:val="auto"/>
              </w:rPr>
              <w:t>Other Debt</w:t>
            </w:r>
          </w:p>
        </w:tc>
        <w:tc>
          <w:tcPr>
            <w:tcW w:w="18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10,585</w:t>
            </w:r>
          </w:p>
        </w:tc>
      </w:tr>
      <w:tr>
        <w:trPr>
          <w:trHeight w:val="33"/>
        </w:trPr>
        <w:tc>
          <w:tcPr>
            <w:tcW w:w="356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Lease Liabilities</w:t>
            </w:r>
          </w:p>
        </w:tc>
        <w:tc>
          <w:tcPr>
            <w:tcW w:w="50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118,849</w:t>
            </w:r>
          </w:p>
        </w:tc>
      </w:tr>
      <w:tr>
        <w:trPr>
          <w:trHeight w:val="20"/>
        </w:trPr>
        <w:tc>
          <w:tcPr>
            <w:tcW w:w="3560" w:type="dxa"/>
            <w:vAlign w:val="bottom"/>
            <w:tcBorders>
              <w:top w:val="single" w:sz="8" w:color="auto"/>
              <w:bottom w:val="single" w:sz="8" w:color="auto"/>
            </w:tcBorders>
          </w:tcPr>
          <w:p>
            <w:pPr>
              <w:spacing w:after="0" w:line="20" w:lineRule="exact"/>
              <w:rPr>
                <w:sz w:val="1"/>
                <w:szCs w:val="1"/>
                <w:color w:val="auto"/>
              </w:rPr>
            </w:pPr>
          </w:p>
        </w:tc>
        <w:tc>
          <w:tcPr>
            <w:tcW w:w="50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calculated amount of the ROU assets and lease liabilities in the table above are impacted by the length of the lease term and the discount rate used to present value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 asset and lease liability. Regarding the discount rate, Topic 842 requires the use of the rate implicit in the lease whenever this rate is readily determinable. As this rate is rarely determinable, the Company utilizes its incremental borrowing rate at lease inception, on a collateralized basis, over a similar term. For operating leases existing prior to January 1, 2019, the rate for the remaining lease term as of January 1, 2019 was used. For the Company’s only finance lease, the Company utilized its incremental borrowing rate at lease inception.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508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 2019</w:t>
            </w:r>
          </w:p>
        </w:tc>
      </w:tr>
      <w:tr>
        <w:trPr>
          <w:trHeight w:val="33"/>
        </w:trPr>
        <w:tc>
          <w:tcPr>
            <w:tcW w:w="634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Weighted-average remaining lease term</w:t>
            </w:r>
          </w:p>
        </w:tc>
        <w:tc>
          <w:tcPr>
            <w:tcW w:w="5080" w:type="dxa"/>
            <w:vAlign w:val="bottom"/>
            <w:tcBorders>
              <w:bottom w:val="single" w:sz="8" w:color="CCEEFF"/>
            </w:tcBorders>
            <w:shd w:val="clear" w:color="auto" w:fill="CCEEFF"/>
          </w:tcPr>
          <w:p>
            <w:pPr>
              <w:spacing w:after="0"/>
              <w:rPr>
                <w:sz w:val="21"/>
                <w:szCs w:val="21"/>
                <w:color w:val="auto"/>
              </w:rPr>
            </w:pPr>
          </w:p>
        </w:tc>
      </w:tr>
      <w:tr>
        <w:trPr>
          <w:trHeight w:val="237"/>
        </w:trPr>
        <w:tc>
          <w:tcPr>
            <w:tcW w:w="634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5080" w:type="dxa"/>
            <w:vAlign w:val="bottom"/>
          </w:tcPr>
          <w:p>
            <w:pPr>
              <w:jc w:val="right"/>
              <w:ind w:right="79"/>
              <w:spacing w:after="0"/>
              <w:rPr>
                <w:sz w:val="20"/>
                <w:szCs w:val="20"/>
                <w:color w:val="auto"/>
              </w:rPr>
            </w:pPr>
            <w:r>
              <w:rPr>
                <w:rFonts w:ascii="Arial" w:cs="Arial" w:eastAsia="Arial" w:hAnsi="Arial"/>
                <w:sz w:val="16"/>
                <w:szCs w:val="16"/>
                <w:color w:val="auto"/>
              </w:rPr>
              <w:t>17.1 years</w:t>
            </w:r>
          </w:p>
        </w:tc>
      </w:tr>
      <w:tr>
        <w:trPr>
          <w:trHeight w:val="33"/>
        </w:trPr>
        <w:tc>
          <w:tcPr>
            <w:tcW w:w="634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37"/>
        </w:trPr>
        <w:tc>
          <w:tcPr>
            <w:tcW w:w="6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5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33.3 years</w:t>
            </w:r>
          </w:p>
        </w:tc>
      </w:tr>
      <w:tr>
        <w:trPr>
          <w:trHeight w:val="33"/>
        </w:trPr>
        <w:tc>
          <w:tcPr>
            <w:tcW w:w="6340" w:type="dxa"/>
            <w:vAlign w:val="bottom"/>
            <w:shd w:val="clear" w:color="auto" w:fill="CCEEFF"/>
          </w:tcPr>
          <w:p>
            <w:pPr>
              <w:spacing w:after="0"/>
              <w:rPr>
                <w:sz w:val="2"/>
                <w:szCs w:val="2"/>
                <w:color w:val="auto"/>
              </w:rPr>
            </w:pPr>
          </w:p>
        </w:tc>
        <w:tc>
          <w:tcPr>
            <w:tcW w:w="5080" w:type="dxa"/>
            <w:vAlign w:val="bottom"/>
            <w:shd w:val="clear" w:color="auto" w:fill="CCEEFF"/>
          </w:tcPr>
          <w:p>
            <w:pPr>
              <w:spacing w:after="0"/>
              <w:rPr>
                <w:sz w:val="2"/>
                <w:szCs w:val="2"/>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ind w:left="40"/>
              <w:spacing w:after="0"/>
              <w:rPr>
                <w:sz w:val="20"/>
                <w:szCs w:val="20"/>
                <w:color w:val="auto"/>
              </w:rPr>
            </w:pPr>
            <w:r>
              <w:rPr>
                <w:rFonts w:ascii="Arial" w:cs="Arial" w:eastAsia="Arial" w:hAnsi="Arial"/>
                <w:sz w:val="16"/>
                <w:szCs w:val="16"/>
                <w:b w:val="1"/>
                <w:bCs w:val="1"/>
                <w:color w:val="auto"/>
              </w:rPr>
              <w:t>Weighted-average discount rate</w:t>
            </w:r>
          </w:p>
        </w:tc>
        <w:tc>
          <w:tcPr>
            <w:tcW w:w="482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4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37"/>
        </w:trPr>
        <w:tc>
          <w:tcPr>
            <w:tcW w:w="660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4820" w:type="dxa"/>
            <w:vAlign w:val="bottom"/>
          </w:tcPr>
          <w:p>
            <w:pPr>
              <w:jc w:val="right"/>
              <w:spacing w:after="0"/>
              <w:rPr>
                <w:sz w:val="20"/>
                <w:szCs w:val="20"/>
                <w:color w:val="auto"/>
              </w:rPr>
            </w:pPr>
            <w:r>
              <w:rPr>
                <w:rFonts w:ascii="Arial" w:cs="Arial" w:eastAsia="Arial" w:hAnsi="Arial"/>
                <w:sz w:val="16"/>
                <w:szCs w:val="16"/>
                <w:color w:val="auto"/>
              </w:rPr>
              <w:t>7.04%</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represents lease costs and other lease information. As the Company elected, for all classes of underlying assets, not to separate lease and non-lease components and instead to account for them as a single lease component, the variable lease cost primarily represents variable payments such as common area maintenance and utilities. Variable lease cost also includes payments for ATM location leases in which payments are based on a percentage of ATM transactions (i.e., ATM surcharge fees), rather than a fixed amount.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b w:val="1"/>
                <w:bCs w:val="1"/>
                <w:color w:val="auto"/>
                <w:w w:val="99"/>
              </w:rPr>
              <w:t>Nine Months Ended</w:t>
            </w:r>
          </w:p>
        </w:tc>
      </w:tr>
      <w:tr>
        <w:trPr>
          <w:trHeight w:val="237"/>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September 30, 2019</w:t>
            </w: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September 30, 2019</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Lease Costs</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6300" w:type="dxa"/>
            <w:vAlign w:val="bottom"/>
          </w:tcPr>
          <w:p>
            <w:pPr>
              <w:ind w:left="380"/>
              <w:spacing w:after="0"/>
              <w:rPr>
                <w:sz w:val="20"/>
                <w:szCs w:val="20"/>
                <w:color w:val="auto"/>
              </w:rPr>
            </w:pPr>
            <w:r>
              <w:rPr>
                <w:rFonts w:ascii="Arial" w:cs="Arial" w:eastAsia="Arial" w:hAnsi="Arial"/>
                <w:sz w:val="16"/>
                <w:szCs w:val="16"/>
                <w:color w:val="auto"/>
              </w:rPr>
              <w:t>Operating lease cost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3,136</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9,495</w:t>
            </w:r>
          </w:p>
        </w:tc>
      </w:tr>
      <w:tr>
        <w:trPr>
          <w:trHeight w:val="33"/>
        </w:trPr>
        <w:tc>
          <w:tcPr>
            <w:tcW w:w="6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Variable lease cost</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998</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2,592</w:t>
            </w:r>
          </w:p>
        </w:tc>
      </w:tr>
      <w:tr>
        <w:trPr>
          <w:trHeight w:val="237"/>
        </w:trPr>
        <w:tc>
          <w:tcPr>
            <w:tcW w:w="6300" w:type="dxa"/>
            <w:vAlign w:val="bottom"/>
          </w:tcPr>
          <w:p>
            <w:pPr>
              <w:ind w:left="380"/>
              <w:spacing w:after="0"/>
              <w:rPr>
                <w:sz w:val="20"/>
                <w:szCs w:val="20"/>
                <w:color w:val="auto"/>
              </w:rPr>
            </w:pPr>
            <w:r>
              <w:rPr>
                <w:rFonts w:ascii="Arial" w:cs="Arial" w:eastAsia="Arial" w:hAnsi="Arial"/>
                <w:sz w:val="16"/>
                <w:szCs w:val="16"/>
                <w:color w:val="auto"/>
              </w:rPr>
              <w:t>Short-term lease cost</w:t>
            </w:r>
          </w:p>
        </w:tc>
        <w:tc>
          <w:tcPr>
            <w:tcW w:w="1320" w:type="dxa"/>
            <w:vAlign w:val="bottom"/>
          </w:tcPr>
          <w:p>
            <w:pPr>
              <w:spacing w:after="0"/>
              <w:rPr>
                <w:sz w:val="20"/>
                <w:szCs w:val="20"/>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153</w:t>
            </w:r>
          </w:p>
        </w:tc>
        <w:tc>
          <w:tcPr>
            <w:tcW w:w="3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370</w:t>
            </w:r>
          </w:p>
        </w:tc>
      </w:tr>
      <w:tr>
        <w:trPr>
          <w:trHeight w:val="33"/>
        </w:trPr>
        <w:tc>
          <w:tcPr>
            <w:tcW w:w="6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Finance lease cost</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70"/>
        </w:trPr>
        <w:tc>
          <w:tcPr>
            <w:tcW w:w="6300" w:type="dxa"/>
            <w:vAlign w:val="bottom"/>
          </w:tcPr>
          <w:p>
            <w:pPr>
              <w:ind w:left="520"/>
              <w:spacing w:after="0"/>
              <w:rPr>
                <w:sz w:val="20"/>
                <w:szCs w:val="20"/>
                <w:color w:val="auto"/>
              </w:rPr>
            </w:pPr>
            <w:r>
              <w:rPr>
                <w:rFonts w:ascii="Arial" w:cs="Arial" w:eastAsia="Arial" w:hAnsi="Arial"/>
                <w:sz w:val="16"/>
                <w:szCs w:val="16"/>
                <w:color w:val="auto"/>
              </w:rPr>
              <w:t xml:space="preserve">Interest on lease liabilities </w:t>
            </w:r>
            <w:r>
              <w:rPr>
                <w:rFonts w:ascii="Arial" w:cs="Arial" w:eastAsia="Arial" w:hAnsi="Arial"/>
                <w:sz w:val="21"/>
                <w:szCs w:val="21"/>
                <w:color w:val="auto"/>
                <w:vertAlign w:val="superscript"/>
              </w:rPr>
              <w:t>1</w:t>
            </w:r>
          </w:p>
        </w:tc>
        <w:tc>
          <w:tcPr>
            <w:tcW w:w="1320" w:type="dxa"/>
            <w:vAlign w:val="bottom"/>
          </w:tcPr>
          <w:p>
            <w:pPr>
              <w:spacing w:after="0"/>
              <w:rPr>
                <w:sz w:val="23"/>
                <w:szCs w:val="23"/>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187</w:t>
            </w:r>
          </w:p>
        </w:tc>
        <w:tc>
          <w:tcPr>
            <w:tcW w:w="3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561</w:t>
            </w:r>
          </w:p>
        </w:tc>
      </w:tr>
      <w:tr>
        <w:trPr>
          <w:trHeight w:val="250"/>
        </w:trPr>
        <w:tc>
          <w:tcPr>
            <w:tcW w:w="6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Amortization of right-of-use assets</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37"/>
        </w:trPr>
        <w:tc>
          <w:tcPr>
            <w:tcW w:w="6300" w:type="dxa"/>
            <w:vAlign w:val="bottom"/>
          </w:tcPr>
          <w:p>
            <w:pPr>
              <w:ind w:left="380"/>
              <w:spacing w:after="0"/>
              <w:rPr>
                <w:sz w:val="20"/>
                <w:szCs w:val="20"/>
                <w:color w:val="auto"/>
              </w:rPr>
            </w:pPr>
            <w:r>
              <w:rPr>
                <w:rFonts w:ascii="Arial" w:cs="Arial" w:eastAsia="Arial" w:hAnsi="Arial"/>
                <w:sz w:val="16"/>
                <w:szCs w:val="16"/>
                <w:color w:val="auto"/>
              </w:rPr>
              <w:t>Sublease income</w:t>
            </w:r>
          </w:p>
        </w:tc>
        <w:tc>
          <w:tcPr>
            <w:tcW w:w="1320" w:type="dxa"/>
            <w:vAlign w:val="bottom"/>
          </w:tcPr>
          <w:p>
            <w:pPr>
              <w:spacing w:after="0"/>
              <w:rPr>
                <w:sz w:val="20"/>
                <w:szCs w:val="20"/>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(2,122)</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(6,383)</w:t>
            </w:r>
          </w:p>
        </w:tc>
      </w:tr>
      <w:tr>
        <w:trPr>
          <w:trHeight w:val="33"/>
        </w:trPr>
        <w:tc>
          <w:tcPr>
            <w:tcW w:w="6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lease cost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2,370</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6,689</w:t>
            </w:r>
          </w:p>
        </w:tc>
      </w:tr>
      <w:tr>
        <w:trPr>
          <w:trHeight w:val="20"/>
        </w:trPr>
        <w:tc>
          <w:tcPr>
            <w:tcW w:w="6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Information</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6300" w:type="dxa"/>
            <w:vAlign w:val="bottom"/>
          </w:tcPr>
          <w:p>
            <w:pPr>
              <w:ind w:left="38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6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Operating cash flows from operating leases</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3,259</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9,584</w:t>
            </w:r>
          </w:p>
        </w:tc>
      </w:tr>
      <w:tr>
        <w:trPr>
          <w:trHeight w:val="237"/>
        </w:trPr>
        <w:tc>
          <w:tcPr>
            <w:tcW w:w="6300" w:type="dxa"/>
            <w:vAlign w:val="bottom"/>
          </w:tcPr>
          <w:p>
            <w:pPr>
              <w:ind w:left="520"/>
              <w:spacing w:after="0"/>
              <w:rPr>
                <w:sz w:val="20"/>
                <w:szCs w:val="20"/>
                <w:color w:val="auto"/>
              </w:rPr>
            </w:pPr>
            <w:r>
              <w:rPr>
                <w:rFonts w:ascii="Arial" w:cs="Arial" w:eastAsia="Arial" w:hAnsi="Arial"/>
                <w:sz w:val="16"/>
                <w:szCs w:val="16"/>
                <w:color w:val="auto"/>
              </w:rPr>
              <w:t>Operating cash flows from finance leases</w:t>
            </w:r>
          </w:p>
        </w:tc>
        <w:tc>
          <w:tcPr>
            <w:tcW w:w="1320" w:type="dxa"/>
            <w:vAlign w:val="bottom"/>
          </w:tcPr>
          <w:p>
            <w:pPr>
              <w:spacing w:after="0"/>
              <w:rPr>
                <w:sz w:val="20"/>
                <w:szCs w:val="20"/>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187</w:t>
            </w:r>
          </w:p>
        </w:tc>
        <w:tc>
          <w:tcPr>
            <w:tcW w:w="3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561</w:t>
            </w:r>
          </w:p>
        </w:tc>
      </w:tr>
      <w:tr>
        <w:trPr>
          <w:trHeight w:val="33"/>
        </w:trPr>
        <w:tc>
          <w:tcPr>
            <w:tcW w:w="6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Financing cash flows from finance leases</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70"/>
        </w:trPr>
        <w:tc>
          <w:tcPr>
            <w:tcW w:w="6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392</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2,117</w:t>
            </w:r>
          </w:p>
        </w:tc>
      </w:tr>
      <w:tr>
        <w:trPr>
          <w:trHeight w:val="237"/>
        </w:trPr>
        <w:tc>
          <w:tcPr>
            <w:tcW w:w="6300" w:type="dxa"/>
            <w:vAlign w:val="bottom"/>
          </w:tcPr>
          <w:p>
            <w:pPr>
              <w:ind w:left="380"/>
              <w:spacing w:after="0"/>
              <w:rPr>
                <w:sz w:val="20"/>
                <w:szCs w:val="20"/>
                <w:color w:val="auto"/>
              </w:rPr>
            </w:pPr>
            <w:r>
              <w:rPr>
                <w:rFonts w:ascii="Arial" w:cs="Arial" w:eastAsia="Arial" w:hAnsi="Arial"/>
                <w:sz w:val="16"/>
                <w:szCs w:val="16"/>
                <w:color w:val="auto"/>
              </w:rPr>
              <w:t>Right-of-use assets obtained in exchange for new finance lease liabilities</w:t>
            </w:r>
          </w:p>
        </w:tc>
        <w:tc>
          <w:tcPr>
            <w:tcW w:w="1320" w:type="dxa"/>
            <w:vAlign w:val="bottom"/>
          </w:tcPr>
          <w:p>
            <w:pPr>
              <w:spacing w:after="0"/>
              <w:rPr>
                <w:sz w:val="20"/>
                <w:szCs w:val="20"/>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22"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9"/>
          <w:szCs w:val="9"/>
          <w:color w:val="auto"/>
        </w:rPr>
      </w:pPr>
      <w:r>
        <w:rPr>
          <w:rFonts w:ascii="Arial" w:cs="Arial" w:eastAsia="Arial" w:hAnsi="Arial"/>
          <w:sz w:val="14"/>
          <w:szCs w:val="14"/>
          <w:color w:val="auto"/>
        </w:rPr>
        <w:t>Included in other debt interest expense in the Company’s consolidated statements of income. All other lease costs in this table are included in net occupancy expense.</w:t>
      </w:r>
    </w:p>
    <w:p>
      <w:pPr>
        <w:spacing w:after="0" w:line="22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Future minimum payments for finance leases and operating leases with initial or remaining terms of one year or more as of September 30, 2019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5"/>
              </w:rPr>
              <w:t>Finance Leases</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8"/>
              </w:rPr>
              <w:t>Operating Leases</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Twelve Months Ended:</w:t>
            </w:r>
          </w:p>
        </w:tc>
        <w:tc>
          <w:tcPr>
            <w:tcW w:w="2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September 30, 2020</w:t>
            </w:r>
          </w:p>
        </w:tc>
        <w:tc>
          <w:tcPr>
            <w:tcW w:w="2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12,059</w:t>
            </w:r>
          </w:p>
        </w:tc>
      </w:tr>
      <w:tr>
        <w:trPr>
          <w:trHeight w:val="33"/>
        </w:trPr>
        <w:tc>
          <w:tcPr>
            <w:tcW w:w="5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September 30, 2021</w:t>
            </w:r>
          </w:p>
        </w:tc>
        <w:tc>
          <w:tcPr>
            <w:tcW w:w="2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11,338</w:t>
            </w: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September 30, 2022</w:t>
            </w:r>
          </w:p>
        </w:tc>
        <w:tc>
          <w:tcPr>
            <w:tcW w:w="2240" w:type="dxa"/>
            <w:vAlign w:val="bottom"/>
          </w:tcPr>
          <w:p>
            <w:pPr>
              <w:spacing w:after="0"/>
              <w:rPr>
                <w:sz w:val="20"/>
                <w:szCs w:val="20"/>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10,700</w:t>
            </w:r>
          </w:p>
        </w:tc>
      </w:tr>
      <w:tr>
        <w:trPr>
          <w:trHeight w:val="33"/>
        </w:trPr>
        <w:tc>
          <w:tcPr>
            <w:tcW w:w="5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September 30, 2023</w:t>
            </w:r>
          </w:p>
        </w:tc>
        <w:tc>
          <w:tcPr>
            <w:tcW w:w="2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9,824</w:t>
            </w: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September 30, 2024</w:t>
            </w:r>
          </w:p>
        </w:tc>
        <w:tc>
          <w:tcPr>
            <w:tcW w:w="2240" w:type="dxa"/>
            <w:vAlign w:val="bottom"/>
          </w:tcPr>
          <w:p>
            <w:pPr>
              <w:spacing w:after="0"/>
              <w:rPr>
                <w:sz w:val="20"/>
                <w:szCs w:val="20"/>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8,558</w:t>
            </w:r>
          </w:p>
        </w:tc>
      </w:tr>
      <w:tr>
        <w:trPr>
          <w:trHeight w:val="33"/>
        </w:trPr>
        <w:tc>
          <w:tcPr>
            <w:tcW w:w="5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2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23,311</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102,033</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Future Minimum Lease Payments</w:t>
            </w:r>
          </w:p>
        </w:tc>
        <w:tc>
          <w:tcPr>
            <w:tcW w:w="2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27,436</w:t>
            </w: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154,512</w:t>
            </w:r>
          </w:p>
        </w:tc>
      </w:tr>
      <w:tr>
        <w:trPr>
          <w:trHeight w:val="33"/>
        </w:trPr>
        <w:tc>
          <w:tcPr>
            <w:tcW w:w="5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Representing Interest</w:t>
            </w:r>
          </w:p>
        </w:tc>
        <w:tc>
          <w:tcPr>
            <w:tcW w:w="2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(16,851)</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(46,248)</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Present Value of Net Future Minimum Lease Payments</w:t>
            </w:r>
          </w:p>
        </w:tc>
        <w:tc>
          <w:tcPr>
            <w:tcW w:w="2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10,585</w:t>
            </w: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108,264</w:t>
            </w:r>
          </w:p>
        </w:tc>
      </w:tr>
      <w:tr>
        <w:trPr>
          <w:trHeight w:val="33"/>
        </w:trPr>
        <w:tc>
          <w:tcPr>
            <w:tcW w:w="58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unanticipated changes in the securities markets, public debt markets, and other capital markets in the U.S. and internationally, including, without limitation, the anticipated elimination of the London Interbank Offered Rate (“LIBOR”) as a benchmark interest rate; 3) competitive pressures in the markets for financial services and products; 4) the impact of legislative and regulatory initiatives, particularly the Dodd-Frank Wall Street Reform and Consumer Protection Act of 2010 (the “Dodd-Frank Act”) and Economic Growth, Regulatory Relief, and Consumer Protection Act of 2018; 5) changes in fiscal and monetary policies of the markets in which we operate; 6) the increased cost of maintaining or the Company’s ability to maintain adequate liquidity and capital, based on the requirements adopted by the Basel Committee on Banking Supervision and U.S. regulators; 7) actual or alleged conduct which could harm our reputation; 8) changes in accounting standards; 9) changes in tax laws or regulations, including Public Law 115-97, commonly known as the Tax Cuts and Jobs Act, or the interpretation of such laws and regulations; 10) changes in our credit quality or risk profile that may increase or decrease the required level of our reserve for credit losses; 11) changes in market interest rates that may affect credit markets and our ability to maintain our net interest margin; 12) the impact of litigation and regulatory investigations of the Company, including costs, expenses, settlements, and judgments; 13) any failure in or breach of our operational systems, information systems or infrastructure, or those of our customers, third-party vendors and other service providers; 14) any interruption or breach of security of our information systems resulting in failures or disruptions in customer account management, general ledger processing, and loan or deposit systems; 15) changes to the amount and timing of proposed common stock repurchases; and 16) natural disasters, public unrest or adverse weather, public health, and other conditions impacting us and our customers’ operations or negatively impacting the tourism industry in Hawaii.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II of this report and Part I of our Annual Report on Form 10-K for the year ended December 31, 2018, and subsequent periodic and current reports filed with the SEC.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30" w:right="2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The Parent’s principal operating subsidiary is Bank of Hawaii (the “Bank”).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Bank, directly and through its subsidiaries, provides a broad range of financial services and products to businesses, consumers, and governments in Hawaii, Guam, and other Pacific Islands. References to “we,” “our,” “us,” or the “Company” refer to the Parent and its subsidiaries that are consolidated for financial reporting purposes.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business strategy is to use our unique market knowledge, prudent management discipline and brand strength to deliver exceptional value to our stakeholders.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General economic conditions in Hawaii remained positive during the third quarter of 2019 although recent trends indicate a more modest growth rate for the State going forward. The statewide seasonally-adjusted unemployment rate continued to remain low at 2.7% in September 2019, well below the 3.5% unemployment rate nationally.</w:t>
      </w:r>
    </w:p>
    <w:p>
      <w:pPr>
        <w:spacing w:after="0" w:line="18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real estate market on Oahu remained active during the first nine months of 2019. For the first nine months of 2019, single-family home sales increased 0.8% and condominium sales declined 6.7% compared with the same period in 2018. The median sales price of a single-family home and condominium decreased 0.5% and 1.0%, respectively, for the first nine months of 2019 compared to the same period in 2018. As of September 30, 2019, months of inventory of single-family homes and condominiums on Oahu were 3.5 months and 3.9 months, respectively.</w:t>
      </w:r>
    </w:p>
    <w:p>
      <w:pPr>
        <w:spacing w:after="0" w:line="17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For the first eight months of 2019, total visitor arrivals increased 5.2% and air seat capacity increased 2.5% compared to the same period in 2018 supported by strong growth in air capacity. For the first eight months of 2019, visitor spending decreased 0.5% despite the continued growth in arrivals.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income for the third quarter of 2019 was $52.1 million, a decrease of $4.9 million or 9% compared to the same period in 2018. Diluted earnings per share was $1.29 for the third quarter of 2019, a decrease of $0.07 or 5% compared to the same period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lower earnings for the third quarter of 2019 were primarily due to the following:</w:t>
      </w:r>
    </w:p>
    <w:p>
      <w:pPr>
        <w:spacing w:after="0" w:line="225" w:lineRule="exact"/>
        <w:rPr>
          <w:sz w:val="20"/>
          <w:szCs w:val="20"/>
          <w:color w:val="auto"/>
        </w:rPr>
      </w:pPr>
    </w:p>
    <w:p>
      <w:pPr>
        <w:ind w:left="340" w:right="26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other expense for the third quarter of 2019 was $14.3 million, an increase of $6.0 million or 39% compared to the same period in 2018 primarily due to a $6.0 million increase in legal reserves for a tentative settlement of a class action lawsuit regarding the Company’s overdraft practices.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salaries and benefits expense increased by $2.6 million or 5% in the third quarter of 2019 compared to the same period in 2018 primarily due to a</w:t>
      </w:r>
    </w:p>
    <w:p>
      <w:pPr>
        <w:spacing w:after="0" w:line="46" w:lineRule="exact"/>
        <w:rPr>
          <w:rFonts w:ascii="Arial" w:cs="Arial" w:eastAsia="Arial" w:hAnsi="Arial"/>
          <w:sz w:val="16"/>
          <w:szCs w:val="16"/>
          <w:color w:val="auto"/>
        </w:rPr>
      </w:pPr>
    </w:p>
    <w:p>
      <w:pPr>
        <w:ind w:left="340"/>
        <w:spacing w:after="0" w:line="255" w:lineRule="auto"/>
        <w:rPr>
          <w:rFonts w:ascii="Arial" w:cs="Arial" w:eastAsia="Arial" w:hAnsi="Arial"/>
          <w:sz w:val="16"/>
          <w:szCs w:val="16"/>
          <w:color w:val="auto"/>
        </w:rPr>
      </w:pPr>
      <w:r>
        <w:rPr>
          <w:rFonts w:ascii="Arial" w:cs="Arial" w:eastAsia="Arial" w:hAnsi="Arial"/>
          <w:sz w:val="18"/>
          <w:szCs w:val="18"/>
          <w:color w:val="auto"/>
        </w:rPr>
        <w:t>$0.8 million increase in separation expense coupled with a $0.7 million increase in commission expense primarily due to an increase in mortgage banking production volume as refinancing activity increased. Incentive compensation increased by $0.3 million. Medical, dental, and life insurance increased by $0.3 million.</w:t>
      </w:r>
    </w:p>
    <w:p>
      <w:pPr>
        <w:spacing w:after="0" w:line="190" w:lineRule="exact"/>
        <w:rPr>
          <w:rFonts w:ascii="Arial" w:cs="Arial" w:eastAsia="Arial" w:hAnsi="Arial"/>
          <w:sz w:val="16"/>
          <w:szCs w:val="16"/>
          <w:color w:val="auto"/>
        </w:rPr>
      </w:pPr>
    </w:p>
    <w:p>
      <w:pPr>
        <w:ind w:left="340" w:right="140" w:hanging="332"/>
        <w:spacing w:after="0" w:line="31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provision for income taxes for the third quarter of 2019 was $14.8 million, an increase of $1.6 million or 12% compared to the same period in 2018 primarily due to a higher effective tax rate. The effective tax rate for the third quarter of 2019 was 22.08%, compared to 18.75% for the same period in 2018. This increase was primarily due to a reduced tax benefit from municipal bonds, which were sold in 2019 as part of a portfolio repositioning.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partially offset by the following</w:t>
      </w:r>
    </w:p>
    <w:p>
      <w:pPr>
        <w:spacing w:after="0" w:line="225" w:lineRule="exact"/>
        <w:rPr>
          <w:sz w:val="20"/>
          <w:szCs w:val="20"/>
          <w:color w:val="auto"/>
        </w:rPr>
      </w:pPr>
    </w:p>
    <w:p>
      <w:pPr>
        <w:ind w:left="340" w:right="8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Mortgage banking income for the third quarter of 2019 was $4.9 million, an increase of $2.9 million or 148% compared to the same period in 2018. This increase was primarily due to increased sales of conforming saleable loans from current production.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340" w:hanging="332"/>
        <w:spacing w:after="0" w:line="276"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Net interest income was $124.9 million for the third quarter of 2019, an increase of $2.0 million or 2% compared to the same period in 2018. This increase was primarily due to a higher level of earning assets, including growth in both our commercial and consumer lending portfolios. The higher level of earning assets was primarily funded by higher deposit balances. Net interest margin was 3.01% in the third quarter of 2019, a six basis point decrease from the same period in 2018. We experienced higher yields in both our investment securities portfolio and loan portfolios, which were offset by higher rates paid on our interest-bearing deposits, a reflection of the higher short-term rate environment.</w:t>
      </w:r>
    </w:p>
    <w:p>
      <w:pPr>
        <w:spacing w:after="0" w:line="17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noninterest income for the third quarter of 2019 was $6.8 million, an increase of $1.7 million or 34% compared to the same period in 2018 primarily due to a $2.6 million increase in fees related to our customer interest rate swap derivatives. This increase was partially offset by a decrease in net gain on sale of leased assets of $0.6 million.</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income for the first nine months of 2019 was $167.8 million, an increase of $2.1 million or 1% compared to the same period in 2018. Diluted earnings per share was $4.11 for the first nine months of 2019, an increase of $0.18 or 5% compared to the same period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higher earnings for the first nine months of 2019 were primarily due to the following:</w:t>
      </w:r>
    </w:p>
    <w:p>
      <w:pPr>
        <w:spacing w:after="0" w:line="225" w:lineRule="exact"/>
        <w:rPr>
          <w:sz w:val="20"/>
          <w:szCs w:val="20"/>
          <w:color w:val="auto"/>
        </w:rPr>
      </w:pPr>
    </w:p>
    <w:p>
      <w:pPr>
        <w:ind w:left="340" w:right="160" w:hanging="332"/>
        <w:spacing w:after="0" w:line="272"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Net interest income was $373.8 million for the first nine months of 2019, an increase of $11.5 million or 3% compared to the same period in 2018. This increase was primarily due to a higher level of earning assets, including growth in both our commercial and consumer lending portfolios. The higher level of earning assets was primarily funded by higher deposit balances. Net interest margin was 3.05% for the first nine months of 2019, an increase of one basis point compared to the same period in 2018 primarily due to our loans, which generally have higher yields than our investment securities, comprising a larger percentage of our earning assets compared to 2018. In addition, yields increased for our commercial loans due to higher variable rates. Our investments portfolio yields also increased due to higher variable rates on our floating rate securities coupled with lower premium amortization. These increases were partially offset by higher funding costs.</w:t>
      </w:r>
    </w:p>
    <w:p>
      <w:pPr>
        <w:spacing w:after="0" w:line="177" w:lineRule="exact"/>
        <w:rPr>
          <w:rFonts w:ascii="Arial" w:cs="Arial" w:eastAsia="Arial" w:hAnsi="Arial"/>
          <w:sz w:val="17"/>
          <w:szCs w:val="17"/>
          <w:color w:val="auto"/>
        </w:rPr>
      </w:pPr>
    </w:p>
    <w:p>
      <w:pPr>
        <w:ind w:left="340" w:right="1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Mortgage banking income for the first nine months of 2019 was $10.5 million, an increase of $4.2 million or 67% compared to the same period in 2018. This increase was primarily due to increased sales of conforming saleable loans from current production.</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FDIC insurance for the first nine months of 2019 was $3.8 million, a decrease of $2.6 million or 40% compared to the same period in 2018 due to the end of an FDIC surcharge in September 2018 and a decrease in FDIC assessment rates.</w:t>
      </w:r>
    </w:p>
    <w:p>
      <w:pPr>
        <w:spacing w:after="0" w:line="170" w:lineRule="exact"/>
        <w:rPr>
          <w:rFonts w:ascii="Arial" w:cs="Arial" w:eastAsia="Arial" w:hAnsi="Arial"/>
          <w:sz w:val="18"/>
          <w:szCs w:val="18"/>
          <w:color w:val="auto"/>
        </w:rPr>
      </w:pPr>
    </w:p>
    <w:p>
      <w:pPr>
        <w:ind w:left="340" w:right="36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Annuity and insurance income for the first nine months of 2019 was $5.7 million, an increase of $1.2 million or 28% compared to the same period in 2018 primarily due to a one-time commission received related to insurance products offered through a third-party administrator.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the following:</w:t>
      </w:r>
    </w:p>
    <w:p>
      <w:pPr>
        <w:spacing w:after="0" w:line="225" w:lineRule="exact"/>
        <w:rPr>
          <w:sz w:val="20"/>
          <w:szCs w:val="20"/>
          <w:color w:val="auto"/>
        </w:rPr>
      </w:pPr>
    </w:p>
    <w:p>
      <w:pPr>
        <w:ind w:left="340" w:right="200" w:hanging="332"/>
        <w:spacing w:after="0" w:line="30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provision for income taxes for the first nine months of 2019 was $44.3 million, an increase of $8.0 million or 22% compared to the same period in 2018 primarily due to higher pre-tax income. The effective tax rate for the first nine months of 2019 was 20.89%, compared to 18.00% for the same period in 2018. The increase was primarily due to a $2.0 million basis adjustment to the company’s low income housing investments in the first quarter of 2018 and the coupled with the reduced tax benefit from municipal bonds, which were sold as part of a portfolio repositioning.</w:t>
      </w:r>
    </w:p>
    <w:p>
      <w:pPr>
        <w:spacing w:after="0" w:line="73" w:lineRule="exact"/>
        <w:rPr>
          <w:rFonts w:ascii="Arial" w:cs="Arial" w:eastAsia="Arial" w:hAnsi="Arial"/>
          <w:sz w:val="16"/>
          <w:szCs w:val="16"/>
          <w:color w:val="auto"/>
        </w:rPr>
      </w:pPr>
    </w:p>
    <w:p>
      <w:pPr>
        <w:jc w:val="both"/>
        <w:ind w:left="340" w:right="160" w:hanging="332"/>
        <w:spacing w:after="0" w:line="31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salaries and benefits expense for the first nine months of 2019 was $164.4 million, an increase of $6.1 million or 4% compared to the same period in 2018. Incentive compensation increased by $2.1 million. Medical, dental, and life insurance increased by $1.4 million primarily due to an increase in group health plan costs. In addition, commission expense increased by $1.1 million primarily due to increased mortgage banking production.</w:t>
      </w:r>
    </w:p>
    <w:p>
      <w:pPr>
        <w:spacing w:after="0" w:line="65" w:lineRule="exact"/>
        <w:rPr>
          <w:rFonts w:ascii="Arial" w:cs="Arial" w:eastAsia="Arial" w:hAnsi="Arial"/>
          <w:sz w:val="16"/>
          <w:szCs w:val="16"/>
          <w:color w:val="auto"/>
        </w:rPr>
      </w:pPr>
    </w:p>
    <w:p>
      <w:pPr>
        <w:ind w:left="340" w:right="50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other expense was $50.8 million, an increase of $3.4 million or 7% for the first nine months of 2019 compared to the same period in 2018, primarily due to a $6.0 million legal reserve recorded in September 2019 related to the tentative settlement of a class action lawsuit regarding the Company’s overdraft practices. This increase was partially offset by a $2.6 million decrease in credit card expense due to the completed sale of our MyBankoh Rewards Credit Card portfolio on November 1, 2018.</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maintained a strong balance sheet during the third quarter of 2019, with what we believe are adequate reserves for credit losses and high levels of liquidity and capital.</w:t>
      </w:r>
    </w:p>
    <w:p>
      <w:pPr>
        <w:spacing w:after="0" w:line="89" w:lineRule="exact"/>
        <w:rPr>
          <w:sz w:val="20"/>
          <w:szCs w:val="20"/>
          <w:color w:val="auto"/>
        </w:rPr>
      </w:pPr>
    </w:p>
    <w:p>
      <w:pPr>
        <w:ind w:left="340" w:right="16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loans and leases were $10.9 billion as of September 30, 2019, an increase of $432.5 million or 4% from December 31, 2018 due to growth in both our consumer and commercial lending portfolios.</w:t>
      </w:r>
    </w:p>
    <w:p>
      <w:pPr>
        <w:spacing w:after="0" w:line="89"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allowance for loan and lease losses (the “Allowance”) was $108.9 million as of September 30, 2019, an increase of $2.2 million or 2% from December 31, 2018. The Allowance represents 1.00% of total loans and leases outstanding as of September 30, 2019 and 1.02% of total loans and leases outstanding as of December 31, 2018. The level of our Allowance was commensurate with the Company’s credit risk profile, loan portfolio growth and composition, and a healthy Hawaii economy.</w:t>
      </w:r>
    </w:p>
    <w:p>
      <w:pPr>
        <w:spacing w:after="0" w:line="105" w:lineRule="exact"/>
        <w:rPr>
          <w:rFonts w:ascii="Arial" w:cs="Arial" w:eastAsia="Arial" w:hAnsi="Arial"/>
          <w:sz w:val="18"/>
          <w:szCs w:val="18"/>
          <w:color w:val="auto"/>
        </w:rPr>
      </w:pPr>
    </w:p>
    <w:p>
      <w:pPr>
        <w:ind w:left="340" w:right="20" w:hanging="332"/>
        <w:spacing w:after="0" w:line="273"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of September 30, 2019, the total carrying value of our investment securities portfolio was $5.5 billion, an increase of $51.3 million or 1% compared to December 31, 2018. On June 10, 2019, prepayable debt securities with a carrying value of $1.0 billion and a net unrealized gain of $3.1 million were transferred from held-to-maturity to available-for-sale. The reclassified securities consisted of mortgage-backed securities issued by government agencies and U.S. government-sponsored enterprises, municipal debt securities, and corporate debt securities. During the first nine months of 2019 we reduced our positions in municipal debt securities and certain mortgage-backed securities as part of a portfolio repositioning. Ginnie Mae mortgage-backed securities continue to be the largest concentration in our portfolio.</w:t>
      </w:r>
    </w:p>
    <w:p>
      <w:pPr>
        <w:spacing w:after="0" w:line="97"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deposits were $15.3 billion as of September 30, 2019, an increase of $313.5 million or 2% from December 31, 2018 primarily due to an increase in consumer deposits.</w:t>
      </w:r>
    </w:p>
    <w:p>
      <w:pPr>
        <w:spacing w:after="0" w:line="89" w:lineRule="exact"/>
        <w:rPr>
          <w:rFonts w:ascii="Arial" w:cs="Arial" w:eastAsia="Arial" w:hAnsi="Arial"/>
          <w:sz w:val="18"/>
          <w:szCs w:val="18"/>
          <w:color w:val="auto"/>
        </w:rPr>
      </w:pPr>
    </w:p>
    <w:p>
      <w:pPr>
        <w:ind w:left="340" w:right="100" w:hanging="332"/>
        <w:spacing w:after="0" w:line="297"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Total shareholders’ equity was $1.3 billion as of September 30, 2019, relatively unchanged from December 31, 2018. We continued to return capital to our shareholders in the form of share repurchases and dividends. During the first nine months of 2019, we acquired 1,341,623 shares of our common stock at a total cost of $107.9 million under our share repurchase program and from shares obtained from employees and/or directors in connection with income tax withholdings related to the vesting of restricted stock and shares purchased for a deferred compensation plan, less shares distributed from the deferred compensation plan. We also paid cash dividends of $78.5 million during the first nine months of 2019.</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4"/>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66"/>
        </w:trPr>
        <w:tc>
          <w:tcPr>
            <w:tcW w:w="5200" w:type="dxa"/>
            <w:vAlign w:val="bottom"/>
            <w:gridSpan w:val="5"/>
          </w:tcPr>
          <w:p>
            <w:pPr>
              <w:spacing w:after="0"/>
              <w:rPr>
                <w:sz w:val="20"/>
                <w:szCs w:val="20"/>
                <w:color w:val="auto"/>
              </w:rPr>
            </w:pPr>
            <w:r>
              <w:rPr>
                <w:rFonts w:ascii="Arial" w:cs="Arial" w:eastAsia="Arial" w:hAnsi="Arial"/>
                <w:sz w:val="18"/>
                <w:szCs w:val="18"/>
                <w:color w:val="auto"/>
              </w:rPr>
              <w:t>Our financial highlights are presented in Table 1.</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13"/>
        </w:trPr>
        <w:tc>
          <w:tcPr>
            <w:tcW w:w="5200" w:type="dxa"/>
            <w:vAlign w:val="bottom"/>
            <w:gridSpan w:val="5"/>
          </w:tcPr>
          <w:p>
            <w:pPr>
              <w:ind w:left="40"/>
              <w:spacing w:after="0"/>
              <w:rPr>
                <w:sz w:val="20"/>
                <w:szCs w:val="20"/>
                <w:color w:val="auto"/>
              </w:rPr>
            </w:pPr>
            <w:r>
              <w:rPr>
                <w:rFonts w:ascii="Arial" w:cs="Arial" w:eastAsia="Arial" w:hAnsi="Arial"/>
                <w:sz w:val="18"/>
                <w:szCs w:val="18"/>
                <w:b w:val="1"/>
                <w:bCs w:val="1"/>
                <w:color w:val="auto"/>
              </w:rPr>
              <w:t>Financial Highlights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6"/>
                <w:szCs w:val="16"/>
                <w:b w:val="1"/>
                <w:bCs w:val="1"/>
                <w:color w:val="auto"/>
              </w:rPr>
              <w:t>Table 1</w:t>
            </w:r>
          </w:p>
        </w:tc>
      </w:tr>
      <w:tr>
        <w:trPr>
          <w:trHeight w:val="27"/>
        </w:trPr>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r>
      <w:tr>
        <w:trPr>
          <w:trHeight w:val="256"/>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60" w:type="dxa"/>
            <w:vAlign w:val="bottom"/>
            <w:gridSpan w:val="4"/>
          </w:tcPr>
          <w:p>
            <w:pPr>
              <w:ind w:left="46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22"/>
                <w:szCs w:val="22"/>
                <w:color w:val="auto"/>
              </w:rPr>
            </w:pPr>
          </w:p>
        </w:tc>
        <w:tc>
          <w:tcPr>
            <w:tcW w:w="2780" w:type="dxa"/>
            <w:vAlign w:val="bottom"/>
            <w:gridSpan w:val="3"/>
          </w:tcPr>
          <w:p>
            <w:pPr>
              <w:jc w:val="right"/>
              <w:ind w:right="768"/>
              <w:spacing w:after="0"/>
              <w:rPr>
                <w:sz w:val="20"/>
                <w:szCs w:val="20"/>
                <w:color w:val="auto"/>
              </w:rPr>
            </w:pPr>
            <w:r>
              <w:rPr>
                <w:rFonts w:ascii="Arial" w:cs="Arial" w:eastAsia="Arial" w:hAnsi="Arial"/>
                <w:sz w:val="15"/>
                <w:szCs w:val="15"/>
                <w:b w:val="1"/>
                <w:bCs w:val="1"/>
                <w:color w:val="auto"/>
              </w:rPr>
              <w:t>Nine Months Ended</w:t>
            </w:r>
          </w:p>
        </w:tc>
      </w:tr>
      <w:tr>
        <w:trPr>
          <w:trHeight w:val="274"/>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5"/>
                <w:szCs w:val="15"/>
                <w:b w:val="1"/>
                <w:bCs w:val="1"/>
                <w:color w:val="auto"/>
              </w:rPr>
              <w:t>September 30,</w:t>
            </w:r>
          </w:p>
        </w:tc>
      </w:tr>
      <w:tr>
        <w:trPr>
          <w:trHeight w:val="264"/>
        </w:trPr>
        <w:tc>
          <w:tcPr>
            <w:tcW w:w="520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color w:val="auto"/>
              </w:rPr>
              <w:t>(dollars in thousands, except per share amounts)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rPr>
              <w:t>2019</w:t>
            </w: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b w:val="1"/>
                <w:bCs w:val="1"/>
                <w:color w:val="auto"/>
              </w:rPr>
              <w:t>2019</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2018</w:t>
            </w:r>
          </w:p>
        </w:tc>
      </w:tr>
      <w:tr>
        <w:trPr>
          <w:trHeight w:val="227"/>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For the Period: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Operating Results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124,896</w:t>
            </w:r>
          </w:p>
        </w:tc>
        <w:tc>
          <w:tcPr>
            <w:tcW w:w="6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122,927</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373,830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362,379</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Provision for Credit Losses</w:t>
            </w:r>
          </w:p>
        </w:tc>
        <w:tc>
          <w:tcPr>
            <w:tcW w:w="360" w:type="dxa"/>
            <w:vAlign w:val="bottom"/>
          </w:tcPr>
          <w:p>
            <w:pPr>
              <w:spacing w:after="0"/>
              <w:rPr>
                <w:sz w:val="22"/>
                <w:szCs w:val="22"/>
                <w:color w:val="auto"/>
              </w:rPr>
            </w:pPr>
          </w:p>
        </w:tc>
        <w:tc>
          <w:tcPr>
            <w:tcW w:w="1140" w:type="dxa"/>
            <w:vAlign w:val="bottom"/>
          </w:tcPr>
          <w:p>
            <w:pPr>
              <w:jc w:val="right"/>
              <w:ind w:right="167"/>
              <w:spacing w:after="0"/>
              <w:rPr>
                <w:sz w:val="20"/>
                <w:szCs w:val="20"/>
                <w:color w:val="auto"/>
              </w:rPr>
            </w:pPr>
            <w:r>
              <w:rPr>
                <w:rFonts w:ascii="Arial" w:cs="Arial" w:eastAsia="Arial" w:hAnsi="Arial"/>
                <w:sz w:val="14"/>
                <w:szCs w:val="14"/>
                <w:color w:val="auto"/>
              </w:rPr>
              <w:t>4,250</w:t>
            </w:r>
          </w:p>
        </w:tc>
        <w:tc>
          <w:tcPr>
            <w:tcW w:w="6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3,800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11,250</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11,425</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Noninterest Income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46,507</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41,482</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135,636</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126,815</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Noninterest Expense</w:t>
            </w:r>
          </w:p>
        </w:tc>
        <w:tc>
          <w:tcPr>
            <w:tcW w:w="360" w:type="dxa"/>
            <w:vAlign w:val="bottom"/>
          </w:tcPr>
          <w:p>
            <w:pPr>
              <w:spacing w:after="0"/>
              <w:rPr>
                <w:sz w:val="22"/>
                <w:szCs w:val="22"/>
                <w:color w:val="auto"/>
              </w:rPr>
            </w:pPr>
          </w:p>
        </w:tc>
        <w:tc>
          <w:tcPr>
            <w:tcW w:w="1140" w:type="dxa"/>
            <w:vAlign w:val="bottom"/>
          </w:tcPr>
          <w:p>
            <w:pPr>
              <w:jc w:val="right"/>
              <w:ind w:right="167"/>
              <w:spacing w:after="0"/>
              <w:rPr>
                <w:sz w:val="20"/>
                <w:szCs w:val="20"/>
                <w:color w:val="auto"/>
              </w:rPr>
            </w:pPr>
            <w:r>
              <w:rPr>
                <w:rFonts w:ascii="Arial" w:cs="Arial" w:eastAsia="Arial" w:hAnsi="Arial"/>
                <w:sz w:val="14"/>
                <w:szCs w:val="14"/>
                <w:color w:val="auto"/>
              </w:rPr>
              <w:t>100,349</w:t>
            </w:r>
          </w:p>
        </w:tc>
        <w:tc>
          <w:tcPr>
            <w:tcW w:w="6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90,538</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286,131</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275,713</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52,052</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56,933</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167,770</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165,691</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Basic Earnings Per Share</w:t>
            </w:r>
          </w:p>
        </w:tc>
        <w:tc>
          <w:tcPr>
            <w:tcW w:w="360" w:type="dxa"/>
            <w:vAlign w:val="bottom"/>
          </w:tcPr>
          <w:p>
            <w:pPr>
              <w:spacing w:after="0"/>
              <w:rPr>
                <w:sz w:val="22"/>
                <w:szCs w:val="22"/>
                <w:color w:val="auto"/>
              </w:rPr>
            </w:pPr>
          </w:p>
        </w:tc>
        <w:tc>
          <w:tcPr>
            <w:tcW w:w="1140" w:type="dxa"/>
            <w:vAlign w:val="bottom"/>
          </w:tcPr>
          <w:p>
            <w:pPr>
              <w:jc w:val="right"/>
              <w:ind w:right="167"/>
              <w:spacing w:after="0"/>
              <w:rPr>
                <w:sz w:val="20"/>
                <w:szCs w:val="20"/>
                <w:color w:val="auto"/>
              </w:rPr>
            </w:pPr>
            <w:r>
              <w:rPr>
                <w:rFonts w:ascii="Arial" w:cs="Arial" w:eastAsia="Arial" w:hAnsi="Arial"/>
                <w:sz w:val="14"/>
                <w:szCs w:val="14"/>
                <w:color w:val="auto"/>
              </w:rPr>
              <w:t>1.30</w:t>
            </w:r>
          </w:p>
        </w:tc>
        <w:tc>
          <w:tcPr>
            <w:tcW w:w="6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1.37</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4.14</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3.96</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1.29</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4.11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3.93</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Dividends Declared Per Share</w:t>
            </w:r>
          </w:p>
        </w:tc>
        <w:tc>
          <w:tcPr>
            <w:tcW w:w="360" w:type="dxa"/>
            <w:vAlign w:val="bottom"/>
          </w:tcPr>
          <w:p>
            <w:pPr>
              <w:spacing w:after="0"/>
              <w:rPr>
                <w:sz w:val="22"/>
                <w:szCs w:val="22"/>
                <w:color w:val="auto"/>
              </w:rPr>
            </w:pPr>
          </w:p>
        </w:tc>
        <w:tc>
          <w:tcPr>
            <w:tcW w:w="1140" w:type="dxa"/>
            <w:vAlign w:val="bottom"/>
          </w:tcPr>
          <w:p>
            <w:pPr>
              <w:jc w:val="right"/>
              <w:ind w:right="167"/>
              <w:spacing w:after="0"/>
              <w:rPr>
                <w:sz w:val="20"/>
                <w:szCs w:val="20"/>
                <w:color w:val="auto"/>
              </w:rPr>
            </w:pPr>
            <w:r>
              <w:rPr>
                <w:rFonts w:ascii="Arial" w:cs="Arial" w:eastAsia="Arial" w:hAnsi="Arial"/>
                <w:sz w:val="14"/>
                <w:szCs w:val="14"/>
                <w:color w:val="auto"/>
              </w:rPr>
              <w:t>0.65</w:t>
            </w:r>
          </w:p>
        </w:tc>
        <w:tc>
          <w:tcPr>
            <w:tcW w:w="6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0.60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1.92</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1.72</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Performance Ratios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Return on Average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1.17%</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Return on Average Shareholders’ Equity</w:t>
            </w:r>
          </w:p>
        </w:tc>
        <w:tc>
          <w:tcPr>
            <w:tcW w:w="360" w:type="dxa"/>
            <w:vAlign w:val="bottom"/>
          </w:tcPr>
          <w:p>
            <w:pPr>
              <w:spacing w:after="0"/>
              <w:rPr>
                <w:sz w:val="22"/>
                <w:szCs w:val="22"/>
                <w:color w:val="auto"/>
              </w:rPr>
            </w:pPr>
          </w:p>
        </w:tc>
        <w:tc>
          <w:tcPr>
            <w:tcW w:w="1140" w:type="dxa"/>
            <w:vAlign w:val="bottom"/>
          </w:tcPr>
          <w:p>
            <w:pPr>
              <w:jc w:val="right"/>
              <w:ind w:right="167"/>
              <w:spacing w:after="0"/>
              <w:rPr>
                <w:sz w:val="20"/>
                <w:szCs w:val="20"/>
                <w:color w:val="auto"/>
              </w:rPr>
            </w:pPr>
            <w:r>
              <w:rPr>
                <w:rFonts w:ascii="Arial" w:cs="Arial" w:eastAsia="Arial" w:hAnsi="Arial"/>
                <w:sz w:val="14"/>
                <w:szCs w:val="14"/>
                <w:color w:val="auto"/>
              </w:rPr>
              <w:t>16.02</w:t>
            </w:r>
          </w:p>
        </w:tc>
        <w:tc>
          <w:tcPr>
            <w:tcW w:w="6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18.06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17.58</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17.83</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58.55</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55.07</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56.16</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56.36</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360" w:type="dxa"/>
            <w:vAlign w:val="bottom"/>
          </w:tcPr>
          <w:p>
            <w:pPr>
              <w:spacing w:after="0"/>
              <w:rPr>
                <w:sz w:val="22"/>
                <w:szCs w:val="22"/>
                <w:color w:val="auto"/>
              </w:rPr>
            </w:pPr>
          </w:p>
        </w:tc>
        <w:tc>
          <w:tcPr>
            <w:tcW w:w="1140" w:type="dxa"/>
            <w:vAlign w:val="bottom"/>
          </w:tcPr>
          <w:p>
            <w:pPr>
              <w:jc w:val="right"/>
              <w:ind w:right="167"/>
              <w:spacing w:after="0"/>
              <w:rPr>
                <w:sz w:val="20"/>
                <w:szCs w:val="20"/>
                <w:color w:val="auto"/>
              </w:rPr>
            </w:pPr>
            <w:r>
              <w:rPr>
                <w:rFonts w:ascii="Arial" w:cs="Arial" w:eastAsia="Arial" w:hAnsi="Arial"/>
                <w:sz w:val="14"/>
                <w:szCs w:val="14"/>
                <w:color w:val="auto"/>
              </w:rPr>
              <w:t>3.01</w:t>
            </w:r>
          </w:p>
        </w:tc>
        <w:tc>
          <w:tcPr>
            <w:tcW w:w="6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3.07</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3.05</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3.04</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Dividend Payout Ratio </w:t>
            </w:r>
            <w:r>
              <w:rPr>
                <w:rFonts w:ascii="Arial" w:cs="Arial" w:eastAsia="Arial" w:hAnsi="Arial"/>
                <w:sz w:val="8"/>
                <w:szCs w:val="8"/>
                <w:color w:val="auto"/>
              </w:rPr>
              <w:t>3</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50.00</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43.80</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46.38</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43.43</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 to Average Assets</w:t>
            </w:r>
          </w:p>
        </w:tc>
        <w:tc>
          <w:tcPr>
            <w:tcW w:w="360" w:type="dxa"/>
            <w:vAlign w:val="bottom"/>
          </w:tcPr>
          <w:p>
            <w:pPr>
              <w:spacing w:after="0"/>
              <w:rPr>
                <w:sz w:val="22"/>
                <w:szCs w:val="22"/>
                <w:color w:val="auto"/>
              </w:rPr>
            </w:pPr>
          </w:p>
        </w:tc>
        <w:tc>
          <w:tcPr>
            <w:tcW w:w="1140" w:type="dxa"/>
            <w:vAlign w:val="bottom"/>
          </w:tcPr>
          <w:p>
            <w:pPr>
              <w:jc w:val="right"/>
              <w:ind w:right="167"/>
              <w:spacing w:after="0"/>
              <w:rPr>
                <w:sz w:val="20"/>
                <w:szCs w:val="20"/>
                <w:color w:val="auto"/>
              </w:rPr>
            </w:pPr>
            <w:r>
              <w:rPr>
                <w:rFonts w:ascii="Arial" w:cs="Arial" w:eastAsia="Arial" w:hAnsi="Arial"/>
                <w:sz w:val="14"/>
                <w:szCs w:val="14"/>
                <w:color w:val="auto"/>
              </w:rPr>
              <w:t>7.32</w:t>
            </w:r>
          </w:p>
        </w:tc>
        <w:tc>
          <w:tcPr>
            <w:tcW w:w="6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7.35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7.31</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7.32</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Average Balances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Average Loans and Leases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10,770,720</w:t>
            </w:r>
          </w:p>
        </w:tc>
        <w:tc>
          <w:tcPr>
            <w:tcW w:w="6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10,081,886</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10,624,311</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9,950,518</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Average Assets</w:t>
            </w:r>
          </w:p>
        </w:tc>
        <w:tc>
          <w:tcPr>
            <w:tcW w:w="360" w:type="dxa"/>
            <w:vAlign w:val="bottom"/>
          </w:tcPr>
          <w:p>
            <w:pPr>
              <w:spacing w:after="0"/>
              <w:rPr>
                <w:sz w:val="22"/>
                <w:szCs w:val="22"/>
                <w:color w:val="auto"/>
              </w:rPr>
            </w:pPr>
          </w:p>
        </w:tc>
        <w:tc>
          <w:tcPr>
            <w:tcW w:w="1140" w:type="dxa"/>
            <w:vAlign w:val="bottom"/>
          </w:tcPr>
          <w:p>
            <w:pPr>
              <w:jc w:val="right"/>
              <w:ind w:right="167"/>
              <w:spacing w:after="0"/>
              <w:rPr>
                <w:sz w:val="20"/>
                <w:szCs w:val="20"/>
                <w:color w:val="auto"/>
              </w:rPr>
            </w:pPr>
            <w:r>
              <w:rPr>
                <w:rFonts w:ascii="Arial" w:cs="Arial" w:eastAsia="Arial" w:hAnsi="Arial"/>
                <w:sz w:val="14"/>
                <w:szCs w:val="14"/>
                <w:color w:val="auto"/>
              </w:rPr>
              <w:t>17,605,394</w:t>
            </w:r>
          </w:p>
        </w:tc>
        <w:tc>
          <w:tcPr>
            <w:tcW w:w="6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17,015,340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17,442,054</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16,965,075</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Average Deposits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15,330,691</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14,820,480</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15,156,275</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14,750,382</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w:t>
            </w:r>
          </w:p>
        </w:tc>
        <w:tc>
          <w:tcPr>
            <w:tcW w:w="360" w:type="dxa"/>
            <w:vAlign w:val="bottom"/>
          </w:tcPr>
          <w:p>
            <w:pPr>
              <w:spacing w:after="0"/>
              <w:rPr>
                <w:sz w:val="22"/>
                <w:szCs w:val="22"/>
                <w:color w:val="auto"/>
              </w:rPr>
            </w:pPr>
          </w:p>
        </w:tc>
        <w:tc>
          <w:tcPr>
            <w:tcW w:w="1140" w:type="dxa"/>
            <w:vAlign w:val="bottom"/>
          </w:tcPr>
          <w:p>
            <w:pPr>
              <w:jc w:val="right"/>
              <w:ind w:right="167"/>
              <w:spacing w:after="0"/>
              <w:rPr>
                <w:sz w:val="20"/>
                <w:szCs w:val="20"/>
                <w:color w:val="auto"/>
              </w:rPr>
            </w:pPr>
            <w:r>
              <w:rPr>
                <w:rFonts w:ascii="Arial" w:cs="Arial" w:eastAsia="Arial" w:hAnsi="Arial"/>
                <w:sz w:val="14"/>
                <w:szCs w:val="14"/>
                <w:color w:val="auto"/>
              </w:rPr>
              <w:t>1,289,417</w:t>
            </w:r>
          </w:p>
        </w:tc>
        <w:tc>
          <w:tcPr>
            <w:tcW w:w="6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1,250,500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1,275,753</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1,242,629</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Market Price Per Share of Common Stock</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Closing</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85.93</w:t>
            </w:r>
          </w:p>
        </w:tc>
        <w:tc>
          <w:tcPr>
            <w:tcW w:w="6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78.91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85.93</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78.91</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High</w:t>
            </w:r>
          </w:p>
        </w:tc>
        <w:tc>
          <w:tcPr>
            <w:tcW w:w="360" w:type="dxa"/>
            <w:vAlign w:val="bottom"/>
          </w:tcPr>
          <w:p>
            <w:pPr>
              <w:spacing w:after="0"/>
              <w:rPr>
                <w:sz w:val="22"/>
                <w:szCs w:val="22"/>
                <w:color w:val="auto"/>
              </w:rPr>
            </w:pPr>
          </w:p>
        </w:tc>
        <w:tc>
          <w:tcPr>
            <w:tcW w:w="1140" w:type="dxa"/>
            <w:vAlign w:val="bottom"/>
          </w:tcPr>
          <w:p>
            <w:pPr>
              <w:jc w:val="right"/>
              <w:ind w:right="167"/>
              <w:spacing w:after="0"/>
              <w:rPr>
                <w:sz w:val="20"/>
                <w:szCs w:val="20"/>
                <w:color w:val="auto"/>
              </w:rPr>
            </w:pPr>
            <w:r>
              <w:rPr>
                <w:rFonts w:ascii="Arial" w:cs="Arial" w:eastAsia="Arial" w:hAnsi="Arial"/>
                <w:sz w:val="14"/>
                <w:szCs w:val="14"/>
                <w:color w:val="auto"/>
              </w:rPr>
              <w:t>88.20</w:t>
            </w:r>
          </w:p>
        </w:tc>
        <w:tc>
          <w:tcPr>
            <w:tcW w:w="6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86.53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88.20</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89.09</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Low</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7"/>
              <w:spacing w:after="0"/>
              <w:rPr>
                <w:sz w:val="20"/>
                <w:szCs w:val="20"/>
                <w:color w:val="auto"/>
              </w:rPr>
            </w:pPr>
            <w:r>
              <w:rPr>
                <w:rFonts w:ascii="Arial" w:cs="Arial" w:eastAsia="Arial" w:hAnsi="Arial"/>
                <w:sz w:val="14"/>
                <w:szCs w:val="14"/>
                <w:color w:val="auto"/>
              </w:rPr>
              <w:t>79.13</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78.30</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66.54</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78.30</w:t>
            </w: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53"/>
        </w:trPr>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28"/>
              <w:spacing w:after="0" w:line="153" w:lineRule="exact"/>
              <w:rPr>
                <w:sz w:val="20"/>
                <w:szCs w:val="20"/>
                <w:color w:val="auto"/>
              </w:rPr>
            </w:pPr>
            <w:r>
              <w:rPr>
                <w:rFonts w:ascii="Arial" w:cs="Arial" w:eastAsia="Arial" w:hAnsi="Arial"/>
                <w:sz w:val="14"/>
                <w:szCs w:val="14"/>
                <w:b w:val="1"/>
                <w:bCs w:val="1"/>
                <w:color w:val="auto"/>
              </w:rPr>
              <w:t>September 30,</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2018</w:t>
            </w:r>
          </w:p>
        </w:tc>
      </w:tr>
      <w:tr>
        <w:trPr>
          <w:trHeight w:val="229"/>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Period End: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0"/>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Totals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Loans and Leases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10,881,298</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10,448,774</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17,672,140</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17,143,974</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Deposits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15,340,752</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15,027,242</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Other Debt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110,585</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135,643</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1,291,490</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1,268,200</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Asset Quality</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Non-Performing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21,645</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12,930</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Allowance for Loan and Lease Losses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108,936</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106,693</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Allowance to Loans and Leases Outstanding</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30"/>
        </w:trPr>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0"/>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Capital Ratios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Common Equity Tier 1 Capital Ratio</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12.33%</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13.07%</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Tier 1 Capital Ratio</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12.33</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13.07</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Capital Ratio</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13.44</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14.21</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Tier 1 Leverage Ratio</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7.32</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7.60</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 to Total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7.31</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7.40</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Tangible Common Equity to Tangible Assets </w:t>
            </w:r>
            <w:r>
              <w:rPr>
                <w:rFonts w:ascii="Arial" w:cs="Arial" w:eastAsia="Arial" w:hAnsi="Arial"/>
                <w:sz w:val="8"/>
                <w:szCs w:val="8"/>
                <w:color w:val="auto"/>
              </w:rPr>
              <w:t>4</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7.14</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7.23</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8"/>
                <w:szCs w:val="8"/>
                <w:color w:val="auto"/>
              </w:rPr>
              <w:t>4</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12.10</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12.52</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Non-Financial Data</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Full-Time Equivalent Employees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2,124</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2,122</w:t>
            </w:r>
          </w:p>
        </w:tc>
      </w:tr>
    </w:tbl>
    <w:p>
      <w:pPr>
        <w:sectPr>
          <w:pgSz w:w="11900" w:h="16838" w:orient="portrait"/>
          <w:cols w:equalWidth="0" w:num="1">
            <w:col w:w="11420"/>
          </w:cols>
          <w:pgMar w:left="240" w:top="118" w:right="23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ind w:left="40"/>
              <w:spacing w:after="0"/>
              <w:rPr>
                <w:sz w:val="20"/>
                <w:szCs w:val="20"/>
                <w:color w:val="auto"/>
              </w:rPr>
            </w:pPr>
            <w:r>
              <w:rPr>
                <w:rFonts w:ascii="Arial" w:cs="Arial" w:eastAsia="Arial" w:hAnsi="Arial"/>
                <w:sz w:val="14"/>
                <w:szCs w:val="14"/>
                <w:color w:val="auto"/>
              </w:rPr>
              <w:t>Branches</w:t>
            </w:r>
          </w:p>
        </w:tc>
        <w:tc>
          <w:tcPr>
            <w:tcW w:w="5360" w:type="dxa"/>
            <w:vAlign w:val="bottom"/>
          </w:tcPr>
          <w:p>
            <w:pPr>
              <w:jc w:val="right"/>
              <w:ind w:right="628"/>
              <w:spacing w:after="0"/>
              <w:rPr>
                <w:sz w:val="20"/>
                <w:szCs w:val="20"/>
                <w:color w:val="auto"/>
              </w:rPr>
            </w:pPr>
            <w:r>
              <w:rPr>
                <w:rFonts w:ascii="Arial" w:cs="Arial" w:eastAsia="Arial" w:hAnsi="Arial"/>
                <w:sz w:val="14"/>
                <w:szCs w:val="14"/>
                <w:color w:val="auto"/>
              </w:rPr>
              <w:t>67</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69</w:t>
            </w:r>
          </w:p>
        </w:tc>
      </w:tr>
      <w:tr>
        <w:trPr>
          <w:trHeight w:val="80"/>
        </w:trPr>
        <w:tc>
          <w:tcPr>
            <w:tcW w:w="5000" w:type="dxa"/>
            <w:vAlign w:val="bottom"/>
          </w:tcPr>
          <w:p>
            <w:pPr>
              <w:spacing w:after="0"/>
              <w:rPr>
                <w:sz w:val="6"/>
                <w:szCs w:val="6"/>
                <w:color w:val="auto"/>
              </w:rPr>
            </w:pPr>
          </w:p>
        </w:tc>
        <w:tc>
          <w:tcPr>
            <w:tcW w:w="536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ATMs</w:t>
            </w:r>
          </w:p>
        </w:tc>
        <w:tc>
          <w:tcPr>
            <w:tcW w:w="536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379</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382</w:t>
            </w:r>
          </w:p>
        </w:tc>
      </w:tr>
    </w:tbl>
    <w:p>
      <w:pPr>
        <w:spacing w:after="0" w:line="116"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9"/>
          <w:szCs w:val="9"/>
          <w:color w:val="auto"/>
        </w:rPr>
      </w:pPr>
      <w:r>
        <w:rPr>
          <w:rFonts w:ascii="Arial" w:cs="Arial" w:eastAsia="Arial" w:hAnsi="Arial"/>
          <w:sz w:val="14"/>
          <w:szCs w:val="14"/>
          <w:color w:val="auto"/>
        </w:rPr>
        <w:t>Efficiency ratio is defined as noninterest expense divided by total revenue (net interest income and total noninterest income).</w:t>
      </w:r>
    </w:p>
    <w:p>
      <w:pPr>
        <w:spacing w:after="0" w:line="13"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9"/>
          <w:szCs w:val="9"/>
          <w:color w:val="auto"/>
        </w:rPr>
      </w:pPr>
      <w:r>
        <w:rPr>
          <w:rFonts w:ascii="Arial" w:cs="Arial" w:eastAsia="Arial" w:hAnsi="Arial"/>
          <w:sz w:val="14"/>
          <w:szCs w:val="14"/>
          <w:color w:val="auto"/>
        </w:rPr>
        <w:t>Net interest margin is defined as net interest income, on a taxable-equivalent basis, as a percentage of average earning assets.</w:t>
      </w:r>
    </w:p>
    <w:p>
      <w:pPr>
        <w:spacing w:after="0" w:line="1"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9"/>
          <w:szCs w:val="9"/>
          <w:color w:val="auto"/>
        </w:rPr>
      </w:pPr>
      <w:r>
        <w:rPr>
          <w:rFonts w:ascii="Arial" w:cs="Arial" w:eastAsia="Arial" w:hAnsi="Arial"/>
          <w:sz w:val="14"/>
          <w:szCs w:val="14"/>
          <w:color w:val="auto"/>
        </w:rPr>
        <w:t>Dividend payout ratio is defined as dividends declared per share divided by basic earnings per share.</w:t>
      </w:r>
    </w:p>
    <w:p>
      <w:pPr>
        <w:spacing w:after="0" w:line="1" w:lineRule="exact"/>
        <w:rPr>
          <w:sz w:val="20"/>
          <w:szCs w:val="20"/>
          <w:color w:val="auto"/>
        </w:rPr>
      </w:pPr>
    </w:p>
    <w:p>
      <w:pPr>
        <w:ind w:left="180" w:right="320" w:hanging="172"/>
        <w:spacing w:after="0" w:line="255" w:lineRule="auto"/>
        <w:tabs>
          <w:tab w:leader="none" w:pos="180" w:val="left"/>
        </w:tabs>
        <w:numPr>
          <w:ilvl w:val="0"/>
          <w:numId w:val="34"/>
        </w:numPr>
        <w:rPr>
          <w:rFonts w:ascii="Arial" w:cs="Arial" w:eastAsia="Arial" w:hAnsi="Arial"/>
          <w:sz w:val="9"/>
          <w:szCs w:val="9"/>
          <w:color w:val="auto"/>
        </w:rPr>
      </w:pPr>
      <w:r>
        <w:rPr>
          <w:rFonts w:ascii="Arial" w:cs="Arial" w:eastAsia="Arial" w:hAnsi="Arial"/>
          <w:sz w:val="14"/>
          <w:szCs w:val="14"/>
          <w:color w:val="auto"/>
        </w:rPr>
        <w:t>Tangible common equity to tangible assets and tangible common equity to risk-weighted assets are Non-GAAP financial measures. See the “Use of Non-GAAP Financial Measures” section below.</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financial institution, they have limitations as analytical tools, and should not be considered in isolation, or as a substitute for analyses of results as reported under GAAP. Table 2 provides a reconciliation of these Non-GAAP financial measures with their most closely related GAAP measures.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ind w:left="40"/>
              <w:spacing w:after="0"/>
              <w:rPr>
                <w:sz w:val="20"/>
                <w:szCs w:val="20"/>
                <w:color w:val="auto"/>
              </w:rPr>
            </w:pPr>
            <w:r>
              <w:rPr>
                <w:rFonts w:ascii="Arial" w:cs="Arial" w:eastAsia="Arial" w:hAnsi="Arial"/>
                <w:sz w:val="16"/>
                <w:szCs w:val="16"/>
                <w:b w:val="1"/>
                <w:bCs w:val="1"/>
                <w:color w:val="auto"/>
              </w:rPr>
              <w:t>GAAP to Non-GAAP Reconciliation</w:t>
            </w: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2</w:t>
            </w:r>
          </w:p>
        </w:tc>
      </w:tr>
      <w:tr>
        <w:trPr>
          <w:trHeight w:val="33"/>
        </w:trPr>
        <w:tc>
          <w:tcPr>
            <w:tcW w:w="7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b w:val="1"/>
                <w:bCs w:val="1"/>
                <w:color w:val="auto"/>
                <w:w w:val="96"/>
              </w:rPr>
              <w:t>September 30,</w:t>
            </w:r>
          </w:p>
        </w:tc>
        <w:tc>
          <w:tcPr>
            <w:tcW w:w="3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Shareholders’ Equity</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1,291,490</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1,268,200</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380" w:type="dxa"/>
            <w:vAlign w:val="bottom"/>
          </w:tcPr>
          <w:p>
            <w:pPr>
              <w:spacing w:after="0"/>
              <w:rPr>
                <w:sz w:val="20"/>
                <w:szCs w:val="20"/>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1,259,973</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1,236,683</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Assets</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17,672,140</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17,143,974</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380" w:type="dxa"/>
            <w:vAlign w:val="bottom"/>
          </w:tcPr>
          <w:p>
            <w:pPr>
              <w:spacing w:after="0"/>
              <w:rPr>
                <w:sz w:val="20"/>
                <w:szCs w:val="20"/>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Assets</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17,640,623</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17,112,457</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020" w:type="dxa"/>
            <w:vAlign w:val="bottom"/>
          </w:tcPr>
          <w:p>
            <w:pPr>
              <w:ind w:left="40"/>
              <w:spacing w:after="0"/>
              <w:rPr>
                <w:sz w:val="20"/>
                <w:szCs w:val="20"/>
                <w:color w:val="auto"/>
              </w:rPr>
            </w:pPr>
            <w:r>
              <w:rPr>
                <w:rFonts w:ascii="Arial" w:cs="Arial" w:eastAsia="Arial" w:hAnsi="Arial"/>
                <w:sz w:val="16"/>
                <w:szCs w:val="16"/>
                <w:color w:val="auto"/>
              </w:rPr>
              <w:t>Risk-Weighted Assets, determined in accordance with prescribed regulatory requirements</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10,416,560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9,878,904</w:t>
            </w:r>
          </w:p>
        </w:tc>
      </w:tr>
      <w:tr>
        <w:trPr>
          <w:trHeight w:val="73"/>
        </w:trPr>
        <w:tc>
          <w:tcPr>
            <w:tcW w:w="70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1"/>
        </w:trPr>
        <w:tc>
          <w:tcPr>
            <w:tcW w:w="7020" w:type="dxa"/>
            <w:vAlign w:val="bottom"/>
            <w:shd w:val="clear" w:color="auto" w:fill="BFE4FF"/>
          </w:tcPr>
          <w:p>
            <w:pPr>
              <w:spacing w:after="0"/>
              <w:rPr>
                <w:sz w:val="21"/>
                <w:szCs w:val="21"/>
                <w:color w:val="auto"/>
              </w:rPr>
            </w:pPr>
          </w:p>
        </w:tc>
        <w:tc>
          <w:tcPr>
            <w:tcW w:w="1380" w:type="dxa"/>
            <w:vAlign w:val="bottom"/>
            <w:shd w:val="clear" w:color="auto" w:fill="BFE4FF"/>
          </w:tcPr>
          <w:p>
            <w:pPr>
              <w:spacing w:after="0"/>
              <w:rPr>
                <w:sz w:val="21"/>
                <w:szCs w:val="21"/>
                <w:color w:val="auto"/>
              </w:rPr>
            </w:pPr>
          </w:p>
        </w:tc>
        <w:tc>
          <w:tcPr>
            <w:tcW w:w="1400" w:type="dxa"/>
            <w:vAlign w:val="bottom"/>
            <w:shd w:val="clear" w:color="auto" w:fill="BFE4FF"/>
          </w:tcPr>
          <w:p>
            <w:pPr>
              <w:spacing w:after="0"/>
              <w:rPr>
                <w:sz w:val="21"/>
                <w:szCs w:val="21"/>
                <w:color w:val="auto"/>
              </w:rPr>
            </w:pPr>
          </w:p>
        </w:tc>
        <w:tc>
          <w:tcPr>
            <w:tcW w:w="340" w:type="dxa"/>
            <w:vAlign w:val="bottom"/>
            <w:shd w:val="clear" w:color="auto" w:fill="BFE4FF"/>
          </w:tcPr>
          <w:p>
            <w:pPr>
              <w:spacing w:after="0"/>
              <w:rPr>
                <w:sz w:val="21"/>
                <w:szCs w:val="21"/>
                <w:color w:val="auto"/>
              </w:rPr>
            </w:pPr>
          </w:p>
        </w:tc>
        <w:tc>
          <w:tcPr>
            <w:tcW w:w="1280" w:type="dxa"/>
            <w:vAlign w:val="bottom"/>
            <w:shd w:val="clear" w:color="auto" w:fill="BFE4FF"/>
          </w:tcPr>
          <w:p>
            <w:pPr>
              <w:spacing w:after="0"/>
              <w:rPr>
                <w:sz w:val="21"/>
                <w:szCs w:val="2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Total Shareholders’ Equity to Total Assets</w:t>
            </w:r>
          </w:p>
        </w:tc>
        <w:tc>
          <w:tcPr>
            <w:tcW w:w="138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7.31%</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33"/>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 to Tangible Assets (Non-GAAP)</w:t>
            </w:r>
          </w:p>
        </w:tc>
        <w:tc>
          <w:tcPr>
            <w:tcW w:w="1380" w:type="dxa"/>
            <w:vAlign w:val="bottom"/>
            <w:tcBorders>
              <w:bottom w:val="single" w:sz="8" w:color="BFE4FF"/>
            </w:tcBorders>
            <w:shd w:val="clear" w:color="auto" w:fill="BFE4FF"/>
          </w:tcPr>
          <w:p>
            <w:pPr>
              <w:spacing w:after="0"/>
              <w:rPr>
                <w:sz w:val="23"/>
                <w:szCs w:val="23"/>
                <w:color w:val="auto"/>
              </w:rPr>
            </w:pP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7.14%</w:t>
            </w:r>
          </w:p>
        </w:tc>
        <w:tc>
          <w:tcPr>
            <w:tcW w:w="34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7.23%</w:t>
            </w:r>
          </w:p>
        </w:tc>
      </w:tr>
      <w:tr>
        <w:trPr>
          <w:trHeight w:val="264"/>
        </w:trPr>
        <w:tc>
          <w:tcPr>
            <w:tcW w:w="70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Tier 1 Capital Ratio</w:t>
            </w:r>
          </w:p>
        </w:tc>
        <w:tc>
          <w:tcPr>
            <w:tcW w:w="138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12.33%</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13.07%</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Tangible Common Equity to Risk-Weighted Assets (Non-GAAP)</w:t>
            </w:r>
          </w:p>
        </w:tc>
        <w:tc>
          <w:tcPr>
            <w:tcW w:w="138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12.10%</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12.52%</w:t>
            </w:r>
          </w:p>
        </w:tc>
      </w:tr>
      <w:tr>
        <w:trPr>
          <w:trHeight w:val="33"/>
        </w:trPr>
        <w:tc>
          <w:tcPr>
            <w:tcW w:w="7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3. An analysis of the change in net interest income, on a taxable-equivalent basis, is presented in Table 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10"/>
          </w:tcPr>
          <w:p>
            <w:pPr>
              <w:ind w:left="40"/>
              <w:spacing w:after="0"/>
              <w:rPr>
                <w:sz w:val="20"/>
                <w:szCs w:val="20"/>
                <w:color w:val="auto"/>
              </w:rPr>
            </w:pPr>
            <w:r>
              <w:rPr>
                <w:rFonts w:ascii="Arial" w:cs="Arial" w:eastAsia="Arial" w:hAnsi="Arial"/>
                <w:sz w:val="16"/>
                <w:szCs w:val="16"/>
                <w:b w:val="1"/>
                <w:bCs w:val="1"/>
                <w:color w:val="auto"/>
                <w:w w:val="90"/>
              </w:rPr>
              <w:t>Average Balances and Interest Rates - Taxable-Equivalent Basis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6"/>
                <w:szCs w:val="16"/>
                <w:b w:val="1"/>
                <w:bCs w:val="1"/>
                <w:color w:val="auto"/>
                <w:w w:val="94"/>
              </w:rPr>
              <w:t>Table 3</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5"/>
          </w:tcPr>
          <w:p>
            <w:pPr>
              <w:jc w:val="center"/>
              <w:ind w:left="261"/>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5"/>
          </w:tcPr>
          <w:p>
            <w:pPr>
              <w:jc w:val="center"/>
              <w:ind w:left="141"/>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5"/>
          </w:tcPr>
          <w:p>
            <w:pPr>
              <w:ind w:left="400"/>
              <w:spacing w:after="0"/>
              <w:rPr>
                <w:sz w:val="20"/>
                <w:szCs w:val="20"/>
                <w:color w:val="auto"/>
              </w:rPr>
            </w:pPr>
            <w:r>
              <w:rPr>
                <w:rFonts w:ascii="Arial" w:cs="Arial" w:eastAsia="Arial" w:hAnsi="Arial"/>
                <w:sz w:val="14"/>
                <w:szCs w:val="14"/>
                <w:b w:val="1"/>
                <w:bCs w:val="1"/>
                <w:color w:val="auto"/>
                <w:w w:val="97"/>
              </w:rPr>
              <w:t>Nine Months Ended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5"/>
          </w:tcPr>
          <w:p>
            <w:pPr>
              <w:ind w:left="400"/>
              <w:spacing w:after="0"/>
              <w:rPr>
                <w:sz w:val="20"/>
                <w:szCs w:val="20"/>
                <w:color w:val="auto"/>
              </w:rPr>
            </w:pPr>
            <w:r>
              <w:rPr>
                <w:rFonts w:ascii="Arial" w:cs="Arial" w:eastAsia="Arial" w:hAnsi="Arial"/>
                <w:sz w:val="14"/>
                <w:szCs w:val="14"/>
                <w:b w:val="1"/>
                <w:bCs w:val="1"/>
                <w:color w:val="auto"/>
                <w:w w:val="96"/>
              </w:rPr>
              <w:t>Nine Months Ended</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left="241"/>
              <w:spacing w:after="0"/>
              <w:rPr>
                <w:sz w:val="20"/>
                <w:szCs w:val="20"/>
                <w:color w:val="auto"/>
              </w:rPr>
            </w:pPr>
            <w:r>
              <w:rPr>
                <w:rFonts w:ascii="Arial" w:cs="Arial" w:eastAsia="Arial" w:hAnsi="Arial"/>
                <w:sz w:val="14"/>
                <w:szCs w:val="14"/>
                <w:b w:val="1"/>
                <w:bCs w:val="1"/>
                <w:color w:val="auto"/>
                <w:w w:val="91"/>
              </w:rPr>
              <w:t>September 30, 2019</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ind w:left="141"/>
              <w:spacing w:after="0"/>
              <w:rPr>
                <w:sz w:val="20"/>
                <w:szCs w:val="20"/>
                <w:color w:val="auto"/>
              </w:rPr>
            </w:pPr>
            <w:r>
              <w:rPr>
                <w:rFonts w:ascii="Arial" w:cs="Arial" w:eastAsia="Arial" w:hAnsi="Arial"/>
                <w:sz w:val="14"/>
                <w:szCs w:val="14"/>
                <w:b w:val="1"/>
                <w:bCs w:val="1"/>
                <w:color w:val="auto"/>
                <w:w w:val="91"/>
              </w:rPr>
              <w:t>September 30, 2018</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6"/>
              </w:rPr>
              <w:t>September 30, 2019</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4"/>
              </w:rPr>
              <w:t>September 30, 2018</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b w:val="1"/>
                <w:bCs w:val="1"/>
                <w:color w:val="auto"/>
              </w:rPr>
              <w:t>Average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2"/>
              </w:rPr>
              <w:t>Income/</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9"/>
              </w:rPr>
              <w:t>Yield/</w:t>
            </w: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b w:val="1"/>
                <w:bCs w:val="1"/>
                <w:color w:val="auto"/>
                <w:w w:val="88"/>
              </w:rPr>
              <w:t>Average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Income/</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7"/>
              </w:rPr>
              <w:t>Yield/</w:t>
            </w: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b w:val="1"/>
                <w:bCs w:val="1"/>
                <w:color w:val="auto"/>
              </w:rPr>
              <w:t>Average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Income/</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Yield/</w:t>
            </w: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b w:val="1"/>
                <w:bCs w:val="1"/>
                <w:color w:val="auto"/>
              </w:rPr>
              <w:t>Average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2"/>
                <w:szCs w:val="12"/>
                <w:b w:val="1"/>
                <w:bCs w:val="1"/>
                <w:color w:val="auto"/>
              </w:rPr>
              <w:t>Income/</w:t>
            </w:r>
          </w:p>
        </w:tc>
        <w:tc>
          <w:tcPr>
            <w:tcW w:w="500" w:type="dxa"/>
            <w:vAlign w:val="bottom"/>
          </w:tcPr>
          <w:p>
            <w:pPr>
              <w:jc w:val="right"/>
              <w:ind w:right="82"/>
              <w:spacing w:after="0"/>
              <w:rPr>
                <w:sz w:val="20"/>
                <w:szCs w:val="20"/>
                <w:color w:val="auto"/>
              </w:rPr>
            </w:pPr>
            <w:r>
              <w:rPr>
                <w:rFonts w:ascii="Arial" w:cs="Arial" w:eastAsia="Arial" w:hAnsi="Arial"/>
                <w:sz w:val="12"/>
                <w:szCs w:val="12"/>
                <w:b w:val="1"/>
                <w:bCs w:val="1"/>
                <w:color w:val="auto"/>
              </w:rPr>
              <w:t>Yield/</w:t>
            </w:r>
          </w:p>
        </w:tc>
        <w:tc>
          <w:tcPr>
            <w:tcW w:w="0" w:type="dxa"/>
            <w:vAlign w:val="bottom"/>
          </w:tcPr>
          <w:p>
            <w:pPr>
              <w:spacing w:after="0"/>
              <w:rPr>
                <w:sz w:val="1"/>
                <w:szCs w:val="1"/>
                <w:color w:val="auto"/>
              </w:rPr>
            </w:pPr>
          </w:p>
        </w:tc>
      </w:tr>
      <w:tr>
        <w:trPr>
          <w:trHeight w:val="270"/>
        </w:trPr>
        <w:tc>
          <w:tcPr>
            <w:tcW w:w="1720" w:type="dxa"/>
            <w:vAlign w:val="bottom"/>
          </w:tcPr>
          <w:p>
            <w:pPr>
              <w:ind w:left="40"/>
              <w:spacing w:after="0"/>
              <w:rPr>
                <w:sz w:val="20"/>
                <w:szCs w:val="20"/>
                <w:color w:val="auto"/>
              </w:rPr>
            </w:pPr>
            <w:r>
              <w:rPr>
                <w:rFonts w:ascii="Arial" w:cs="Arial" w:eastAsia="Arial" w:hAnsi="Arial"/>
                <w:sz w:val="12"/>
                <w:szCs w:val="12"/>
                <w:color w:val="auto"/>
              </w:rPr>
              <w:t>(dollars in millions)</w:t>
            </w:r>
          </w:p>
        </w:tc>
        <w:tc>
          <w:tcPr>
            <w:tcW w:w="200" w:type="dxa"/>
            <w:vAlign w:val="bottom"/>
          </w:tcPr>
          <w:p>
            <w:pPr>
              <w:spacing w:after="0"/>
              <w:rPr>
                <w:sz w:val="23"/>
                <w:szCs w:val="23"/>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b w:val="1"/>
                <w:bCs w:val="1"/>
                <w:color w:val="auto"/>
              </w:rPr>
              <w:t>Balance</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4"/>
              </w:rPr>
              <w:t>Expense</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Rate</w:t>
            </w:r>
          </w:p>
        </w:tc>
        <w:tc>
          <w:tcPr>
            <w:tcW w:w="260" w:type="dxa"/>
            <w:vAlign w:val="bottom"/>
          </w:tcPr>
          <w:p>
            <w:pPr>
              <w:spacing w:after="0"/>
              <w:rPr>
                <w:sz w:val="23"/>
                <w:szCs w:val="23"/>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b w:val="1"/>
                <w:bCs w:val="1"/>
                <w:color w:val="auto"/>
                <w:w w:val="91"/>
              </w:rPr>
              <w:t>Balance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84"/>
              </w:rPr>
              <w:t>Expense</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8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b w:val="1"/>
                <w:bCs w:val="1"/>
                <w:color w:val="auto"/>
              </w:rPr>
              <w:t>Balance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Expense</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8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b w:val="1"/>
                <w:bCs w:val="1"/>
                <w:color w:val="auto"/>
              </w:rPr>
              <w:t>Balance</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2"/>
                <w:szCs w:val="12"/>
                <w:b w:val="1"/>
                <w:bCs w:val="1"/>
                <w:color w:val="auto"/>
                <w:w w:val="97"/>
              </w:rPr>
              <w:t>Expense</w:t>
            </w:r>
          </w:p>
        </w:tc>
        <w:tc>
          <w:tcPr>
            <w:tcW w:w="500" w:type="dxa"/>
            <w:vAlign w:val="bottom"/>
          </w:tcPr>
          <w:p>
            <w:pPr>
              <w:jc w:val="right"/>
              <w:ind w:right="82"/>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40"/>
              <w:spacing w:after="0"/>
              <w:rPr>
                <w:sz w:val="20"/>
                <w:szCs w:val="20"/>
                <w:color w:val="auto"/>
              </w:rPr>
            </w:pPr>
            <w:r>
              <w:rPr>
                <w:rFonts w:ascii="Arial" w:cs="Arial" w:eastAsia="Arial" w:hAnsi="Arial"/>
                <w:sz w:val="12"/>
                <w:szCs w:val="12"/>
                <w:color w:val="auto"/>
                <w:w w:val="91"/>
              </w:rPr>
              <w:t>Interest-Bearing Deposits in Other</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rPr>
                <w:sz w:val="20"/>
                <w:szCs w:val="20"/>
                <w:color w:val="auto"/>
              </w:rPr>
            </w:pPr>
            <w:r>
              <w:rPr>
                <w:rFonts w:ascii="Arial" w:cs="Arial" w:eastAsia="Arial" w:hAnsi="Arial"/>
                <w:sz w:val="12"/>
                <w:szCs w:val="12"/>
                <w:color w:val="auto"/>
              </w:rPr>
              <w:t>Banks</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3.1</w:t>
            </w:r>
          </w:p>
        </w:tc>
        <w:tc>
          <w:tcPr>
            <w:tcW w:w="2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480" w:type="dxa"/>
            <w:vAlign w:val="bottom"/>
          </w:tcPr>
          <w:p>
            <w:pPr>
              <w:ind w:left="120"/>
              <w:spacing w:after="0"/>
              <w:rPr>
                <w:sz w:val="20"/>
                <w:szCs w:val="20"/>
                <w:color w:val="auto"/>
              </w:rPr>
            </w:pPr>
            <w:r>
              <w:rPr>
                <w:rFonts w:ascii="Arial" w:cs="Arial" w:eastAsia="Arial" w:hAnsi="Arial"/>
                <w:sz w:val="12"/>
                <w:szCs w:val="12"/>
                <w:color w:val="auto"/>
                <w:w w:val="99"/>
              </w:rPr>
              <w:t>1.19%</w:t>
            </w:r>
          </w:p>
        </w:tc>
        <w:tc>
          <w:tcPr>
            <w:tcW w:w="120" w:type="dxa"/>
            <w:vAlign w:val="bottom"/>
          </w:tcPr>
          <w:p>
            <w:pPr>
              <w:spacing w:after="0"/>
              <w:rPr>
                <w:sz w:val="12"/>
                <w:szCs w:val="12"/>
                <w:color w:val="auto"/>
              </w:rPr>
            </w:pP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3.6</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40" w:type="dxa"/>
            <w:vAlign w:val="bottom"/>
          </w:tcPr>
          <w:p>
            <w:pPr>
              <w:ind w:left="100"/>
              <w:spacing w:after="0"/>
              <w:rPr>
                <w:sz w:val="20"/>
                <w:szCs w:val="20"/>
                <w:color w:val="auto"/>
              </w:rPr>
            </w:pPr>
            <w:r>
              <w:rPr>
                <w:rFonts w:ascii="Arial" w:cs="Arial" w:eastAsia="Arial" w:hAnsi="Arial"/>
                <w:sz w:val="12"/>
                <w:szCs w:val="12"/>
                <w:color w:val="auto"/>
                <w:w w:val="93"/>
              </w:rPr>
              <w:t>1.09%</w:t>
            </w:r>
          </w:p>
        </w:tc>
        <w:tc>
          <w:tcPr>
            <w:tcW w:w="100" w:type="dxa"/>
            <w:vAlign w:val="bottom"/>
          </w:tcPr>
          <w:p>
            <w:pPr>
              <w:spacing w:after="0"/>
              <w:rPr>
                <w:sz w:val="12"/>
                <w:szCs w:val="12"/>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3.0</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Pr>
          <w:p>
            <w:pPr>
              <w:ind w:left="140"/>
              <w:spacing w:after="0"/>
              <w:rPr>
                <w:sz w:val="20"/>
                <w:szCs w:val="20"/>
                <w:color w:val="auto"/>
              </w:rPr>
            </w:pPr>
            <w:r>
              <w:rPr>
                <w:rFonts w:ascii="Arial" w:cs="Arial" w:eastAsia="Arial" w:hAnsi="Arial"/>
                <w:sz w:val="12"/>
                <w:szCs w:val="12"/>
                <w:color w:val="auto"/>
                <w:w w:val="93"/>
              </w:rPr>
              <w:t>1.49%</w:t>
            </w:r>
          </w:p>
        </w:tc>
        <w:tc>
          <w:tcPr>
            <w:tcW w:w="120" w:type="dxa"/>
            <w:vAlign w:val="bottom"/>
          </w:tcPr>
          <w:p>
            <w:pPr>
              <w:spacing w:after="0"/>
              <w:rPr>
                <w:sz w:val="12"/>
                <w:szCs w:val="12"/>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3.2</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19"/>
              <w:spacing w:after="0"/>
              <w:rPr>
                <w:sz w:val="20"/>
                <w:szCs w:val="20"/>
                <w:color w:val="auto"/>
              </w:rPr>
            </w:pPr>
            <w:r>
              <w:rPr>
                <w:rFonts w:ascii="Arial" w:cs="Arial" w:eastAsia="Arial" w:hAnsi="Arial"/>
                <w:sz w:val="12"/>
                <w:szCs w:val="12"/>
                <w:color w:val="auto"/>
              </w:rPr>
              <w:t>—</w:t>
            </w:r>
          </w:p>
        </w:tc>
        <w:tc>
          <w:tcPr>
            <w:tcW w:w="500" w:type="dxa"/>
            <w:vAlign w:val="bottom"/>
          </w:tcPr>
          <w:p>
            <w:pPr>
              <w:ind w:left="160"/>
              <w:spacing w:after="0"/>
              <w:rPr>
                <w:sz w:val="20"/>
                <w:szCs w:val="20"/>
                <w:color w:val="auto"/>
              </w:rPr>
            </w:pPr>
            <w:r>
              <w:rPr>
                <w:rFonts w:ascii="Arial" w:cs="Arial" w:eastAsia="Arial" w:hAnsi="Arial"/>
                <w:sz w:val="12"/>
                <w:szCs w:val="12"/>
                <w:color w:val="auto"/>
                <w:w w:val="93"/>
              </w:rPr>
              <w:t>0.99%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Funds Sold</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0.7</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281.9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Investment Securities</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Available-for-Sale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260"/>
              <w:spacing w:after="0"/>
              <w:rPr>
                <w:sz w:val="20"/>
                <w:szCs w:val="20"/>
                <w:color w:val="auto"/>
              </w:rPr>
            </w:pPr>
            <w:r>
              <w:rPr>
                <w:rFonts w:ascii="Arial" w:cs="Arial" w:eastAsia="Arial" w:hAnsi="Arial"/>
                <w:sz w:val="12"/>
                <w:szCs w:val="12"/>
                <w:color w:val="auto"/>
              </w:rPr>
              <w:t>Taxable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2,647.9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17.1</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2.59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1,512.1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9.5</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2,086.5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43.0</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2.75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1,556.9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27.6</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2.36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Non-Taxable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0.5</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567.5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3.9</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585.1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12.1</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Held-to-Maturity</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Taxable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2,873.7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18.5</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3,413.7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19.3</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3,199.9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59.9</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3,504.8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58.4</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250"/>
        </w:trPr>
        <w:tc>
          <w:tcPr>
            <w:tcW w:w="1720" w:type="dxa"/>
            <w:vAlign w:val="bottom"/>
          </w:tcPr>
          <w:p>
            <w:pPr>
              <w:ind w:left="240"/>
              <w:spacing w:after="0"/>
              <w:rPr>
                <w:sz w:val="20"/>
                <w:szCs w:val="20"/>
                <w:color w:val="auto"/>
              </w:rPr>
            </w:pPr>
            <w:r>
              <w:rPr>
                <w:rFonts w:ascii="Arial" w:cs="Arial" w:eastAsia="Arial" w:hAnsi="Arial"/>
                <w:sz w:val="12"/>
                <w:szCs w:val="12"/>
                <w:color w:val="auto"/>
              </w:rPr>
              <w:t>Non-Taxable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65.2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0.4</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2.72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236.1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1.9</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163.5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3.8</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237.0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5.6</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3.17</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Total Investment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5,629.4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36.5</w:t>
            </w: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5,729.4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34.6</w:t>
            </w: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5,585.2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110.5</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5,883.8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103.7</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2.35</w:t>
            </w:r>
          </w:p>
        </w:tc>
        <w:tc>
          <w:tcPr>
            <w:tcW w:w="0" w:type="dxa"/>
            <w:vAlign w:val="bottom"/>
          </w:tcPr>
          <w:p>
            <w:pPr>
              <w:spacing w:after="0"/>
              <w:rPr>
                <w:sz w:val="1"/>
                <w:szCs w:val="1"/>
                <w:color w:val="auto"/>
              </w:rPr>
            </w:pPr>
          </w:p>
        </w:tc>
      </w:tr>
      <w:tr>
        <w:trPr>
          <w:trHeight w:val="244"/>
        </w:trPr>
        <w:tc>
          <w:tcPr>
            <w:tcW w:w="172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Loans Held for Sale</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24.3</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0.2</w:t>
            </w:r>
          </w:p>
        </w:tc>
        <w:tc>
          <w:tcPr>
            <w:tcW w:w="2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3.94</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14.9</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0.2</w:t>
            </w:r>
          </w:p>
        </w:tc>
        <w:tc>
          <w:tcPr>
            <w:tcW w:w="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2"/>
                <w:szCs w:val="12"/>
                <w:color w:val="auto"/>
              </w:rPr>
              <w:t>4.45</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18.5</w:t>
            </w: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0.6</w:t>
            </w:r>
          </w:p>
        </w:tc>
        <w:tc>
          <w:tcPr>
            <w:tcW w:w="2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4.06</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14.6</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0.5</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Loans and Leases </w:t>
            </w:r>
            <w:r>
              <w:rPr>
                <w:rFonts w:ascii="Arial" w:cs="Arial" w:eastAsia="Arial" w:hAnsi="Arial"/>
                <w:sz w:val="19"/>
                <w:szCs w:val="19"/>
                <w:color w:val="auto"/>
                <w:vertAlign w:val="superscript"/>
              </w:rPr>
              <w:t>1</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Commercial and Industrial</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1,383.8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14.4</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4.14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1,279.4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13.0</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4.04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1,375.9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44.6</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4.33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1,289.3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37.6</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3.90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Commercial Mortgage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2,423.7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26.2</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2,180.5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23.0</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2,373.9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76.9</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2,133.8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65.5</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4.10</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Construction</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126.0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1.6</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5.10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187.0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2.2</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4.65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133.8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5.2</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5.22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6.5</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4.64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w w:val="96"/>
              </w:rPr>
              <w:t>Commercial Lease Financing</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161.8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2.25</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Residential Mortgage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3,809.6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36.5</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3.83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3,563.5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34.0</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3,740.5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108.0</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3,523.1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100.9</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Home Equity</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1,689.2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16.1</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1,622.4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15.7</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1,691.4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48.4</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1,610.2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45.4</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3.77</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Automobile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707.0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6.4</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3.59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606.3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5.9</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688.0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18.6</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574.1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17.1</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3.99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9"/>
                <w:szCs w:val="19"/>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469.6</w:t>
            </w: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8.5</w:t>
            </w:r>
          </w:p>
        </w:tc>
        <w:tc>
          <w:tcPr>
            <w:tcW w:w="2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7.16</w:t>
            </w: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467.8</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9.3</w:t>
            </w:r>
          </w:p>
        </w:tc>
        <w:tc>
          <w:tcPr>
            <w:tcW w:w="26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7.90</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459.9</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24.8</w:t>
            </w:r>
          </w:p>
        </w:tc>
        <w:tc>
          <w:tcPr>
            <w:tcW w:w="2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7.21</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455.4</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26.9</w:t>
            </w:r>
          </w:p>
        </w:tc>
        <w:tc>
          <w:tcPr>
            <w:tcW w:w="1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7.89</w:t>
            </w:r>
          </w:p>
        </w:tc>
        <w:tc>
          <w:tcPr>
            <w:tcW w:w="0" w:type="dxa"/>
            <w:vAlign w:val="bottom"/>
          </w:tcPr>
          <w:p>
            <w:pPr>
              <w:spacing w:after="0"/>
              <w:rPr>
                <w:sz w:val="1"/>
                <w:szCs w:val="1"/>
                <w:color w:val="auto"/>
              </w:rPr>
            </w:pPr>
          </w:p>
        </w:tc>
      </w:tr>
      <w:tr>
        <w:trPr>
          <w:trHeight w:val="244"/>
        </w:trPr>
        <w:tc>
          <w:tcPr>
            <w:tcW w:w="1720" w:type="dxa"/>
            <w:vAlign w:val="bottom"/>
          </w:tcPr>
          <w:p>
            <w:pPr>
              <w:ind w:left="40"/>
              <w:spacing w:after="0"/>
              <w:rPr>
                <w:sz w:val="20"/>
                <w:szCs w:val="20"/>
                <w:color w:val="auto"/>
              </w:rPr>
            </w:pPr>
            <w:r>
              <w:rPr>
                <w:rFonts w:ascii="Arial" w:cs="Arial" w:eastAsia="Arial" w:hAnsi="Arial"/>
                <w:sz w:val="12"/>
                <w:szCs w:val="12"/>
                <w:color w:val="auto"/>
              </w:rPr>
              <w:t>Total Loans and Leases</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10,770.7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110.7</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4.09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w w:val="89"/>
              </w:rPr>
              <w:t>10,081.9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104.1</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4.11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10,624.3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329.5</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9,950.5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302.9</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4.07</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35.0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0.3</w:t>
            </w: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0.4</w:t>
            </w: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0.8</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3.37</w:t>
            </w:r>
          </w:p>
        </w:tc>
        <w:tc>
          <w:tcPr>
            <w:tcW w:w="0" w:type="dxa"/>
            <w:vAlign w:val="bottom"/>
          </w:tcPr>
          <w:p>
            <w:pPr>
              <w:spacing w:after="0"/>
              <w:rPr>
                <w:sz w:val="1"/>
                <w:szCs w:val="1"/>
                <w:color w:val="auto"/>
              </w:rPr>
            </w:pPr>
          </w:p>
        </w:tc>
      </w:tr>
      <w:tr>
        <w:trPr>
          <w:trHeight w:val="264"/>
        </w:trPr>
        <w:tc>
          <w:tcPr>
            <w:tcW w:w="1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b w:val="1"/>
                <w:bCs w:val="1"/>
                <w:color w:val="auto"/>
              </w:rPr>
              <w:t xml:space="preserve">Total Earning Assets </w:t>
            </w:r>
            <w:r>
              <w:rPr>
                <w:rFonts w:ascii="Arial" w:cs="Arial" w:eastAsia="Arial" w:hAnsi="Arial"/>
                <w:sz w:val="19"/>
                <w:szCs w:val="19"/>
                <w:b w:val="1"/>
                <w:bCs w:val="1"/>
                <w:color w:val="auto"/>
                <w:vertAlign w:val="superscript"/>
              </w:rPr>
              <w:t>3</w:t>
            </w: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16,583.6</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rPr>
              <w:t>148.4</w:t>
            </w:r>
          </w:p>
        </w:tc>
        <w:tc>
          <w:tcPr>
            <w:tcW w:w="24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3.56</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16,150.6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140.7</w:t>
            </w:r>
          </w:p>
        </w:tc>
        <w:tc>
          <w:tcPr>
            <w:tcW w:w="2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3.47</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16,427.9</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444.2</w:t>
            </w:r>
          </w:p>
        </w:tc>
        <w:tc>
          <w:tcPr>
            <w:tcW w:w="2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color w:val="auto"/>
              </w:rPr>
              <w:t>3.61</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16,116.2</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411.1</w:t>
            </w:r>
          </w:p>
        </w:tc>
        <w:tc>
          <w:tcPr>
            <w:tcW w:w="1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color w:val="auto"/>
              </w:rPr>
              <w:t>3.41</w:t>
            </w: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Cash and Due From Banks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Other Assets</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790.3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612.6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776.3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604.9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Assets</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17,605.4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17,015.3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17,442.1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16,965.1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Interest-Bearing Deposits</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Demand</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2,950.2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99"/>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2,999.5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1.3</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w w:val="93"/>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2,930.9</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4.0</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w w:val="93"/>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2,982.5</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w w:val="93"/>
              </w:rPr>
              <w:t>0.15%</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Savings</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6,122.0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8.8</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0.57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5,482.4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3.8</w:t>
            </w:r>
          </w:p>
        </w:tc>
        <w:tc>
          <w:tcPr>
            <w:tcW w:w="2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5,962.9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24.4</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0.55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5,414.1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9.1</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0.22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Time</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1,851.0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8.2</w:t>
            </w: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1,683.0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5.8</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1,807.6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23.6</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1,700.6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15.7</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244"/>
        </w:trPr>
        <w:tc>
          <w:tcPr>
            <w:tcW w:w="172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Total Interest-Bearing Deposits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10,923.2</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18.1</w:t>
            </w:r>
          </w:p>
        </w:tc>
        <w:tc>
          <w:tcPr>
            <w:tcW w:w="2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0.66</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w w:val="89"/>
              </w:rPr>
              <w:t>10,164.9</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10.9</w:t>
            </w:r>
          </w:p>
        </w:tc>
        <w:tc>
          <w:tcPr>
            <w:tcW w:w="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2"/>
                <w:szCs w:val="12"/>
                <w:color w:val="auto"/>
              </w:rPr>
              <w:t>0.43</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10,701.4</w:t>
            </w: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52.0</w:t>
            </w:r>
          </w:p>
        </w:tc>
        <w:tc>
          <w:tcPr>
            <w:tcW w:w="2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0.65</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10,097.2</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28.0</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2"/>
                <w:szCs w:val="12"/>
                <w:color w:val="auto"/>
              </w:rPr>
              <w:t>0.37</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0.9</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56"/>
        </w:trPr>
        <w:tc>
          <w:tcPr>
            <w:tcW w:w="1720" w:type="dxa"/>
            <w:vAlign w:val="bottom"/>
          </w:tcPr>
          <w:p>
            <w:pPr>
              <w:ind w:left="40"/>
              <w:spacing w:after="0"/>
              <w:rPr>
                <w:sz w:val="20"/>
                <w:szCs w:val="20"/>
                <w:color w:val="auto"/>
              </w:rPr>
            </w:pPr>
            <w:r>
              <w:rPr>
                <w:rFonts w:ascii="Arial" w:cs="Arial" w:eastAsia="Arial" w:hAnsi="Arial"/>
                <w:sz w:val="12"/>
                <w:szCs w:val="12"/>
                <w:color w:val="auto"/>
                <w:w w:val="90"/>
              </w:rPr>
              <w:t>Securities Sold Under Agreements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rPr>
                <w:sz w:val="20"/>
                <w:szCs w:val="20"/>
                <w:color w:val="auto"/>
              </w:rPr>
            </w:pPr>
            <w:r>
              <w:rPr>
                <w:rFonts w:ascii="Arial" w:cs="Arial" w:eastAsia="Arial" w:hAnsi="Arial"/>
                <w:sz w:val="12"/>
                <w:szCs w:val="12"/>
                <w:color w:val="auto"/>
              </w:rPr>
              <w:t>to Repurchase</w:t>
            </w:r>
          </w:p>
        </w:tc>
        <w:tc>
          <w:tcPr>
            <w:tcW w:w="200" w:type="dxa"/>
            <w:vAlign w:val="bottom"/>
          </w:tcPr>
          <w:p>
            <w:pPr>
              <w:spacing w:after="0"/>
              <w:rPr>
                <w:sz w:val="12"/>
                <w:szCs w:val="12"/>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513.8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4.3</w:t>
            </w:r>
          </w:p>
        </w:tc>
        <w:tc>
          <w:tcPr>
            <w:tcW w:w="240" w:type="dxa"/>
            <w:vAlign w:val="bottom"/>
          </w:tcPr>
          <w:p>
            <w:pPr>
              <w:spacing w:after="0"/>
              <w:rPr>
                <w:sz w:val="12"/>
                <w:szCs w:val="12"/>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3.24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504.3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4.7</w:t>
            </w:r>
          </w:p>
        </w:tc>
        <w:tc>
          <w:tcPr>
            <w:tcW w:w="260" w:type="dxa"/>
            <w:vAlign w:val="bottom"/>
          </w:tcPr>
          <w:p>
            <w:pPr>
              <w:spacing w:after="0"/>
              <w:rPr>
                <w:sz w:val="12"/>
                <w:szCs w:val="12"/>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3.62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507.5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13.4</w:t>
            </w:r>
          </w:p>
        </w:tc>
        <w:tc>
          <w:tcPr>
            <w:tcW w:w="200" w:type="dxa"/>
            <w:vAlign w:val="bottom"/>
          </w:tcPr>
          <w:p>
            <w:pPr>
              <w:spacing w:after="0"/>
              <w:rPr>
                <w:sz w:val="12"/>
                <w:szCs w:val="12"/>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3.50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504.9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13.9</w:t>
            </w:r>
          </w:p>
        </w:tc>
        <w:tc>
          <w:tcPr>
            <w:tcW w:w="180" w:type="dxa"/>
            <w:vAlign w:val="bottom"/>
          </w:tcPr>
          <w:p>
            <w:pPr>
              <w:spacing w:after="0"/>
              <w:rPr>
                <w:sz w:val="12"/>
                <w:szCs w:val="12"/>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3.62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Debt</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110.6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0.7</w:t>
            </w: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208.5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0.8</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113.7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2.2</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233.6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2.7</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244"/>
        </w:trPr>
        <w:tc>
          <w:tcPr>
            <w:tcW w:w="1720" w:type="dxa"/>
            <w:vAlign w:val="bottom"/>
            <w:tcBorders>
              <w:top w:val="single" w:sz="8" w:color="auto"/>
            </w:tcBorders>
          </w:tcPr>
          <w:p>
            <w:pPr>
              <w:ind w:left="40"/>
              <w:spacing w:after="0"/>
              <w:rPr>
                <w:sz w:val="20"/>
                <w:szCs w:val="20"/>
                <w:color w:val="auto"/>
              </w:rPr>
            </w:pPr>
            <w:r>
              <w:rPr>
                <w:rFonts w:ascii="Arial" w:cs="Arial" w:eastAsia="Arial" w:hAnsi="Arial"/>
                <w:sz w:val="12"/>
                <w:szCs w:val="12"/>
                <w:b w:val="1"/>
                <w:bCs w:val="1"/>
                <w:color w:val="auto"/>
                <w:w w:val="90"/>
              </w:rPr>
              <w:t>Total Interest-Bearing Liabilities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11,574.7</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23.2</w:t>
            </w:r>
          </w:p>
        </w:tc>
        <w:tc>
          <w:tcPr>
            <w:tcW w:w="2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0.79</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w w:val="89"/>
              </w:rPr>
              <w:t>10,889.3</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16.5</w:t>
            </w:r>
          </w:p>
        </w:tc>
        <w:tc>
          <w:tcPr>
            <w:tcW w:w="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2"/>
                <w:szCs w:val="12"/>
                <w:color w:val="auto"/>
              </w:rPr>
              <w:t>0.60</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11,369.4</w:t>
            </w: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68.5</w:t>
            </w:r>
          </w:p>
        </w:tc>
        <w:tc>
          <w:tcPr>
            <w:tcW w:w="2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0.80</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10,852.9</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44.8</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2"/>
                <w:szCs w:val="12"/>
                <w:color w:val="auto"/>
              </w:rPr>
              <w:t>0.55</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17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Net Interest Income</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125.2</w:t>
            </w: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124.2</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375.7</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366.3</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2"/>
                <w:szCs w:val="12"/>
                <w:color w:val="auto"/>
              </w:rPr>
              <w:t>Interest Rate Spread</w:t>
            </w: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2"/>
                <w:szCs w:val="12"/>
                <w:color w:val="auto"/>
                <w:w w:val="99"/>
              </w:rPr>
              <w:t>2.77%</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2"/>
                <w:szCs w:val="12"/>
                <w:color w:val="auto"/>
                <w:w w:val="93"/>
              </w:rPr>
              <w:t>2.87%</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2"/>
                <w:szCs w:val="12"/>
                <w:color w:val="auto"/>
                <w:w w:val="93"/>
              </w:rPr>
              <w:t>2.81%</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2"/>
                <w:szCs w:val="12"/>
                <w:color w:val="auto"/>
                <w:w w:val="93"/>
              </w:rPr>
              <w:t>2.86%</w:t>
            </w:r>
          </w:p>
        </w:tc>
        <w:tc>
          <w:tcPr>
            <w:tcW w:w="0" w:type="dxa"/>
            <w:vAlign w:val="bottom"/>
          </w:tcPr>
          <w:p>
            <w:pPr>
              <w:spacing w:after="0" w:line="20" w:lineRule="exact"/>
              <w:rPr>
                <w:sz w:val="1"/>
                <w:szCs w:val="1"/>
                <w:color w:val="auto"/>
              </w:rPr>
            </w:pPr>
          </w:p>
        </w:tc>
      </w:tr>
      <w:tr>
        <w:trPr>
          <w:trHeight w:val="234"/>
        </w:trPr>
        <w:tc>
          <w:tcPr>
            <w:tcW w:w="1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Net Interest Margin</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99"/>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w w:val="93"/>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w w:val="93"/>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w w:val="93"/>
              </w:rPr>
              <w:t>3.04%</w:t>
            </w:r>
          </w:p>
        </w:tc>
        <w:tc>
          <w:tcPr>
            <w:tcW w:w="0" w:type="dxa"/>
            <w:vAlign w:val="bottom"/>
          </w:tcPr>
          <w:p>
            <w:pPr>
              <w:spacing w:after="0"/>
              <w:rPr>
                <w:sz w:val="1"/>
                <w:szCs w:val="1"/>
                <w:color w:val="auto"/>
              </w:rPr>
            </w:pPr>
          </w:p>
        </w:tc>
      </w:tr>
      <w:tr>
        <w:trPr>
          <w:trHeight w:val="156"/>
        </w:trPr>
        <w:tc>
          <w:tcPr>
            <w:tcW w:w="1720" w:type="dxa"/>
            <w:vAlign w:val="bottom"/>
          </w:tcPr>
          <w:p>
            <w:pPr>
              <w:ind w:left="40"/>
              <w:spacing w:after="0"/>
              <w:rPr>
                <w:sz w:val="20"/>
                <w:szCs w:val="20"/>
                <w:color w:val="auto"/>
              </w:rPr>
            </w:pPr>
            <w:r>
              <w:rPr>
                <w:rFonts w:ascii="Arial" w:cs="Arial" w:eastAsia="Arial" w:hAnsi="Arial"/>
                <w:sz w:val="12"/>
                <w:szCs w:val="12"/>
                <w:color w:val="auto"/>
              </w:rPr>
              <w:t>Noninterest-Bearing Demand</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rPr>
                <w:sz w:val="20"/>
                <w:szCs w:val="20"/>
                <w:color w:val="auto"/>
              </w:rPr>
            </w:pPr>
            <w:r>
              <w:rPr>
                <w:rFonts w:ascii="Arial" w:cs="Arial" w:eastAsia="Arial" w:hAnsi="Arial"/>
                <w:sz w:val="12"/>
                <w:szCs w:val="12"/>
                <w:color w:val="auto"/>
              </w:rPr>
              <w:t>Deposits</w:t>
            </w:r>
          </w:p>
        </w:tc>
        <w:tc>
          <w:tcPr>
            <w:tcW w:w="200" w:type="dxa"/>
            <w:vAlign w:val="bottom"/>
          </w:tcPr>
          <w:p>
            <w:pPr>
              <w:spacing w:after="0"/>
              <w:rPr>
                <w:sz w:val="12"/>
                <w:szCs w:val="12"/>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4,407.5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4,655.6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4,454.9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4,653.2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333.8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Shareholders’ Equity</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1,289.4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1,250.5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1,275.8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1,242.6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720" w:type="dxa"/>
            <w:vAlign w:val="bottom"/>
            <w:shd w:val="clear" w:color="auto" w:fill="CCEEFF"/>
          </w:tcPr>
          <w:p>
            <w:pPr>
              <w:ind w:left="40"/>
              <w:spacing w:after="0" w:line="134" w:lineRule="exact"/>
              <w:rPr>
                <w:sz w:val="20"/>
                <w:szCs w:val="20"/>
                <w:color w:val="auto"/>
              </w:rPr>
            </w:pPr>
            <w:r>
              <w:rPr>
                <w:rFonts w:ascii="Arial" w:cs="Arial" w:eastAsia="Arial" w:hAnsi="Arial"/>
                <w:sz w:val="12"/>
                <w:szCs w:val="12"/>
                <w:b w:val="1"/>
                <w:bCs w:val="1"/>
                <w:color w:val="auto"/>
              </w:rPr>
              <w:t>Total Liabilities and</w:t>
            </w:r>
          </w:p>
        </w:tc>
        <w:tc>
          <w:tcPr>
            <w:tcW w:w="2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62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17,605.4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w w:val="89"/>
              </w:rPr>
              <w:t>17,015.3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17,442.1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16,965.1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b w:val="1"/>
                <w:bCs w:val="1"/>
                <w:color w:val="auto"/>
              </w:rPr>
              <w:t>Shareholders’ Equity</w:t>
            </w: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9"/>
          <w:szCs w:val="9"/>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8"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9"/>
          <w:szCs w:val="9"/>
          <w:color w:val="auto"/>
        </w:rPr>
      </w:pPr>
      <w:r>
        <w:rPr>
          <w:rFonts w:ascii="Arial" w:cs="Arial" w:eastAsia="Arial" w:hAnsi="Arial"/>
          <w:sz w:val="13"/>
          <w:szCs w:val="13"/>
          <w:color w:val="auto"/>
        </w:rPr>
        <w:t>Comprised of other consumer revolving credit, installment, and consumer lease financing.</w:t>
      </w:r>
    </w:p>
    <w:p>
      <w:pPr>
        <w:ind w:left="180" w:right="200" w:hanging="172"/>
        <w:spacing w:after="0" w:line="283" w:lineRule="auto"/>
        <w:tabs>
          <w:tab w:leader="none" w:pos="180" w:val="left"/>
        </w:tabs>
        <w:numPr>
          <w:ilvl w:val="0"/>
          <w:numId w:val="37"/>
        </w:numPr>
        <w:rPr>
          <w:rFonts w:ascii="Arial" w:cs="Arial" w:eastAsia="Arial" w:hAnsi="Arial"/>
          <w:sz w:val="9"/>
          <w:szCs w:val="9"/>
          <w:color w:val="auto"/>
        </w:rPr>
      </w:pPr>
      <w:r>
        <w:rPr>
          <w:rFonts w:ascii="Arial" w:cs="Arial" w:eastAsia="Arial" w:hAnsi="Arial"/>
          <w:sz w:val="13"/>
          <w:szCs w:val="13"/>
          <w:color w:val="auto"/>
        </w:rPr>
        <w:t>Interest income includes taxable-equivalent basis adjustments, based upon a federal statutory tax rate of 21%, of $0.3 million and $1.9 million for the three and nine months ended September 30, 2019 and of $1.3 million and $3.9 million for the three and nine months ended September 30, 2018, respectively.</w:t>
      </w:r>
    </w:p>
    <w:p>
      <w:pPr>
        <w:sectPr>
          <w:pgSz w:w="11900" w:h="16838" w:orient="portrait"/>
          <w:cols w:equalWidth="0" w:num="1">
            <w:col w:w="11420"/>
          </w:cols>
          <w:pgMar w:left="240" w:top="130" w:right="239" w:bottom="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30" w:right="239" w:bottom="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Analysis of Change in Net Interest Income - Taxable-Equivalent Basis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4</w:t>
            </w:r>
          </w:p>
        </w:tc>
      </w:tr>
      <w:tr>
        <w:trPr>
          <w:trHeight w:val="27"/>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Nine Months Ended September 30, 2019</w:t>
            </w:r>
          </w:p>
        </w:tc>
        <w:tc>
          <w:tcPr>
            <w:tcW w:w="800" w:type="dxa"/>
            <w:vAlign w:val="bottom"/>
          </w:tcPr>
          <w:p>
            <w:pPr>
              <w:spacing w:after="0"/>
              <w:rPr>
                <w:sz w:val="20"/>
                <w:szCs w:val="20"/>
                <w:color w:val="auto"/>
              </w:rPr>
            </w:pPr>
          </w:p>
        </w:tc>
      </w:tr>
      <w:tr>
        <w:trPr>
          <w:trHeight w:val="270"/>
        </w:trPr>
        <w:tc>
          <w:tcPr>
            <w:tcW w:w="6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40" w:type="dxa"/>
            <w:vAlign w:val="bottom"/>
            <w:gridSpan w:val="3"/>
          </w:tcPr>
          <w:p>
            <w:pPr>
              <w:jc w:val="right"/>
              <w:spacing w:after="0"/>
              <w:rPr>
                <w:sz w:val="20"/>
                <w:szCs w:val="20"/>
                <w:color w:val="auto"/>
              </w:rPr>
            </w:pPr>
            <w:r>
              <w:rPr>
                <w:rFonts w:ascii="Arial" w:cs="Arial" w:eastAsia="Arial" w:hAnsi="Arial"/>
                <w:sz w:val="16"/>
                <w:szCs w:val="16"/>
                <w:b w:val="1"/>
                <w:bCs w:val="1"/>
                <w:color w:val="auto"/>
              </w:rPr>
              <w:t>Compared to September 30, 2018</w:t>
            </w: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3"/>
        </w:trPr>
        <w:tc>
          <w:tcPr>
            <w:tcW w:w="6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8"/>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millions)</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7"/>
                <w:szCs w:val="17"/>
                <w:color w:val="auto"/>
                <w:vertAlign w:val="superscript"/>
              </w:rPr>
              <w:t>1</w:t>
            </w:r>
          </w:p>
        </w:tc>
        <w:tc>
          <w:tcPr>
            <w:tcW w:w="6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17"/>
                <w:szCs w:val="17"/>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Income: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(1.0)</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0.8</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Available-for-Sale</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Taxable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10.4</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5.0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r>
      <w:tr>
        <w:trPr>
          <w:trHeight w:val="237"/>
        </w:trPr>
        <w:tc>
          <w:tcPr>
            <w:tcW w:w="6660" w:type="dxa"/>
            <w:vAlign w:val="bottom"/>
          </w:tcPr>
          <w:p>
            <w:pPr>
              <w:ind w:left="360"/>
              <w:spacing w:after="0"/>
              <w:rPr>
                <w:sz w:val="20"/>
                <w:szCs w:val="20"/>
                <w:color w:val="auto"/>
              </w:rPr>
            </w:pPr>
            <w:r>
              <w:rPr>
                <w:rFonts w:ascii="Arial" w:cs="Arial" w:eastAsia="Arial" w:hAnsi="Arial"/>
                <w:sz w:val="16"/>
                <w:szCs w:val="16"/>
                <w:color w:val="auto"/>
              </w:rPr>
              <w:t>Non-Taxable</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(11.5)</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3.2</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Held-to-Maturity</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320"/>
              <w:spacing w:after="0"/>
              <w:rPr>
                <w:sz w:val="20"/>
                <w:szCs w:val="20"/>
                <w:color w:val="auto"/>
              </w:rPr>
            </w:pPr>
            <w:r>
              <w:rPr>
                <w:rFonts w:ascii="Arial" w:cs="Arial" w:eastAsia="Arial" w:hAnsi="Arial"/>
                <w:sz w:val="16"/>
                <w:szCs w:val="16"/>
                <w:color w:val="auto"/>
              </w:rPr>
              <w:t>Taxable</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(5.3)</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6.8</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Non-Taxable</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w:t>
            </w: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(8.1)</w:t>
            </w: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14.9</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0.1</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and Industrial</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2.6</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4.4</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Commercial Mortgage</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7.6</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3.8</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(2.0)</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0.7</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Commercial Lease Financing</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(0.3)</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0.3</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6.3</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0.8</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Home Equity</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2.3</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0.7</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Automobile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3.2</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5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0.3</w:t>
            </w:r>
          </w:p>
        </w:tc>
        <w:tc>
          <w:tcPr>
            <w:tcW w:w="6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(2.4)</w:t>
            </w: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 and Leases</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20.0</w:t>
            </w: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6.6</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(0.1)</w:t>
            </w: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(0.1)</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Change in Interest Income</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10.9</w:t>
            </w: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22.2</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r>
      <w:tr>
        <w:trPr>
          <w:trHeight w:val="264"/>
        </w:trPr>
        <w:tc>
          <w:tcPr>
            <w:tcW w:w="66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Interest-Bearing Deposits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Demand</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0.8</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Savings</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1.0</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14.3</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15.3</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Time</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1.0</w:t>
            </w: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6.9</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Interest-Bearing Deposits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2.0</w:t>
            </w: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22.0</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0.5</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0.2</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0.1</w:t>
            </w:r>
          </w:p>
        </w:tc>
        <w:tc>
          <w:tcPr>
            <w:tcW w:w="64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(0.6)</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(1.8)</w:t>
            </w: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Change in Interest Expense</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0.8</w:t>
            </w: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22.9</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23.7</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6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b w:val="1"/>
                <w:bCs w:val="1"/>
                <w:color w:val="auto"/>
              </w:rPr>
              <w:t>Change in Net Interest Income</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10.1</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(0.7)</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9.4</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9"/>
          <w:szCs w:val="9"/>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line="13"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9"/>
          <w:szCs w:val="9"/>
          <w:color w:val="auto"/>
        </w:rPr>
      </w:pPr>
      <w:r>
        <w:rPr>
          <w:rFonts w:ascii="Arial" w:cs="Arial" w:eastAsia="Arial" w:hAnsi="Arial"/>
          <w:sz w:val="14"/>
          <w:szCs w:val="14"/>
          <w:color w:val="auto"/>
        </w:rPr>
        <w:t>Comprised of other consumer revolving credit, installment, and consumer lease financing.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ectPr>
          <w:pgSz w:w="11900" w:h="16838" w:orient="portrait"/>
          <w:cols w:equalWidth="0" w:num="1">
            <w:col w:w="11420"/>
          </w:cols>
          <w:pgMar w:left="240" w:top="130"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30" w:right="2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Net interest income was $124.9 million for the third quarter of 2019, an increase of $2.0 million or 2% compared to the same period in 2018. On a taxable-equivalent basis, net interest income was $125.2 million for the third quarter of 2019, an increase of $1.0 million or 1% compared to the same period in 2018. Net interest income was $373.8 million for the first nine months of 2019, an increase of $11.5 million or 3% compared to the same period in 2018. On a taxable-equivalent basis, net interest income was $375.7 million for the first nine months of 2019, an increase of $9.4 million or 3% compared to the same period in 2018. This increase was primarily due to a higher level of earning assets, including growth in both our commercial and consumer lending portfolios. The higher level of earning assets was primarily funded by higher deposit balances. Net interest margin was 3.01% in the third quarter of 2019, a six basis point decrease from the same period in 2018. We experienced higher yields in both our investment securities portfolio and loan portfolios, which were offset by higher rates paid on our interest-bearing deposits, a reflection of the higher short-term rate environment. Net interest margin was 3.05% for the first nine months of 2019, an increase of one basis point compared to the same period in 2018 primarily due to our loans, which generally have higher yields than our investment securities, comprising a larger percentage of our earning assets compared to 2018. In addition, yields increased for our commercial loans due to higher variable rates. Our investments securities portfolio yields also increased due to higher variable rates on our floating rate securities coupled with lower premium amortization. These increases were partially offset by higher funding costs.</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Yields on our earning assets increased by 9 basis points in the third quarter of 2019, and 20 basis points in the first nine months of 2019 compared to the same periods in 2018 primarily due to the shift in the mix of our earning assets from investment securities to loans, which generally have higher yields. Yield increases in our construction loans and commercial and industrial loans were primarily due to higher yields on floating rate loans. Yields on our construction loans increased by 45 basis points in the third quarter of 2019 and by 58 basis points in the first nine months of 2019 compared to the same periods in 2018 primarily due to new loans with higher rates than the loans that were paid off or transferred to commercial mortgage upon completion. Yields on our commercial and industrial loans increased by 10 basis points in the third quarter of 2019 and by 43 basis points in the first nine months of 2019 compared to the same periods in 2018 primarily due to an increase in interest recoveries in the current year and new loans with slightly higher rates. Yields on our funds sold increased by 19 basis points in the third quarter of 2019 and by 55 basis points in the first nine months of 2019 compared to the same periods in 2018 primarily due to federal fund rate increases. In addition, yields on our investment securities portfolio increased by 18 basis points in the third quarter of 2019 and by 29 basis points in the first nine months of 2019 compared to the same periods in 2018. These yield increases were partially offset by a 74 basis point decrease in the third quarter of 2019 and by a 68 basis point decrease in the first nine months of 2019 in our other loans portfolio primarily due to the completed sale of our MyBankoh Rewards Credit Card portfolio on November 1, 2018, combined with a 25 basis point decrease in the third quarter of 2019 and a 37 basis point decrease in the first nine months of 2019 in our automobile loans portfolio compared to the same periods in 2018.</w:t>
      </w:r>
    </w:p>
    <w:p>
      <w:pPr>
        <w:spacing w:after="0" w:line="17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Interest rates paid on our interest-bearing liabilities increased by 19 basis points in the third quarter of 2019, and 25 basis points in the first nine months of 2019 compared to the same periods in 2018. Increases to our funding costs were primarily due to higher rates paid on our interest-bearing deposits, a reflection of the higher short-term rate environment. The average balance of savings deposits increased by $639.6 million or 12% in the third quarter of 2019 and by $548.8 million or 10% for the first nine months of 2019 compared to the same periods in 2018. Other debt increased by 102 basis points in the third quarter of 2019, and by 102 basis points in the first nine months of 2019 compared to the same periods in 2018. Other debt is comprised primarily of FHLB advances. Our outstanding FHLB advances had a weighted-average interest rate of 2.12% and 1.29% as of September 30, 2019 and September 30, 2018, respectively. The FHLB advances weighted-average interest rate increased primarily due to lower cost FHLB advances that matured during the time period combined with the addition of higher cost FHLB advances.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30" w:right="25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Average balances of our earning assets increased by $433.0 million or 3% in the third quarter of 2019 and by $311.7 million or 2% in the first nine months of 2019 compared to the same periods in 2018 primarily due to loan growth as the average balances of our loan and lease portfolio increased by $688.8 million in the third quarter of 2019 and by $673.8 million in the first nine months of 2019 compared to the same periods in 2018. Partially offsetting this increase in the average balance of our loan and lease portfolio was a $100.0 million decrease in the average balance of investment securities in the third quarter of 2019 and a $298.6 million decrease in the first nine months of 2019 compared to the same periods in 2018. The average balance of our commercial mortgage portfolio increased by $243.2 million in the third quarter of 2019 and by $240.1 million in the first nine months of 2019 compared to the same periods in 2018 as a result of continued demand from new and existing customers as the Hawaii economy continued to be strong. The average balance in our residential mortgage portfolio increased by $246.1 million in the third quarter of 2019 and by $217.4 million in the first nine months of 2019 compared to the same periods in 2018 primarily due to higher loan originations partially offset by an increase in payoff activity. The average balance in our automobile portfolio increased by $100.7 million in the third quarter of 2019 and by $113.9 million in the first nine months of 2019 compared to the same periods in 2018 primarily due to competitive loan programs and pricing. The average balance of our home equity portfolio increased by $66.8 million in the third quarter of 2019 and by $81.2 million in the first nine months of 2019 compared to the same periods in 2018 as a result of slightly lower but consistent loan demand in a strong Hawaii economy. Additionally, utilization rates remained steady on existing home equity lines during the first nine months of 2019.</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Average balances of our interest-bearing liabilities increased by $685.4 million or 6% in the third quarter of 2019 and by $516.5 million or 5% in the first nine months of 2019 compared to the same periods in 2018 primarily due to growth in our relationship savings products. Average balance in our core deposit products increased by $590.3 million in the third quarter of 2019 and by $497.2 million in the first nine months of 2019 compared to the same periods in</w:t>
      </w:r>
    </w:p>
    <w:p>
      <w:pPr>
        <w:ind w:right="60"/>
        <w:spacing w:after="0" w:line="261" w:lineRule="auto"/>
        <w:rPr>
          <w:sz w:val="20"/>
          <w:szCs w:val="20"/>
          <w:color w:val="auto"/>
        </w:rPr>
      </w:pPr>
      <w:r>
        <w:rPr>
          <w:rFonts w:ascii="Arial" w:cs="Arial" w:eastAsia="Arial" w:hAnsi="Arial"/>
          <w:sz w:val="18"/>
          <w:szCs w:val="18"/>
          <w:color w:val="auto"/>
        </w:rPr>
        <w:t>2018. Average balances in other debt decreased by $97.9 million in the third quarter of 2019 and by $119.9 million in the first nine months of 2019 compared to the same periods in 2018 primarily due to the maturing of FHLB advances.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provision for credit losses (the “Provision”) reflects our judgment of the expense or benefit necessary to achieve the appropriate amount of the Allowance. We maintain the Allowance at levels we believe adequate to cover our estimate of probable credit losses as of the end of the reporting period. The Allowance is determined through detailed quarterly analyses of the loan and lease portfolio. The Allowance is based on our loss experience and changes in the economic environment, as well as an ongoing assessment of credit quality. Additional factors that are considered in determining the amount of the Allowance are the level of net charge-offs, non-performing assets, risk-rating migration, as well as changes in our portfolio size and composition. We recorded a provision of $4.3 million in the third quarter of 2019 compared to a $3.8 million provision in the same period in 2018. For the first nine months of 2019 we recorded a provision of $11.3 million compared to $11.4 million in the same period of 2018. Our decision to record a provision is reflective of our evaluation of the adequacy of the Allowance. For further discussion on the Allowance, see “Corporate Risk Profile - Reserve for Credit Losses” in this Management’s Discussion and Analysis of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Noninterest income increased by $5.0 million or 12% in the third quarter of 2019 and by $8.8 million or 7% for the first nine months of 2019 compared to the same periods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5 presents the components of noninterest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5</w:t>
            </w:r>
          </w:p>
        </w:tc>
      </w:tr>
      <w:tr>
        <w:trPr>
          <w:trHeight w:val="33"/>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5"/>
          </w:tcPr>
          <w:p>
            <w:pPr>
              <w:jc w:val="right"/>
              <w:ind w:right="43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8"/>
        </w:trPr>
        <w:tc>
          <w:tcPr>
            <w:tcW w:w="4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Change</w:t>
            </w: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Change</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Trust and Asset Management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10,930</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10,782</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2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33,076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33,319</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Banking</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4,864</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1,965</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10,487</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6,289</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4,198</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Service Charges on Deposit Accounts</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7,592</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7,255</w:t>
            </w:r>
          </w:p>
        </w:tc>
        <w:tc>
          <w:tcPr>
            <w:tcW w:w="3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22,239</w:t>
            </w:r>
          </w:p>
        </w:tc>
        <w:tc>
          <w:tcPr>
            <w:tcW w:w="3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21,249</w:t>
            </w:r>
          </w:p>
        </w:tc>
        <w:tc>
          <w:tcPr>
            <w:tcW w:w="3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990</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Fees, Exchange, and Other Service Charges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14,900</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14,173</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43,360</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42,906</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Investment Securities Gains (Losses), Net</w:t>
            </w:r>
          </w:p>
        </w:tc>
        <w:tc>
          <w:tcPr>
            <w:tcW w:w="30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(1,469)</w:t>
            </w:r>
          </w:p>
        </w:tc>
        <w:tc>
          <w:tcPr>
            <w:tcW w:w="4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(729)</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(3,080)</w:t>
            </w:r>
          </w:p>
        </w:tc>
        <w:tc>
          <w:tcPr>
            <w:tcW w:w="36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(3,097)</w:t>
            </w:r>
          </w:p>
        </w:tc>
        <w:tc>
          <w:tcPr>
            <w:tcW w:w="3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Annuity and Insurance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1,278</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1,360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5,662</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4,413</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Bank-Owned Life Insurance</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1,647</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1,620</w:t>
            </w:r>
          </w:p>
        </w:tc>
        <w:tc>
          <w:tcPr>
            <w:tcW w:w="3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5,136</w:t>
            </w:r>
          </w:p>
        </w:tc>
        <w:tc>
          <w:tcPr>
            <w:tcW w:w="3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5,258</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6,765</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5,056</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1,709</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18,756</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16,478</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2,278</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46,507</w:t>
            </w:r>
          </w:p>
        </w:tc>
        <w:tc>
          <w:tcPr>
            <w:tcW w:w="4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41,482</w:t>
            </w:r>
          </w:p>
        </w:tc>
        <w:tc>
          <w:tcPr>
            <w:tcW w:w="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5,025</w:t>
            </w:r>
          </w:p>
        </w:tc>
        <w:tc>
          <w:tcPr>
            <w:tcW w:w="2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135,636</w:t>
            </w:r>
          </w:p>
        </w:tc>
        <w:tc>
          <w:tcPr>
            <w:tcW w:w="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126,815</w:t>
            </w: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8,821</w:t>
            </w:r>
          </w:p>
        </w:tc>
      </w:tr>
      <w:tr>
        <w:trPr>
          <w:trHeight w:val="33"/>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Trust and asset management income is comprised of fees earned from the management and administration of trusts and other customer assets. These fees are largely based upon the market value of the assets we manage and the fee rate charged to customers. Total trust assets under administration were $10.5 billion and $9.7 billion as of September 30, 2019 and 2018, respectively. Trust and asset management income remained relatively unchanged in the third quarter of 2019 compared to the same period in 2018. Trust and asset management income decreased by $0.2 million or 1% for the first nine months of 2019 compared to the same periods in 2018 due to decreases in market value, number of accounts, and tax service fees.</w:t>
      </w: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Mortgage banking income is highly influenced by mortgage interest rates, the housing market, the amount of our loan sales, and our valuation of mortgage servicing rights. Mortgage banking income increased by $2.9 million or 148% in the third quarter of 2019 and by $4.2 million or 67% for the first nine months of 2019 compared to the same periods in 2018. This increase was primarily due to increased sales of conforming saleable loans from current production.</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Service charges on deposit accounts increased by $0.3 million or 5% in the third quarter of 2019 compared to the same period in 2018. This increase was primarily due to a $0.3 million increase in overdraft fees. Service charges on deposit accounts increased by $1.0 million or 5% for the first nine months of 2019 compared to the same period in 2018. This increase was primarily due to a $1.1 million increase in overdraft fees partially offset by a $0.3 million decrease in account analysis and other fees.</w:t>
      </w:r>
    </w:p>
    <w:p>
      <w:pPr>
        <w:spacing w:after="0" w:line="18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Investment securities gains (losses), net totaled $(1.5) million in the third quarter of 2019 compared to $(0.7) million during the same period in 2018. In September 2019, Visa announced a reduction of the conversion ratio of its Class B shares from 1.6298 to 1.6228 effective September 27, 2019. As a result, the Company recorded a $0.5 million liability in September 2019, which represented the amount due to the buyers of our Visa Class B shares in September 2019. Investment securities gains (losses), net totaled $(3.1) million in the first nine months of 2019 relatively unchanged compared to the same period in</w:t>
      </w:r>
    </w:p>
    <w:p>
      <w:pPr>
        <w:spacing w:after="0" w:line="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2018. The net losses in 2019 and 2018 were primarily due to fees paid to the counterparties of our prior Visa Class B share sale transactions. In June 2018, Visa announced a reduction of the conversion ratio of its Class B shares from 1.6483 to 1.6298 effective June 28, 2018. As a result, the Company recorded a $1.0 million liability in June 2018, which represented the amount due to the buyers of our Visa Class B shares in July 2018.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Concurrent with each sale of Visa Class B shares, we entered into an agreement with the buyer that requires payment to the buyer in the event Visa further reduces the conversion ratio. Based on the existing transfer restriction and the uncertainty of the covered litigation, the remaining 83,014 Visa Class B shares (134,715 Class A equivalents) that we own are carried at a zero cost basis.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Annuity and insurance income decreased by $0.1 million or 6% in the third quarter of 2019 compared to the same period in 2018. This decrease was primarily due to lower sales of our annuity products. Annuity and insurance income increased by $1.2 million or 28% for the first nine months of 2019 compared to the same period in 2018 primarily due to a one-time commission received related to insurance products offered through a third-party administrator.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Other noninterest income increased by $1.7 million or 34% in the third quarter of 2019 compared to the same period in 2018 primarily due to a $2.6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increase in fees related to our customer interest rate swap derivatives. This increase was partially offset by a decrease in net gain on sale of leased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$0.6 million. Other noninterest income increased by $2.3 million or 14% for the first nine months of 2019 compared to the same period in 2018. This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due to a $4.9 million increase in fees related to our customer interest rate swap derivatives combined with a $0.3 million increase in net gain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of leased assets. These increases were partially offset by a distribution received in the first quarter of 2018 from a low-income housing investment sale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totaling $2.8 million.</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Noninterest expense increased by $9.8 million or 11% in the third quarter of 2019 and by $10.4 million or 4% for the first nine months of 2019 compared to the same periods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6 presents the components of noninterest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Noninterest Expense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6</w:t>
            </w: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6"/>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6"/>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20"/>
                <w:szCs w:val="20"/>
                <w:color w:val="auto"/>
              </w:rPr>
            </w:pPr>
          </w:p>
        </w:tc>
        <w:tc>
          <w:tcPr>
            <w:tcW w:w="3120" w:type="dxa"/>
            <w:vAlign w:val="bottom"/>
            <w:gridSpan w:val="5"/>
          </w:tcPr>
          <w:p>
            <w:pPr>
              <w:jc w:val="right"/>
              <w:ind w:right="37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Salaries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33,458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33,308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98,772</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99,281</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Incentive Compensation</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5,681</w:t>
            </w:r>
          </w:p>
        </w:tc>
        <w:tc>
          <w:tcPr>
            <w:tcW w:w="40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5,378</w:t>
            </w:r>
          </w:p>
        </w:tc>
        <w:tc>
          <w:tcPr>
            <w:tcW w:w="2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17,049</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14,972</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2,077</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2,025</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2,153</w:t>
            </w: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7,098</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6,657</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Commission Expense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1,760</w:t>
            </w:r>
          </w:p>
        </w:tc>
        <w:tc>
          <w:tcPr>
            <w:tcW w:w="40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1,034</w:t>
            </w:r>
          </w:p>
        </w:tc>
        <w:tc>
          <w:tcPr>
            <w:tcW w:w="2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4,394</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3,260</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1,134</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and Other Benefits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4,185</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3,925</w:t>
            </w: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13,872</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12,944</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Payroll Taxes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2,519</w:t>
            </w:r>
          </w:p>
        </w:tc>
        <w:tc>
          <w:tcPr>
            <w:tcW w:w="40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2,372</w:t>
            </w:r>
          </w:p>
        </w:tc>
        <w:tc>
          <w:tcPr>
            <w:tcW w:w="2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9,409</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9,112</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297</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Dental, and Life Insurance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3,908</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3,616</w:t>
            </w: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12,299</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10,897</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Separation Expense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809</w:t>
            </w:r>
          </w:p>
        </w:tc>
        <w:tc>
          <w:tcPr>
            <w:tcW w:w="4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1,549</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1,229</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320</w:t>
            </w: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Salaries and Benefits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54,345</w:t>
            </w: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51,782</w:t>
            </w:r>
          </w:p>
        </w:tc>
        <w:tc>
          <w:tcPr>
            <w:tcW w:w="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164,442</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158,352</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6,090</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Occupancy</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8,803</w:t>
            </w: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8,702</w:t>
            </w: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24,976</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25,824</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(848)</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Equipment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7,637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6,116</w:t>
            </w: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21,365</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17,488</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3,877</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Data Processing</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4,676</w:t>
            </w:r>
          </w:p>
        </w:tc>
        <w:tc>
          <w:tcPr>
            <w:tcW w:w="40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4,241</w:t>
            </w:r>
          </w:p>
        </w:tc>
        <w:tc>
          <w:tcPr>
            <w:tcW w:w="2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13,929</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12,695</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1,234</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2,184</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2,206</w:t>
            </w: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6,814</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7,525</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FDIC Insurance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1,257</w:t>
            </w:r>
          </w:p>
        </w:tc>
        <w:tc>
          <w:tcPr>
            <w:tcW w:w="40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2,057</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3,816</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6,396</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(2,580)</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Delivery and Postage Services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1,966</w:t>
            </w:r>
          </w:p>
        </w:tc>
        <w:tc>
          <w:tcPr>
            <w:tcW w:w="40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1,989</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5,958</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6,410</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(452)</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Mileage Program Travel</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1,196</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1,180</w:t>
            </w: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3,554</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3,523</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Merchant Transaction and Card Processing Fees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1,572</w:t>
            </w:r>
          </w:p>
        </w:tc>
        <w:tc>
          <w:tcPr>
            <w:tcW w:w="40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1,359</w:t>
            </w:r>
          </w:p>
        </w:tc>
        <w:tc>
          <w:tcPr>
            <w:tcW w:w="2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4,191</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3,883</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308</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1,449</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1,455</w:t>
            </w: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4,155</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3,963</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Amortization of Solar Energy Partnership Investments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940</w:t>
            </w:r>
          </w:p>
        </w:tc>
        <w:tc>
          <w:tcPr>
            <w:tcW w:w="40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916</w:t>
            </w:r>
          </w:p>
        </w:tc>
        <w:tc>
          <w:tcPr>
            <w:tcW w:w="2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2,820</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2,748</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14,324</w:t>
            </w: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8,535</w:t>
            </w: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30,111</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26,906</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3,205</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Expense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21,447</w:t>
            </w: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15,434</w:t>
            </w: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6,013</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50,789</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47,433</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3,356</w:t>
            </w: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100,349</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90,538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286,131</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275,713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10,418</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Total salaries and benefits expense increased by $2.6 million or 5% in the third quarter of 2019 compared to the same period in 2018 primarily due to a $0.8 million increase in separation expense coupled with a $0.7 million increase in commission expense primarily due to an increase in mortgage banking production volume as refinancing activity increased. Incentive compensation increased by $0.3 million. Medical, dental, and life insurance increased by $0.3 million. Total salaries and benefits expense increased by $6.1 million or 4% for the first nine months of 2019 compared to the same period in 2018. Incentive compensation increased by $2.1 million. Medical, dental, and life insurance increased by $1.4 million primarily due to an increase in group health plan costs. In addition, commission expense increased by $1.1 million primarily due to aforementioned mortgage banking production.</w:t>
      </w:r>
    </w:p>
    <w:p>
      <w:pPr>
        <w:spacing w:after="0" w:line="16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Net occupancy remained relatively unchanged in the third quarter of 2019 compared to the same period in 2018. Net occupancy decreased by $0.8 million or 3% for the first nine months of 2019 compared to the same periods in 2018 primarily due to a $1.1 million decrease in net rental expense.</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equipment increased by $1.5 million or 25% in the third quarter of 2019 and by $3.9 million or 22% for the first nine months of 2019 compared to the same period in 2018. These increases were due to higher depreciation expense.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Data processing increased by $0.4 million or 10% in the third quarter of 2019 and by $1.2 million or 10% for the first nine months of 2019 compared to the same period in 2018 due to ongoing information technology projects.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Professional fees remained relatively unchanged in the in the third quarter of 2019 compared to the same period in 2018. Professional fees decreased by $0.7 million or 9% for the first nine months of 2019 compared to the same period in 2018 primarily due to a decrease in in legal fees and professional services primarily in our mortgage division.</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30" w:right="23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FDIC insurance decreased by $0.8 million or 39% in the third quarter of 2019 and by $2.6 million or 40% for the first nine months of 2019 compared to the same period in 2018 due to the end of an FDIC surcharge in September 2018 and a decrease in FDIC assessment rates.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Total other expense increased by $6.0 million or 39% in the third quarter of 2019 compared to the same period in 2018 primarily due to a $6.0 million increase in legal reserves for a tentative settlement of a class action lawsuit regarding the Company’s overdraft practices. Total other expense increased by $3.4 million or 7% for the first nine months of 2019 compared to the same period in 2018, primarily due to the aforementioned $6.0 million legal reserve recorded in September 2019 related to the tentative settlement of a class action lawsuit regarding the Company’s overdraft practices. This increase was partially offset by a $2.6 million decrease in credit card expense due to the completed sale of our MyBankoh Rewards Credit Card portfolio on November 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our provision for income taxes and effective tax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w w:val="97"/>
              </w:rPr>
              <w:t>Table 7</w:t>
            </w:r>
          </w:p>
        </w:tc>
      </w:tr>
      <w:tr>
        <w:trPr>
          <w:trHeight w:val="33"/>
        </w:trPr>
        <w:tc>
          <w:tcPr>
            <w:tcW w:w="6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r>
      <w:tr>
        <w:trPr>
          <w:trHeight w:val="209"/>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w w:val="92"/>
              </w:rPr>
              <w:t>Three Months Ended</w:t>
            </w:r>
          </w:p>
        </w:tc>
        <w:tc>
          <w:tcPr>
            <w:tcW w:w="340" w:type="dxa"/>
            <w:vAlign w:val="bottom"/>
          </w:tcPr>
          <w:p>
            <w:pPr>
              <w:spacing w:after="0"/>
              <w:rPr>
                <w:sz w:val="18"/>
                <w:szCs w:val="18"/>
                <w:color w:val="auto"/>
              </w:rPr>
            </w:pPr>
          </w:p>
        </w:tc>
        <w:tc>
          <w:tcPr>
            <w:tcW w:w="22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left="319"/>
              <w:spacing w:after="0"/>
              <w:rPr>
                <w:sz w:val="20"/>
                <w:szCs w:val="20"/>
                <w:color w:val="auto"/>
              </w:rPr>
            </w:pPr>
            <w:r>
              <w:rPr>
                <w:rFonts w:ascii="Arial" w:cs="Arial" w:eastAsia="Arial" w:hAnsi="Arial"/>
                <w:sz w:val="16"/>
                <w:szCs w:val="16"/>
                <w:b w:val="1"/>
                <w:bCs w:val="1"/>
                <w:color w:val="auto"/>
                <w:w w:val="89"/>
              </w:rPr>
              <w:t>September 30,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left="319"/>
              <w:spacing w:after="0"/>
              <w:rPr>
                <w:sz w:val="20"/>
                <w:szCs w:val="20"/>
                <w:color w:val="auto"/>
              </w:rPr>
            </w:pPr>
            <w:r>
              <w:rPr>
                <w:rFonts w:ascii="Arial" w:cs="Arial" w:eastAsia="Arial" w:hAnsi="Arial"/>
                <w:sz w:val="16"/>
                <w:szCs w:val="16"/>
                <w:b w:val="1"/>
                <w:bCs w:val="1"/>
                <w:color w:val="auto"/>
                <w:w w:val="89"/>
              </w:rPr>
              <w:t>September 30,</w:t>
            </w:r>
          </w:p>
        </w:tc>
        <w:tc>
          <w:tcPr>
            <w:tcW w:w="72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8"/>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14,752</w:t>
            </w:r>
          </w:p>
        </w:tc>
        <w:tc>
          <w:tcPr>
            <w:tcW w:w="5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13,138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44,315</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36,365</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Effective Tax Rates</w:t>
            </w:r>
          </w:p>
        </w:tc>
        <w:tc>
          <w:tcPr>
            <w:tcW w:w="3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22.08%</w:t>
            </w:r>
          </w:p>
        </w:tc>
        <w:tc>
          <w:tcPr>
            <w:tcW w:w="5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18.75%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20.89%</w:t>
            </w:r>
          </w:p>
        </w:tc>
        <w:tc>
          <w:tcPr>
            <w:tcW w:w="5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18.00%</w:t>
            </w:r>
          </w:p>
        </w:tc>
      </w:tr>
    </w:tbl>
    <w:p>
      <w:pPr>
        <w:spacing w:after="0" w:line="2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effective tax rate for the third quarter of 2019 was 22.08%, up from 18.75% for the same period in 2018. The higher effective tax rate in the third quarter of 2019 was primarily due to a reduced tax benefit from municipal bonds, which were sold in 2019 as part of a portfolio repositioning. The tax rate in the third quarter of 2018 was also favorably impacted by a $0.7 million tax benefit from an early buyout of a leveraged lease and a $0.4 million tax benefit from the release of valuation allowance for low income housing investment.</w:t>
      </w:r>
    </w:p>
    <w:p>
      <w:pPr>
        <w:spacing w:after="0" w:line="18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effective tax rate for the first nine months of 2019 was 20.89%, up from 18.00% for the same period in 2018. The higher effective tax rate for the first nine months of 2019 compared to 2018 was primarily due to a $2.0 million basis adjustment to the company’s low income housing investments in the first quarter of 2018 and the aforementioned reduced tax benefit from municipal bonds in the first nine months of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carrying value of our investment securities portfolio was $5.5 billion as of September 30, 2019 and December 31, 2018. As of September 30, 2019, our investment securities portfolio was comprised of securities with an average base duration of approximately 3.3 years.</w:t>
      </w:r>
    </w:p>
    <w:p>
      <w:pPr>
        <w:spacing w:after="0" w:line="14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 On June 10, 2019, prepayable debt securities with a carrying value of $1.0 billion and a net unrealized gain of $3.1 million were transferred from held-to-maturity to available-for-sale. The reclassified securities consisted of mortgage-backed securities issued by government agencies and U.S. government-sponsored enterprises, municipal debt securities, and corporate debt securities. See Note 1 to the Consolidated Financial Statements for more information.</w:t>
      </w:r>
    </w:p>
    <w:p>
      <w:pPr>
        <w:spacing w:after="0" w:line="17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During the first nine months of 2019 we reduced our positions in municipal debt securities and certain mortgage-backed securities as part of a portfolio repositioning. Ginnie Mae mortgage-backed securities continue to be the largest concentration in our portfolio. As of September 30, 2019, our portfolio of Ginnie Mae mortgage-backed securities was primarily comprised of securities issued in 2008 or later. As of September 30, 2019, these mortgage-backed securities were all AAA-rated, with a low probability of a change in their credit ratings in the near future. As of September 30, 2019, our available-for-sale investment securities portfolio was comprised of securities with an average base duration of approximately 2.9 years.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Gross unrealized gains in our investment securities portfolio were $61.4 million as of September 30, 2019 and $21.2 million as of December 31, 2018. Gross unrealized losses on our temporarily impaired investment securities were $16.7 million as of September 30, 2019 and $103.5 million as of December 31, 2018. The lower unrealized losses were primarily caused by the decrease in interest rates during the first nine months of 2019. The gross unrealized loss positions were primarily related to mortgage-backed securities issued by Ginnie Mae, Fannie Mae and Freddie Mac. See Note 3 to the Consolidated Financial Statements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Loan and Lease Portfolio Balances</w:t>
            </w:r>
          </w:p>
        </w:tc>
        <w:tc>
          <w:tcPr>
            <w:tcW w:w="3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8</w:t>
            </w:r>
          </w:p>
        </w:tc>
      </w:tr>
      <w:tr>
        <w:trPr>
          <w:trHeight w:val="33"/>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5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1,361,011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1,331,149</w:t>
            </w:r>
          </w:p>
        </w:tc>
      </w:tr>
      <w:tr>
        <w:trPr>
          <w:trHeight w:val="33"/>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2,477,296</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2,302,356</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154,754</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170,061</w:t>
            </w:r>
          </w:p>
        </w:tc>
      </w:tr>
      <w:tr>
        <w:trPr>
          <w:trHeight w:val="33"/>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163,672</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176,226</w:t>
            </w:r>
          </w:p>
        </w:tc>
      </w:tr>
      <w:tr>
        <w:trPr>
          <w:trHeight w:val="231"/>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4,156,733</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33"/>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3,846,511</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3,673,796</w:t>
            </w:r>
          </w:p>
        </w:tc>
      </w:tr>
      <w:tr>
        <w:trPr>
          <w:trHeight w:val="33"/>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1,681,951</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1,681,442</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713,424</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658,133</w:t>
            </w:r>
          </w:p>
        </w:tc>
      </w:tr>
      <w:tr>
        <w:trPr>
          <w:trHeight w:val="33"/>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482,679</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455,611</w:t>
            </w:r>
          </w:p>
        </w:tc>
      </w:tr>
      <w:tr>
        <w:trPr>
          <w:trHeight w:val="231"/>
        </w:trPr>
        <w:tc>
          <w:tcPr>
            <w:tcW w:w="52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6,724,565</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6,468,982</w:t>
            </w:r>
          </w:p>
        </w:tc>
      </w:tr>
      <w:tr>
        <w:trPr>
          <w:trHeight w:val="33"/>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10,881,298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10,448,774</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loans and leases as of September 30, 2019 increased by $432.5 million or 4% from December 31, 2018 due to growth in many of our commercial and consumer loan and lease portfolios.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Commercial loans and leases as of September 30, 2019 increased by $176.9 million or 4% from December 31, 2018. Commercial mortgage loans increased by $174.9 million or 8% from December 31, 2018 primarily due to continued demand from new and existing customers as the Hawaii economy continued to be strong. Commercial and industrial loans increased by $29.9 million or 2% from December 31, 2018. Construction loans decreased by $15.3 million or 9% from December 31, 2018 primarily due to paydowns and successful completion of construction projects such as condominiums and low-income housing, partially offset by increased activity in our portfolio. Lease financing decreased by $12.6 million or 7% from December 31, 2018 primarily due to a lessee exercising its early buy-out option on a leveraged lease in the first quarter of 2019.</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Consumer loans and leases as of September 30, 2019 increased by $255.6 million or 4% from December 31, 2018. Residential mortgage loans increased by $172.7 million or 5% from December 31, 2018, primarily due to higher loan originations, partially offset by an increase in payoff activity. Automobile loans increased by $55.3 million or 8% from December 31, 2018 primarily driven by competitive loan programs and pricing. Other consumer loans increased by $27.1 million or 6% from December 31, 2018, primarily due to growth in our installment loans.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Table 9 presents the composition of our loan and lease portfolio by geographic area and by major categories.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Geographic Distribution of Loan and Lease Portfolio</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9</w:t>
            </w:r>
          </w:p>
        </w:tc>
      </w:tr>
      <w:tr>
        <w:trPr>
          <w:trHeight w:val="27"/>
        </w:trPr>
        <w:tc>
          <w:tcPr>
            <w:tcW w:w="2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2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2"/>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Hawaii</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 xml:space="preserve">U.S. Mainland </w:t>
            </w:r>
            <w:r>
              <w:rPr>
                <w:rFonts w:ascii="Arial" w:cs="Arial" w:eastAsia="Arial" w:hAnsi="Arial"/>
                <w:sz w:val="17"/>
                <w:szCs w:val="17"/>
                <w:b w:val="1"/>
                <w:bCs w:val="1"/>
                <w:color w:val="auto"/>
                <w:w w:val="95"/>
                <w:vertAlign w:val="superscript"/>
              </w:rPr>
              <w:t>1</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Guam</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Pacific Islands</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Foreign </w:t>
            </w:r>
            <w:r>
              <w:rPr>
                <w:rFonts w:ascii="Arial" w:cs="Arial" w:eastAsia="Arial" w:hAnsi="Arial"/>
                <w:sz w:val="17"/>
                <w:szCs w:val="17"/>
                <w:b w:val="1"/>
                <w:bCs w:val="1"/>
                <w:color w:val="auto"/>
                <w:vertAlign w:val="superscript"/>
              </w:rPr>
              <w:t>2</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5"/>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2019</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2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1,172,703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105,507</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7,573</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1,361,011</w:t>
            </w:r>
          </w:p>
        </w:tc>
      </w:tr>
      <w:tr>
        <w:trPr>
          <w:trHeight w:val="237"/>
        </w:trPr>
        <w:tc>
          <w:tcPr>
            <w:tcW w:w="2400" w:type="dxa"/>
            <w:vAlign w:val="bottom"/>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2,094,143</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138,904</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243,779</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470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2,477,296</w:t>
            </w:r>
          </w:p>
        </w:tc>
      </w:tr>
      <w:tr>
        <w:trPr>
          <w:trHeight w:val="33"/>
        </w:trPr>
        <w:tc>
          <w:tcPr>
            <w:tcW w:w="2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154,754</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154,754</w:t>
            </w:r>
          </w:p>
        </w:tc>
      </w:tr>
      <w:tr>
        <w:trPr>
          <w:trHeight w:val="237"/>
        </w:trPr>
        <w:tc>
          <w:tcPr>
            <w:tcW w:w="2400" w:type="dxa"/>
            <w:vAlign w:val="bottom"/>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68,335</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92,381</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631</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2,325</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163,672</w:t>
            </w:r>
          </w:p>
        </w:tc>
      </w:tr>
      <w:tr>
        <w:trPr>
          <w:trHeight w:val="33"/>
        </w:trPr>
        <w:tc>
          <w:tcPr>
            <w:tcW w:w="2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3,489,935</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336,792</w:t>
            </w: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319,490</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8,043</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2,473</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4,156,733</w:t>
            </w:r>
          </w:p>
        </w:tc>
      </w:tr>
      <w:tr>
        <w:trPr>
          <w:trHeight w:val="231"/>
        </w:trPr>
        <w:tc>
          <w:tcPr>
            <w:tcW w:w="2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2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3,774,006</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71,269</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3,846,511</w:t>
            </w:r>
          </w:p>
        </w:tc>
      </w:tr>
      <w:tr>
        <w:trPr>
          <w:trHeight w:val="237"/>
        </w:trPr>
        <w:tc>
          <w:tcPr>
            <w:tcW w:w="240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1,641,709</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128</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39,662</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1,681,951</w:t>
            </w:r>
          </w:p>
        </w:tc>
      </w:tr>
      <w:tr>
        <w:trPr>
          <w:trHeight w:val="33"/>
        </w:trPr>
        <w:tc>
          <w:tcPr>
            <w:tcW w:w="2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552,023</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144,148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17,253</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713,424</w:t>
            </w:r>
          </w:p>
        </w:tc>
      </w:tr>
      <w:tr>
        <w:trPr>
          <w:trHeight w:val="270"/>
        </w:trPr>
        <w:tc>
          <w:tcPr>
            <w:tcW w:w="2400" w:type="dxa"/>
            <w:vAlign w:val="bottom"/>
            <w:tcBorders>
              <w:bottom w:val="single" w:sz="8" w:color="auto"/>
            </w:tcBorders>
          </w:tcPr>
          <w:p>
            <w:pPr>
              <w:ind w:left="3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3</w:t>
            </w:r>
          </w:p>
        </w:tc>
        <w:tc>
          <w:tcPr>
            <w:tcW w:w="6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398,220</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57,903</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26,555</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482,679</w:t>
            </w:r>
          </w:p>
        </w:tc>
      </w:tr>
      <w:tr>
        <w:trPr>
          <w:trHeight w:val="269"/>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6,365,958</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w:t>
            </w: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312,982</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45,496</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6,724,565</w:t>
            </w:r>
          </w:p>
        </w:tc>
      </w:tr>
      <w:tr>
        <w:trPr>
          <w:trHeight w:val="231"/>
        </w:trPr>
        <w:tc>
          <w:tcPr>
            <w:tcW w:w="24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9,855,893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336,920</w:t>
            </w:r>
          </w:p>
        </w:tc>
        <w:tc>
          <w:tcPr>
            <w:tcW w:w="5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632,472</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53,539</w:t>
            </w:r>
          </w:p>
        </w:tc>
        <w:tc>
          <w:tcPr>
            <w:tcW w:w="4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2,474</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10,881,298</w:t>
            </w:r>
          </w:p>
        </w:tc>
      </w:tr>
      <w:tr>
        <w:trPr>
          <w:trHeight w:val="73"/>
        </w:trPr>
        <w:tc>
          <w:tcPr>
            <w:tcW w:w="24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51"/>
        </w:trPr>
        <w:tc>
          <w:tcPr>
            <w:tcW w:w="24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7"/>
        </w:trPr>
        <w:tc>
          <w:tcPr>
            <w:tcW w:w="240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2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1,142,172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100,786</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86,763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1,277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1,331,149</w:t>
            </w:r>
          </w:p>
        </w:tc>
      </w:tr>
      <w:tr>
        <w:trPr>
          <w:trHeight w:val="33"/>
        </w:trPr>
        <w:tc>
          <w:tcPr>
            <w:tcW w:w="2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1,926,172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115,209</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260,501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2,302,356</w:t>
            </w:r>
          </w:p>
        </w:tc>
      </w:tr>
      <w:tr>
        <w:trPr>
          <w:trHeight w:val="237"/>
        </w:trPr>
        <w:tc>
          <w:tcPr>
            <w:tcW w:w="2400" w:type="dxa"/>
            <w:vAlign w:val="bottom"/>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170,061</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170,061</w:t>
            </w:r>
          </w:p>
        </w:tc>
      </w:tr>
      <w:tr>
        <w:trPr>
          <w:trHeight w:val="33"/>
        </w:trPr>
        <w:tc>
          <w:tcPr>
            <w:tcW w:w="2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2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61,813</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109,933</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786</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3,694</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176,226</w:t>
            </w:r>
          </w:p>
        </w:tc>
      </w:tr>
      <w:tr>
        <w:trPr>
          <w:trHeight w:val="231"/>
        </w:trPr>
        <w:tc>
          <w:tcPr>
            <w:tcW w:w="2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3,300,218</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325,928</w:t>
            </w: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348,050</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1,751</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3,845</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33"/>
        </w:trPr>
        <w:tc>
          <w:tcPr>
            <w:tcW w:w="2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3,596,908</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75,373</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1,515</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3,673,796</w:t>
            </w:r>
          </w:p>
        </w:tc>
      </w:tr>
      <w:tr>
        <w:trPr>
          <w:trHeight w:val="33"/>
        </w:trPr>
        <w:tc>
          <w:tcPr>
            <w:tcW w:w="2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1,643,529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36,571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1,681,442</w:t>
            </w:r>
          </w:p>
        </w:tc>
      </w:tr>
      <w:tr>
        <w:trPr>
          <w:trHeight w:val="237"/>
        </w:trPr>
        <w:tc>
          <w:tcPr>
            <w:tcW w:w="240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513,836</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131,967</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12,330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658,133</w:t>
            </w:r>
          </w:p>
        </w:tc>
      </w:tr>
      <w:tr>
        <w:trPr>
          <w:trHeight w:val="33"/>
        </w:trPr>
        <w:tc>
          <w:tcPr>
            <w:tcW w:w="2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9"/>
        </w:trPr>
        <w:tc>
          <w:tcPr>
            <w:tcW w:w="24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3</w:t>
            </w:r>
          </w:p>
        </w:tc>
        <w:tc>
          <w:tcPr>
            <w:tcW w:w="6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372,767</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53,992</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28,852</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455,611</w:t>
            </w:r>
          </w:p>
        </w:tc>
      </w:tr>
      <w:tr>
        <w:trPr>
          <w:trHeight w:val="232"/>
        </w:trPr>
        <w:tc>
          <w:tcPr>
            <w:tcW w:w="240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6,127,040</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297,903</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43,878</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6,468,982</w:t>
            </w:r>
          </w:p>
        </w:tc>
      </w:tr>
      <w:tr>
        <w:trPr>
          <w:trHeight w:val="33"/>
        </w:trPr>
        <w:tc>
          <w:tcPr>
            <w:tcW w:w="2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9,427,258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326,089</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645,953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45,629</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3,845</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10,448,774</w:t>
            </w:r>
          </w:p>
        </w:tc>
      </w:tr>
      <w:tr>
        <w:trPr>
          <w:trHeight w:val="20"/>
        </w:trPr>
        <w:tc>
          <w:tcPr>
            <w:tcW w:w="2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180" w:hanging="172"/>
        <w:spacing w:after="0" w:line="250" w:lineRule="auto"/>
        <w:tabs>
          <w:tab w:leader="none" w:pos="180" w:val="left"/>
        </w:tabs>
        <w:numPr>
          <w:ilvl w:val="0"/>
          <w:numId w:val="40"/>
        </w:numPr>
        <w:rPr>
          <w:rFonts w:ascii="Arial" w:cs="Arial" w:eastAsia="Arial" w:hAnsi="Arial"/>
          <w:sz w:val="9"/>
          <w:szCs w:val="9"/>
          <w:color w:val="auto"/>
        </w:rPr>
      </w:pPr>
      <w:r>
        <w:rPr>
          <w:rFonts w:ascii="Arial" w:cs="Arial" w:eastAsia="Arial" w:hAnsi="Arial"/>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spacing w:after="0" w:line="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9"/>
          <w:szCs w:val="9"/>
          <w:color w:val="auto"/>
        </w:rPr>
      </w:pPr>
      <w:r>
        <w:rPr>
          <w:rFonts w:ascii="Arial" w:cs="Arial" w:eastAsia="Arial" w:hAnsi="Arial"/>
          <w:sz w:val="14"/>
          <w:szCs w:val="14"/>
          <w:color w:val="auto"/>
        </w:rPr>
        <w:t>Loans and leases classified as Foreign represent those which are recorded in the Company’s international business units.</w:t>
      </w:r>
    </w:p>
    <w:p>
      <w:pPr>
        <w:spacing w:after="0" w:line="1"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30" w:right="239" w:bottom="1440" w:gutter="0" w:footer="0" w:header="0"/>
          <w:type w:val="continuous"/>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leveraged lease financing and participation in Shared National Credits.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$428.6 million or 5% from December 31, 2018, reflective of a healthy Hawaii economy.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the major components of other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10</w:t>
            </w:r>
          </w:p>
        </w:tc>
      </w:tr>
      <w:tr>
        <w:trPr>
          <w:trHeight w:val="33"/>
        </w:trPr>
        <w:tc>
          <w:tcPr>
            <w:tcW w:w="60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Federal Home Loan Bank and Federal Reserve Bank Stock</w:t>
            </w:r>
          </w:p>
        </w:tc>
        <w:tc>
          <w:tcPr>
            <w:tcW w:w="2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35,093</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35,858</w:t>
            </w:r>
          </w:p>
        </w:tc>
      </w:tr>
      <w:tr>
        <w:trPr>
          <w:trHeight w:val="33"/>
        </w:trPr>
        <w:tc>
          <w:tcPr>
            <w:tcW w:w="6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Financial Instruments</w:t>
            </w:r>
          </w:p>
        </w:tc>
        <w:tc>
          <w:tcPr>
            <w:tcW w:w="2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40,692</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Low-Income Housing and Other Equity Investments</w:t>
            </w:r>
          </w:p>
        </w:tc>
        <w:tc>
          <w:tcPr>
            <w:tcW w:w="240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81,184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85,860</w:t>
            </w:r>
          </w:p>
        </w:tc>
      </w:tr>
      <w:tr>
        <w:trPr>
          <w:trHeight w:val="33"/>
        </w:trPr>
        <w:tc>
          <w:tcPr>
            <w:tcW w:w="6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Compensation Plan Assets</w:t>
            </w:r>
          </w:p>
        </w:tc>
        <w:tc>
          <w:tcPr>
            <w:tcW w:w="2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37,865</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31,871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240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13,992</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8,533</w:t>
            </w:r>
          </w:p>
        </w:tc>
      </w:tr>
      <w:tr>
        <w:trPr>
          <w:trHeight w:val="33"/>
        </w:trPr>
        <w:tc>
          <w:tcPr>
            <w:tcW w:w="6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2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23,653</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18,996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240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44,236</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35,160</w:t>
            </w:r>
          </w:p>
        </w:tc>
      </w:tr>
      <w:tr>
        <w:trPr>
          <w:trHeight w:val="33"/>
        </w:trPr>
        <w:tc>
          <w:tcPr>
            <w:tcW w:w="60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Assets</w:t>
            </w:r>
          </w:p>
        </w:tc>
        <w:tc>
          <w:tcPr>
            <w:tcW w:w="2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276,715</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230,882</w:t>
            </w: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Total other assets increased by $45.8 million or 20% from December 31, 2018. The increase was due to a $26.1 million increase in derivative financial instruments, which was primarily due to fair value increases of our interest rate swap agreement assets, which are impacted by prevailing interest rates. Other assets increased by $9.1 million due to an increase in pledged collateral due to a lower rate environment. In addition, deferred compensation plan assets increased $6.0 million primarily due to an increase in the executive deferred compensation plan. These increases were partially offset by a $4.7 million decrease in low-income housing and solar energy partnership investments due to amortization.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composition of our deposits by major customer categories.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Deposits</w:t>
            </w:r>
          </w:p>
        </w:tc>
        <w:tc>
          <w:tcPr>
            <w:tcW w:w="3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11</w:t>
            </w:r>
          </w:p>
        </w:tc>
      </w:tr>
      <w:tr>
        <w:trPr>
          <w:trHeight w:val="33"/>
        </w:trPr>
        <w:tc>
          <w:tcPr>
            <w:tcW w:w="47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7,893,454</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7,726,731</w:t>
            </w:r>
          </w:p>
        </w:tc>
      </w:tr>
      <w:tr>
        <w:trPr>
          <w:trHeight w:val="237"/>
        </w:trPr>
        <w:tc>
          <w:tcPr>
            <w:tcW w:w="47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68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6,153,492</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6,098,186</w:t>
            </w:r>
          </w:p>
        </w:tc>
      </w:tr>
      <w:tr>
        <w:trPr>
          <w:trHeight w:val="33"/>
        </w:trPr>
        <w:tc>
          <w:tcPr>
            <w:tcW w:w="47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and Other</w:t>
            </w:r>
          </w:p>
        </w:tc>
        <w:tc>
          <w:tcPr>
            <w:tcW w:w="36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1,293,806</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1,202,325</w:t>
            </w:r>
          </w:p>
        </w:tc>
      </w:tr>
      <w:tr>
        <w:trPr>
          <w:trHeight w:val="231"/>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Deposits</w:t>
            </w:r>
          </w:p>
        </w:tc>
        <w:tc>
          <w:tcPr>
            <w:tcW w:w="3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15,340,752</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15,027,242</w:t>
            </w:r>
          </w:p>
        </w:tc>
      </w:tr>
      <w:tr>
        <w:trPr>
          <w:trHeight w:val="33"/>
        </w:trPr>
        <w:tc>
          <w:tcPr>
            <w:tcW w:w="47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Total deposits were $15.3 billion as of September 30, 2019, an increase of $313.5 million or 2% from December 31, 2018. This increase was primarily due to a $166.7 million increase in consumer deposits due to an increase in time and core deposits of $89.1 million and $77.6 million, respectively. Public and other deposits increased by $91.5 million or 8% due to an increase in public demand deposits and time deposits of $55.9 million and $35.6 million, respectively.</w:t>
      </w:r>
    </w:p>
    <w:p>
      <w:pPr>
        <w:ind w:right="140"/>
        <w:spacing w:after="0" w:line="261" w:lineRule="auto"/>
        <w:rPr>
          <w:sz w:val="20"/>
          <w:szCs w:val="20"/>
          <w:color w:val="auto"/>
        </w:rPr>
      </w:pPr>
      <w:r>
        <w:rPr>
          <w:rFonts w:ascii="Arial" w:cs="Arial" w:eastAsia="Arial" w:hAnsi="Arial"/>
          <w:sz w:val="18"/>
          <w:szCs w:val="18"/>
          <w:color w:val="auto"/>
        </w:rPr>
        <w:t>Also, commercial deposits increased by $55.3 million or 1% primarily due to a $119.4 million increase in core deposits offset by a $64.1 million decrease in time deposits.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composition of our savings deposits.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Savings Deposits</w:t>
            </w:r>
          </w:p>
        </w:tc>
        <w:tc>
          <w:tcPr>
            <w:tcW w:w="3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12</w:t>
            </w:r>
          </w:p>
        </w:tc>
      </w:tr>
      <w:tr>
        <w:trPr>
          <w:trHeight w:val="33"/>
        </w:trPr>
        <w:tc>
          <w:tcPr>
            <w:tcW w:w="4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2,407,470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1,973,979</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Regular Savings</w:t>
            </w:r>
          </w:p>
        </w:tc>
        <w:tc>
          <w:tcPr>
            <w:tcW w:w="354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3,733,628</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3,565,220</w:t>
            </w:r>
          </w:p>
        </w:tc>
      </w:tr>
      <w:tr>
        <w:trPr>
          <w:trHeight w:val="33"/>
        </w:trPr>
        <w:tc>
          <w:tcPr>
            <w:tcW w:w="4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Savings Deposits</w:t>
            </w:r>
          </w:p>
        </w:tc>
        <w:tc>
          <w:tcPr>
            <w:tcW w:w="3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6,141,098</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5,539,199</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ind w:left="40"/>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2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13</w:t>
            </w:r>
          </w:p>
        </w:tc>
      </w:tr>
      <w:tr>
        <w:trPr>
          <w:trHeight w:val="33"/>
        </w:trPr>
        <w:tc>
          <w:tcPr>
            <w:tcW w:w="60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Institutions</w:t>
            </w:r>
          </w:p>
        </w:tc>
        <w:tc>
          <w:tcPr>
            <w:tcW w:w="2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600,000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Government Entities</w:t>
            </w:r>
          </w:p>
        </w:tc>
        <w:tc>
          <w:tcPr>
            <w:tcW w:w="24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4,299</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4,296</w:t>
            </w:r>
          </w:p>
        </w:tc>
      </w:tr>
      <w:tr>
        <w:trPr>
          <w:trHeight w:val="33"/>
        </w:trPr>
        <w:tc>
          <w:tcPr>
            <w:tcW w:w="60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2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604,299</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504,296</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Securities sold under agreements to repurchase as of September 30, 2019 increased by $100.0 million or 20% from December 31, 2018. This increase was primarily due to additional repurchase agreements during September 2019. As of September 30, 2019, the weighted-average maturity was 145 days for our repurchase agreements with government entities and 4.2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3.7 years. As of September 30, 2019, the weighted-average interest rate for outstanding agreements with government entities and private institutions was 1.52% and 2.68%, respectively, with all rates being fixed. Each of our repurchase agreements is accounted for as a collateralized financing arrangement (i.e., a secured borrowing) and not as a sale and subsequent repurchase of securities.</w:t>
      </w:r>
    </w:p>
    <w:p>
      <w:pPr>
        <w:spacing w:after="0" w:line="166"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In the third quarter of 2019, we restructured 10 of our repurchase agreements with private institutions with an aggregate total of $275.0 million. These repurchase agreements were scheduled to mature in 2020 to 2021 and had a weighted-average interest rate of 4.36%. The restructuring of the agreements extended the maturity dates through July 2024 to September 2024 and lowered the weighted-average interest rate to 2.94% effective September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14 presents the composition of our other debt.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Other Debt</w:t>
            </w: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14</w:t>
            </w:r>
          </w:p>
        </w:tc>
      </w:tr>
      <w:tr>
        <w:trPr>
          <w:trHeight w:val="33"/>
        </w:trPr>
        <w:tc>
          <w:tcPr>
            <w:tcW w:w="53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Advances</w:t>
            </w:r>
          </w:p>
        </w:tc>
        <w:tc>
          <w:tcPr>
            <w:tcW w:w="3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100,000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318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10,585</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10,643</w:t>
            </w:r>
          </w:p>
        </w:tc>
      </w:tr>
      <w:tr>
        <w:trPr>
          <w:trHeight w:val="33"/>
        </w:trPr>
        <w:tc>
          <w:tcPr>
            <w:tcW w:w="53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110,585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135,643</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debt was $110.6 million as of September 30, 2019, a decrease of $25.1 million or 19% from December 31, 2018. This decrease was primarily due to a $25.0 million FHLB advance which matured during the first quarter of 2019. As of September 30, 2019, our FHLB advances had a weighted-average interest rate of 2.12% with maturity dates ranging from 2019 to 2020. These advances were primarily for asset/liability management purposes. As of September 30, 2019, our remaining unused line of credit with the FHLB was $2.4 billion.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business segments are defined as Retail Banking, Commercial Banking, Investment Services and Private Banking, and Treasury and Other.</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Table 15 summarizes net income from our business segments. Additional information about segment performance is presented in Note 10 to the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Business Segment Net Income</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15</w:t>
            </w:r>
          </w:p>
        </w:tc>
      </w:tr>
      <w:tr>
        <w:trPr>
          <w:trHeight w:val="33"/>
        </w:trPr>
        <w:tc>
          <w:tcPr>
            <w:tcW w:w="4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Nine Months Ended</w:t>
            </w:r>
          </w:p>
        </w:tc>
        <w:tc>
          <w:tcPr>
            <w:tcW w:w="860" w:type="dxa"/>
            <w:vAlign w:val="bottom"/>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10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9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Banking</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20,623</w:t>
            </w:r>
          </w:p>
        </w:tc>
        <w:tc>
          <w:tcPr>
            <w:tcW w:w="10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23,763</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70,621</w:t>
            </w:r>
          </w:p>
        </w:tc>
        <w:tc>
          <w:tcPr>
            <w:tcW w:w="9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65,204</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Commercial Banking</w:t>
            </w:r>
          </w:p>
        </w:tc>
        <w:tc>
          <w:tcPr>
            <w:tcW w:w="56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25,770</w:t>
            </w:r>
          </w:p>
        </w:tc>
        <w:tc>
          <w:tcPr>
            <w:tcW w:w="10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24,952</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75,329</w:t>
            </w:r>
          </w:p>
        </w:tc>
        <w:tc>
          <w:tcPr>
            <w:tcW w:w="9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69,605</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Services and Private Banking</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5,473</w:t>
            </w:r>
          </w:p>
        </w:tc>
        <w:tc>
          <w:tcPr>
            <w:tcW w:w="10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6,217</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16,376</w:t>
            </w:r>
          </w:p>
        </w:tc>
        <w:tc>
          <w:tcPr>
            <w:tcW w:w="9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18,206</w:t>
            </w:r>
          </w:p>
        </w:tc>
      </w:tr>
      <w:tr>
        <w:trPr>
          <w:trHeight w:val="231"/>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5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51,866</w:t>
            </w:r>
          </w:p>
        </w:tc>
        <w:tc>
          <w:tcPr>
            <w:tcW w:w="10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54,932</w:t>
            </w:r>
          </w:p>
        </w:tc>
        <w:tc>
          <w:tcPr>
            <w:tcW w:w="2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162,326</w:t>
            </w:r>
          </w:p>
        </w:tc>
        <w:tc>
          <w:tcPr>
            <w:tcW w:w="9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153,015</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and Other</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186</w:t>
            </w:r>
          </w:p>
        </w:tc>
        <w:tc>
          <w:tcPr>
            <w:tcW w:w="10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2,001</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5,444</w:t>
            </w:r>
          </w:p>
        </w:tc>
        <w:tc>
          <w:tcPr>
            <w:tcW w:w="9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12,676</w:t>
            </w:r>
          </w:p>
        </w:tc>
      </w:tr>
      <w:tr>
        <w:trPr>
          <w:trHeight w:val="231"/>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Total</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52,052</w:t>
            </w:r>
          </w:p>
        </w:tc>
        <w:tc>
          <w:tcPr>
            <w:tcW w:w="100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56,933</w:t>
            </w:r>
          </w:p>
        </w:tc>
        <w:tc>
          <w:tcPr>
            <w:tcW w:w="2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167,770</w:t>
            </w:r>
          </w:p>
        </w:tc>
        <w:tc>
          <w:tcPr>
            <w:tcW w:w="92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165,691</w:t>
            </w:r>
          </w:p>
        </w:tc>
      </w:tr>
      <w:tr>
        <w:trPr>
          <w:trHeight w:val="33"/>
        </w:trPr>
        <w:tc>
          <w:tcPr>
            <w:tcW w:w="4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Net income decreased by $3.1 million or 13% in the third quarter of 2019 compared to the same period in 2018 primarily due to an increase in noninterest expense. This was partially offset by an increase in noninterest income. The increase in noninterest expense was primarily due to the aforementioned increase in legal reserve related to the tentative settlement of a class action lawsuit regarding the Company’s overdraft practices and higher equipment expense. In addition, allocated administrative, technology, and collections expense also increased. This was partially offset by lower credit card expenses related to the sale of our MyBankoh Rewards Credit Card portfolio. The increase in noninterest income was primarily due to increased sales of conforming saleable mortgage loans from current production. The provision for income taxes decreased due to lower pretax book income.</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Net income increased by $5.4 million or 8% in the first nine months of 2019 compared to the same period in 2018 primarily due to increases in noninterest income and net interest income, as well as a decrease in the Provision. This was partially offset by an increase in noninterest expense. The increase in noninterest income was primarily due to an increase in mortgage banking income, a one-time commission received related to insurance products offered through a third-party administrator, and higher overdraft fees. This was partially offset by lower credit card income related to the sale of our MyBankoh Rewards Credit Card portfolio. Mortgage banking income increased primarily due to increased sales of conforming saleable loans from current production. The increase in net interest income was primarily due to higher earnings credits on the segments deposit portfolio and higher average balances in the segment’s deposit and loan portfolios. This was partially offset by lower average rates in the segment’s loan portfolio. The decrease in the Provision was primarily due to lower net charge-offs due to the aforementioned sale of our MyBankoh Rewards Credit Card portfolio, as well as lower net charge-offs in our auto loan and residential loan portfolios. This was partially offset by higher net charge-offs in our installment loan portfolio. The increase in noninterest expense was primarily due to the aforementioned increase in legal reserve related to the tentative settlement of a class action lawsuit regarding the Company’s overdraft practices and higher equipment expense. In addition, allocated administrative, technology, and operations expense increased. This was partially offset by lower credit card expenses related to the sale of our MyBankoh Rewards Credit Card Portfolio and lower salaries expense. The provision for income taxes increased due to higher pretax book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Net income increased by $0.8 million or 3% in the third quarter of 2019 compared to the same period in 2018 primarily due to increases in noninterest income and was partially offset by an increase in noninterest expense and provision for taxes. The increase in noninterest income was mainly due to higher fees related to our customer interest rate swap derivative program. The increase in provision for income taxes was primarily due to higher pretax income coupled with a higher effective tax rate in the third quarter of 2019 as compared to the same period in 2018 due to third quarter 2018 tax rate offset by a tax benefit from an early buyout of leveraged leases. The increase in noninterest expense was primarily due to higher allocated expenses.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income increased by $5.7 million or 8% for the first nine months of 2019 compared to the same period in 2018 primarily due to an increase in net interest income and noninterest income partially offset by an increase in noninterest expense and provision for taxes. The increase in net interest income was primarily due to growth in the segment’s loan and deposit portfolio. The increase in noninterest income was mainly due to higher fees related to our customer interest rate swap derivative program. The increase in noninterest expense was primarily due to higher allocated and operating expenses. The increase in provision for income taxes was primarily due to higher pretax book income.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w:t>
      </w:r>
      <w:r>
        <w:rPr>
          <w:rFonts w:ascii="Arial" w:cs="Arial" w:eastAsia="Arial" w:hAnsi="Arial"/>
          <w:sz w:val="18"/>
          <w:szCs w:val="18"/>
          <w:i w:val="1"/>
          <w:iCs w:val="1"/>
          <w:color w:val="auto"/>
        </w:rPr>
        <w:t>nvestment Services and Private Banking</w:t>
      </w:r>
    </w:p>
    <w:p>
      <w:pPr>
        <w:spacing w:after="0" w:line="21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income decreased by $0.7 million or 12% in the third quarter of 2019 compared to the same period in 2018 primarily due to a decrease in net interest income and higher noninterest expense. This was partially offset by higher noninterest income. The decrease in net interest income was primarily driven by lower earnings credits on the segment’s deposit portfolio. The increase in noninterest expense was primarily driven by higher allocated expenses. The increase in noninterest revenue was primarily driven by agency, shareholder servicing and investment advisory fees.</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income decreased by $1.8 million or 10% in the first nine months of 2019 compared to the same period in 2018 primarily due to a decrease in net interest income and noninterest income and an increase in noninterest expense. The decrease in net interest income was primarily driven by lower earnings credits on the segment’s deposit portfolio and lower yields on the loan portfolio. The decrease in noninterest income was primarily driven by lower trust fees, partially offset by increased shareholder servicing fees. The increase in noninterest expense was primarily driven by higher allocated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decreased by $1.8 million or 91% in the third quarter of 2019 compared to the same period in 2018 primarily due to an increase in noninterest expense and lower tax benefit allocated to this segment offset by higher net interest income. The increase in noninterest expense was primarily due to higher separation expense. The higher net interest income was due primarily to higher rates. The provision for income taxes and losses in this business segment represents the residual amount to arrive at the total Provisions for the Company.</w:t>
      </w:r>
    </w:p>
    <w:p>
      <w:pPr>
        <w:spacing w:after="0" w:line="187" w:lineRule="exact"/>
        <w:rPr>
          <w:sz w:val="20"/>
          <w:szCs w:val="20"/>
          <w:color w:val="auto"/>
        </w:rPr>
      </w:pPr>
    </w:p>
    <w:p>
      <w:pPr>
        <w:jc w:val="both"/>
        <w:ind w:right="400"/>
        <w:spacing w:after="0" w:line="279" w:lineRule="auto"/>
        <w:rPr>
          <w:sz w:val="20"/>
          <w:szCs w:val="20"/>
          <w:color w:val="auto"/>
        </w:rPr>
      </w:pPr>
      <w:r>
        <w:rPr>
          <w:rFonts w:ascii="Arial" w:cs="Arial" w:eastAsia="Arial" w:hAnsi="Arial"/>
          <w:sz w:val="17"/>
          <w:szCs w:val="17"/>
          <w:color w:val="auto"/>
        </w:rPr>
        <w:t>Net income decreased by $7.2 million or 57% for the first nine months of 2019 compared to the same period in 2018 primarily due to a decrease in non-interest income and lower tax benefit allocated to this segment offset by higher net interest income. The decrease in non-interest income was due to low income housing distributions in the first quarter of 2018. The higher net interest income was due primarily to higher rates. The Provision for taxes in this business segment represents the residual amount to arrive at the total Provision for the Company.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As of September 30, 2019, our overall credit risk profile reflected a healthy Hawaii economy as our levels of non-performing assets and credit losses remain well controlled. The underlying risk profile of our lending portfolio continued to remain strong during the first nine months of 2019.</w:t>
      </w:r>
    </w:p>
    <w:p>
      <w:pPr>
        <w:spacing w:after="0" w:line="14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actively manage exposures with deteriorating asset quality to reduce levels of potential loss exposure and closely monitor our reserves and capital to address both anticipated and unforeseen issues. Risk management activities include detailed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 and Accruing Loans and Leases Past Due 90 Days or More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16 presents information on non-performing assets (“NPAs”) and accruing loans and leases past due 90 days or more.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Non-Performing Assets and Accruing Loans and Leases Past Due 90 Days or More</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16</w:t>
            </w:r>
          </w:p>
        </w:tc>
      </w:tr>
      <w:tr>
        <w:trPr>
          <w:trHeight w:val="27"/>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September 30,</w:t>
            </w:r>
          </w:p>
        </w:tc>
        <w:tc>
          <w:tcPr>
            <w:tcW w:w="4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2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12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Non-Performing Assets</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Non-Accrual Loans and Leases</w:t>
            </w: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820"/>
              <w:spacing w:after="0"/>
              <w:rPr>
                <w:sz w:val="20"/>
                <w:szCs w:val="20"/>
                <w:color w:val="auto"/>
              </w:rPr>
            </w:pPr>
            <w:r>
              <w:rPr>
                <w:rFonts w:ascii="Arial" w:cs="Arial" w:eastAsia="Arial" w:hAnsi="Arial"/>
                <w:sz w:val="16"/>
                <w:szCs w:val="16"/>
                <w:color w:val="auto"/>
              </w:rPr>
              <w:t>Commercial and Industrial</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573</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542</w:t>
            </w:r>
          </w:p>
        </w:tc>
      </w:tr>
      <w:tr>
        <w:trPr>
          <w:trHeight w:val="33"/>
        </w:trPr>
        <w:tc>
          <w:tcPr>
            <w:tcW w:w="7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Commercial Mortgage</w:t>
            </w:r>
          </w:p>
        </w:tc>
        <w:tc>
          <w:tcPr>
            <w:tcW w:w="1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11,088</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2,040</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Commercial</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11,661</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2,582</w:t>
            </w: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820"/>
              <w:spacing w:after="0"/>
              <w:rPr>
                <w:sz w:val="20"/>
                <w:szCs w:val="20"/>
                <w:color w:val="auto"/>
              </w:rPr>
            </w:pPr>
            <w:r>
              <w:rPr>
                <w:rFonts w:ascii="Arial" w:cs="Arial" w:eastAsia="Arial" w:hAnsi="Arial"/>
                <w:sz w:val="16"/>
                <w:szCs w:val="16"/>
                <w:color w:val="auto"/>
              </w:rPr>
              <w:t>Residential Mortgage</w:t>
            </w:r>
          </w:p>
        </w:tc>
        <w:tc>
          <w:tcPr>
            <w:tcW w:w="112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4,258</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5,321</w:t>
            </w: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Home Equity</w:t>
            </w:r>
          </w:p>
        </w:tc>
        <w:tc>
          <w:tcPr>
            <w:tcW w:w="1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2,787</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3,671</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Consumer</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7,045</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8,992</w:t>
            </w: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Non-Accrual Loans and Leases</w:t>
            </w:r>
          </w:p>
        </w:tc>
        <w:tc>
          <w:tcPr>
            <w:tcW w:w="1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18,706</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11,574</w:t>
            </w: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Foreclosed Real Estate</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2,939</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1,356</w:t>
            </w: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Non-Performing Assets</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21,645</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12,930</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7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5"/>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81</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81</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2,032</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2,446</w:t>
            </w:r>
          </w:p>
        </w:tc>
      </w:tr>
      <w:tr>
        <w:trPr>
          <w:trHeight w:val="33"/>
        </w:trPr>
        <w:tc>
          <w:tcPr>
            <w:tcW w:w="7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2,320</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2,684</w:t>
            </w: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112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582</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513</w:t>
            </w: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64"/>
        </w:trPr>
        <w:tc>
          <w:tcPr>
            <w:tcW w:w="72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1,076</w:t>
            </w:r>
          </w:p>
        </w:tc>
        <w:tc>
          <w:tcPr>
            <w:tcW w:w="4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914</w:t>
            </w: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112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6,010</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6,557</w:t>
            </w: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Accruing Loans and Leases Past Due 90 Days or More</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6,091</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6,567</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Restructured Loans on Accrual Status and Not Past Due 90 Days or More</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46,178</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48,731</w:t>
            </w:r>
          </w:p>
        </w:tc>
      </w:tr>
      <w:tr>
        <w:trPr>
          <w:trHeight w:val="73"/>
        </w:trPr>
        <w:tc>
          <w:tcPr>
            <w:tcW w:w="7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10,881,298</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10,448,774</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280" w:type="dxa"/>
            <w:vAlign w:val="bottom"/>
          </w:tcPr>
          <w:p>
            <w:pPr>
              <w:ind w:left="40"/>
              <w:spacing w:after="0"/>
              <w:rPr>
                <w:sz w:val="20"/>
                <w:szCs w:val="20"/>
                <w:color w:val="auto"/>
              </w:rPr>
            </w:pPr>
            <w:r>
              <w:rPr>
                <w:rFonts w:ascii="Arial" w:cs="Arial" w:eastAsia="Arial" w:hAnsi="Arial"/>
                <w:sz w:val="16"/>
                <w:szCs w:val="16"/>
                <w:color w:val="auto"/>
              </w:rPr>
              <w:t>Ratio of Non-Accrual Loans and Leases to Total Loans and Leases</w:t>
            </w:r>
          </w:p>
        </w:tc>
        <w:tc>
          <w:tcPr>
            <w:tcW w:w="1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0.17%</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Non-Performing Assets to Total Loans and Leases and Foreclosed Real Estate</w:t>
            </w:r>
          </w:p>
        </w:tc>
        <w:tc>
          <w:tcPr>
            <w:tcW w:w="1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13"/>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Commercial Non-Performing Assets to Total Commercial Loans and Leases</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06"/>
        </w:trPr>
        <w:tc>
          <w:tcPr>
            <w:tcW w:w="7280" w:type="dxa"/>
            <w:vAlign w:val="bottom"/>
          </w:tcPr>
          <w:p>
            <w:pPr>
              <w:ind w:left="160"/>
              <w:spacing w:after="0"/>
              <w:rPr>
                <w:sz w:val="20"/>
                <w:szCs w:val="20"/>
                <w:color w:val="auto"/>
              </w:rPr>
            </w:pPr>
            <w:r>
              <w:rPr>
                <w:rFonts w:ascii="Arial" w:cs="Arial" w:eastAsia="Arial" w:hAnsi="Arial"/>
                <w:sz w:val="16"/>
                <w:szCs w:val="16"/>
                <w:color w:val="auto"/>
              </w:rPr>
              <w:t>and Commercial Foreclosed Real Estate</w:t>
            </w:r>
          </w:p>
        </w:tc>
        <w:tc>
          <w:tcPr>
            <w:tcW w:w="1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0.28%</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Consumer Non-Performing Assets to Total Consumer Loans and Leases</w:t>
            </w:r>
          </w:p>
        </w:tc>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4"/>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and Consumer Foreclosed Real Estate</w:t>
            </w:r>
          </w:p>
        </w:tc>
        <w:tc>
          <w:tcPr>
            <w:tcW w:w="1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13"/>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Non-Performing Assets and Accruing Loans and Leases Past Due 90 Days</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06"/>
        </w:trPr>
        <w:tc>
          <w:tcPr>
            <w:tcW w:w="7280" w:type="dxa"/>
            <w:vAlign w:val="bottom"/>
          </w:tcPr>
          <w:p>
            <w:pPr>
              <w:ind w:left="160"/>
              <w:spacing w:after="0"/>
              <w:rPr>
                <w:sz w:val="20"/>
                <w:szCs w:val="20"/>
                <w:color w:val="auto"/>
              </w:rPr>
            </w:pPr>
            <w:r>
              <w:rPr>
                <w:rFonts w:ascii="Arial" w:cs="Arial" w:eastAsia="Arial" w:hAnsi="Arial"/>
                <w:sz w:val="16"/>
                <w:szCs w:val="16"/>
                <w:color w:val="auto"/>
              </w:rPr>
              <w:t>or More to Total Loans and Leases and Foreclosed Real Estate</w:t>
            </w:r>
          </w:p>
        </w:tc>
        <w:tc>
          <w:tcPr>
            <w:tcW w:w="1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0.25%</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0.19%</w:t>
            </w: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Changes in Non-Performing Assets</w:t>
            </w:r>
          </w:p>
        </w:tc>
        <w:tc>
          <w:tcPr>
            <w:tcW w:w="1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12,930</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15,438</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Reductions</w:t>
            </w: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(2,414)</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Return to Accrual Status</w:t>
            </w:r>
          </w:p>
        </w:tc>
        <w:tc>
          <w:tcPr>
            <w:tcW w:w="112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(1,660)</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Foreclosed Real Estate</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Charge-offs/Write-downs</w:t>
            </w:r>
          </w:p>
        </w:tc>
        <w:tc>
          <w:tcPr>
            <w:tcW w:w="112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(2,275)</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Reductions</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(6,723)</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September 30, 2019</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21,645</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tabs>
          <w:tab w:leader="none" w:pos="16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4"/>
          <w:szCs w:val="14"/>
          <w:color w:val="auto"/>
        </w:rPr>
        <w:t>Comprised of other revolving credit, installment, and lease financing.</w:t>
      </w:r>
    </w:p>
    <w:p>
      <w:pPr>
        <w:sectPr>
          <w:pgSz w:w="11900" w:h="16838" w:orient="portrait"/>
          <w:cols w:equalWidth="0" w:num="1">
            <w:col w:w="11420"/>
          </w:cols>
          <w:pgMar w:left="240" w:top="130"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30" w:right="239" w:bottom="1440" w:gutter="0" w:footer="0" w:header="0"/>
          <w:type w:val="continuous"/>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NPAs were $21.6 million as of September 30, 2019, an increase of $8.7 million or 67% from December 31, 2018. The ratio of our NPAs to total loans and leases and foreclosed real estate was 0.20% as of September 30, 2019 and 0.12% as of December 31, 2018.</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Commercial mortgage non-accrual loans were $11.1 million as of September 30, 2019, an increase of $9.0 million or 444% from December 31, 2018 due to two additional loans. We have evaluated the four commercial mortgage non-accrual loans for impairment and recorded a cumulative charge-off of $1.6 million on one of the loans.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Residential mortgage non-accrual loans were $4.3 million as of September 30, 2019, a decrease of $1.1 million or 20% from December 31, 2018 primarily due to loans returning to accrual status and payoffs. As of September 30, 2019, our residential mortgage non-accrual loans were comprised of 15 loans with a weighted average current loan-to-value ratio of 52%.</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increased by $1.6 million or 117% from December 31, 2018 due to the addition of four residential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$6.1 million as of September 30, 2019, a $0.5 million or 7% decrease from December 31, 2018. The decrease was primarily in residential mortgage loans and home equity loans, which was partially offset by an increase in the other portfolio.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Impaired loans are defined as loans for which we believe it is probable we will not collect all amounts due according to the contractual terms of the loan agreement. Included in impaired loans are all classes of commercial non-accruing loans (except lease financing and small business loans), all loans modified in a TDR (including accruing TDRs), and other loans where we believe that we will be unable to collect all amounts due according to the contractual terms of the loan agreement. Impaired loans exclude lease financing and smaller balance homogeneous loans (consumer and small business non-accruing loans) that are collectively evaluated for impairment. Impaired loans were $60.0 million as of September 30, 2019 and $54.6 million as of December 31, 2018, and had a related Allowance of $3.4 million as of September 30, 2019 and $4.0 million as of December 31, 2018. As of September 30, 2019, we have recorded cumulative charge-offs of $9.0 million related to our total impaired loans. Our impaired loans are considered in management’s assessment of the overall adequacy of the Allowance.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30" w:right="25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with terms that have been modified in a TDR.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ind w:left="40"/>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17</w:t>
            </w:r>
          </w:p>
        </w:tc>
      </w:tr>
      <w:tr>
        <w:trPr>
          <w:trHeight w:val="33"/>
        </w:trPr>
        <w:tc>
          <w:tcPr>
            <w:tcW w:w="58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5,149</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6,198</w:t>
            </w:r>
          </w:p>
        </w:tc>
      </w:tr>
      <w:tr>
        <w:trPr>
          <w:trHeight w:val="33"/>
        </w:trPr>
        <w:tc>
          <w:tcPr>
            <w:tcW w:w="5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6,980</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4,144</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58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1,219</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1,321</w:t>
            </w:r>
          </w:p>
        </w:tc>
      </w:tr>
      <w:tr>
        <w:trPr>
          <w:trHeight w:val="33"/>
        </w:trPr>
        <w:tc>
          <w:tcPr>
            <w:tcW w:w="58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25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13,348</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11,663</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25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2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18,128</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19,753</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258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3,228</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3,359</w:t>
            </w:r>
          </w:p>
        </w:tc>
      </w:tr>
      <w:tr>
        <w:trPr>
          <w:trHeight w:val="33"/>
        </w:trPr>
        <w:tc>
          <w:tcPr>
            <w:tcW w:w="5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2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17,622</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17,117</w:t>
            </w:r>
          </w:p>
        </w:tc>
      </w:tr>
      <w:tr>
        <w:trPr>
          <w:trHeight w:val="270"/>
        </w:trPr>
        <w:tc>
          <w:tcPr>
            <w:tcW w:w="58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5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1,687</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2,098</w:t>
            </w: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25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40,665</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42,327</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54,013</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53,990</w:t>
            </w:r>
          </w:p>
        </w:tc>
      </w:tr>
      <w:tr>
        <w:trPr>
          <w:trHeight w:val="33"/>
        </w:trPr>
        <w:tc>
          <w:tcPr>
            <w:tcW w:w="58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Loans modified in a TDR remained relatively unchanged from December 31, 2018. Commercial mortgage loan TDRs increased by $2.8 million primarily due to the addition of one TDR during the first quarter of 2019. This increase was largely offset by decreases of $1.6 million and $1.0 million in TDRs of residential mortgage loans and commercial and industrial loans, respectively. Residential mortgage loans remain our largest TDR loan class.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i w:val="1"/>
                <w:iCs w:val="1"/>
                <w:color w:val="auto"/>
              </w:rPr>
              <w:t>Reserve for Credit Losses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Table 18 presents the activity in our reserve for credit losses.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1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Reserve for Credit Losses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18</w:t>
            </w:r>
          </w:p>
        </w:tc>
      </w:tr>
      <w:tr>
        <w:trPr>
          <w:trHeight w:val="27"/>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80" w:type="dxa"/>
            <w:vAlign w:val="bottom"/>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20"/>
                <w:szCs w:val="20"/>
                <w:color w:val="auto"/>
              </w:rPr>
            </w:pPr>
          </w:p>
        </w:tc>
        <w:tc>
          <w:tcPr>
            <w:tcW w:w="254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5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23"/>
                <w:szCs w:val="23"/>
                <w:color w:val="auto"/>
              </w:rPr>
            </w:pPr>
          </w:p>
        </w:tc>
      </w:tr>
      <w:tr>
        <w:trPr>
          <w:trHeight w:val="33"/>
        </w:trPr>
        <w:tc>
          <w:tcPr>
            <w:tcW w:w="5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114,494</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115,010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113,515</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114,168</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Loans and Leases Charged-Off</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(239)</w:t>
            </w:r>
          </w:p>
        </w:tc>
        <w:tc>
          <w:tcPr>
            <w:tcW w:w="5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(449)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(815)</w:t>
            </w:r>
          </w:p>
        </w:tc>
        <w:tc>
          <w:tcPr>
            <w:tcW w:w="5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(1,140)</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(1,616)</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tcPr>
          <w:p>
            <w:pPr>
              <w:ind w:left="380"/>
              <w:spacing w:after="0"/>
              <w:rPr>
                <w:sz w:val="20"/>
                <w:szCs w:val="20"/>
                <w:color w:val="auto"/>
              </w:rPr>
            </w:pPr>
            <w:r>
              <w:rPr>
                <w:rFonts w:ascii="Arial" w:cs="Arial" w:eastAsia="Arial" w:hAnsi="Arial"/>
                <w:sz w:val="16"/>
                <w:szCs w:val="16"/>
                <w:color w:val="auto"/>
              </w:rPr>
              <w:t>Consumer</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(62)</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3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(215)</w:t>
            </w:r>
          </w:p>
        </w:tc>
        <w:tc>
          <w:tcPr>
            <w:tcW w:w="5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(655)</w:t>
            </w:r>
          </w:p>
        </w:tc>
        <w:tc>
          <w:tcPr>
            <w:tcW w:w="5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(1,696)</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(5,140)</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(5,883)</w:t>
            </w:r>
          </w:p>
        </w:tc>
      </w:tr>
      <w:tr>
        <w:trPr>
          <w:trHeight w:val="269"/>
        </w:trPr>
        <w:tc>
          <w:tcPr>
            <w:tcW w:w="53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(3,598)</w:t>
            </w: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(3,340)</w:t>
            </w:r>
          </w:p>
        </w:tc>
        <w:tc>
          <w:tcPr>
            <w:tcW w:w="2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(9,424)</w:t>
            </w: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(10,294)</w:t>
            </w: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 Charged-Off</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(5,755)</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(6,027)</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(17,712)</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(17,676)</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Recoveries on Loans and Leases Previously Charged-Off</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6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318</w:t>
            </w:r>
          </w:p>
        </w:tc>
        <w:tc>
          <w:tcPr>
            <w:tcW w:w="5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542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1,220</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1,236</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6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649</w:t>
            </w:r>
          </w:p>
        </w:tc>
        <w:tc>
          <w:tcPr>
            <w:tcW w:w="5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261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1,228</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695</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428</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1,762</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1,634</w:t>
            </w: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6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660</w:t>
            </w:r>
          </w:p>
        </w:tc>
        <w:tc>
          <w:tcPr>
            <w:tcW w:w="5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2,449</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1,953</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9"/>
        </w:trPr>
        <w:tc>
          <w:tcPr>
            <w:tcW w:w="53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714</w:t>
            </w: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752</w:t>
            </w:r>
          </w:p>
        </w:tc>
        <w:tc>
          <w:tcPr>
            <w:tcW w:w="2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2,046</w:t>
            </w:r>
          </w:p>
        </w:tc>
        <w:tc>
          <w:tcPr>
            <w:tcW w:w="5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2,077</w:t>
            </w:r>
          </w:p>
        </w:tc>
      </w:tr>
      <w:tr>
        <w:trPr>
          <w:trHeight w:val="232"/>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Total Recoveries on Loans and Leases Previously Charged-Off</w:t>
            </w:r>
          </w:p>
        </w:tc>
        <w:tc>
          <w:tcPr>
            <w:tcW w:w="36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2,769</w:t>
            </w:r>
          </w:p>
        </w:tc>
        <w:tc>
          <w:tcPr>
            <w:tcW w:w="5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2,729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8,705</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7,595</w:t>
            </w:r>
          </w:p>
        </w:tc>
      </w:tr>
      <w:tr>
        <w:trPr>
          <w:trHeight w:val="33"/>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Loans and Leases Charged-Off</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(2,986)</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(9,007)</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(10,081)</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6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4,250</w:t>
            </w:r>
          </w:p>
        </w:tc>
        <w:tc>
          <w:tcPr>
            <w:tcW w:w="5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3,800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11,250</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11,425</w:t>
            </w:r>
          </w:p>
        </w:tc>
      </w:tr>
      <w:tr>
        <w:trPr>
          <w:trHeight w:val="33"/>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7"/>
                <w:szCs w:val="17"/>
                <w:b w:val="1"/>
                <w:bCs w:val="1"/>
                <w:color w:val="auto"/>
                <w:vertAlign w:val="superscript"/>
              </w:rPr>
              <w:t>2</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115,758</w:t>
            </w:r>
          </w:p>
        </w:tc>
        <w:tc>
          <w:tcPr>
            <w:tcW w:w="5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115,512</w:t>
            </w:r>
          </w:p>
        </w:tc>
        <w:tc>
          <w:tcPr>
            <w:tcW w:w="2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115,758</w:t>
            </w:r>
          </w:p>
        </w:tc>
        <w:tc>
          <w:tcPr>
            <w:tcW w:w="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115,512</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2"/>
        </w:trPr>
        <w:tc>
          <w:tcPr>
            <w:tcW w:w="5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Components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Allowance for Loan and Lease Losses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108,936</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108,690</w:t>
            </w:r>
          </w:p>
        </w:tc>
        <w:tc>
          <w:tcPr>
            <w:tcW w:w="2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108,936</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108,690</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Reserve for Unfunded Commitments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6,822</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6,822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6,822</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6,822</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115,758</w:t>
            </w:r>
          </w:p>
        </w:tc>
        <w:tc>
          <w:tcPr>
            <w:tcW w:w="5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115,512</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115,758</w:t>
            </w:r>
          </w:p>
        </w:tc>
        <w:tc>
          <w:tcPr>
            <w:tcW w:w="5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115,512</w:t>
            </w:r>
          </w:p>
        </w:tc>
      </w:tr>
      <w:tr>
        <w:trPr>
          <w:trHeight w:val="73"/>
        </w:trPr>
        <w:tc>
          <w:tcPr>
            <w:tcW w:w="53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116"/>
        </w:trPr>
        <w:tc>
          <w:tcPr>
            <w:tcW w:w="5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Average Loans and Leases Outstanding</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10,770,720</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w w:val="94"/>
              </w:rPr>
              <w:t>10,081,886</w:t>
            </w:r>
          </w:p>
        </w:tc>
        <w:tc>
          <w:tcPr>
            <w:tcW w:w="2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10,624,311</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w w:val="95"/>
              </w:rPr>
              <w:t>9,950,518</w:t>
            </w:r>
          </w:p>
        </w:tc>
      </w:tr>
      <w:tr>
        <w:trPr>
          <w:trHeight w:val="73"/>
        </w:trPr>
        <w:tc>
          <w:tcPr>
            <w:tcW w:w="53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116"/>
        </w:trPr>
        <w:tc>
          <w:tcPr>
            <w:tcW w:w="5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20"/>
        </w:trPr>
        <w:tc>
          <w:tcPr>
            <w:tcW w:w="5380" w:type="dxa"/>
            <w:vAlign w:val="bottom"/>
          </w:tcPr>
          <w:p>
            <w:pPr>
              <w:ind w:left="40"/>
              <w:spacing w:after="0"/>
              <w:rPr>
                <w:sz w:val="20"/>
                <w:szCs w:val="20"/>
                <w:color w:val="auto"/>
              </w:rPr>
            </w:pPr>
            <w:r>
              <w:rPr>
                <w:rFonts w:ascii="Arial" w:cs="Arial" w:eastAsia="Arial" w:hAnsi="Arial"/>
                <w:sz w:val="16"/>
                <w:szCs w:val="16"/>
                <w:color w:val="auto"/>
              </w:rPr>
              <w:t>Ratio of Net Loans and Leases Charged-Off to</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5380" w:type="dxa"/>
            <w:vAlign w:val="bottom"/>
          </w:tcPr>
          <w:p>
            <w:pPr>
              <w:ind w:left="140"/>
              <w:spacing w:after="0"/>
              <w:rPr>
                <w:sz w:val="20"/>
                <w:szCs w:val="20"/>
                <w:color w:val="auto"/>
              </w:rPr>
            </w:pPr>
            <w:r>
              <w:rPr>
                <w:rFonts w:ascii="Arial" w:cs="Arial" w:eastAsia="Arial" w:hAnsi="Arial"/>
                <w:sz w:val="16"/>
                <w:szCs w:val="16"/>
                <w:color w:val="auto"/>
              </w:rPr>
              <w:t>Average Loans and Leases Outstanding (annualized)</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0.11%</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0.11%</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0.14%</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Allowance for Loan and Lease Losses to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06"/>
        </w:trPr>
        <w:tc>
          <w:tcPr>
            <w:tcW w:w="5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Loans and Leases Outstanding</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33"/>
        </w:trPr>
        <w:tc>
          <w:tcPr>
            <w:tcW w:w="5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260" w:hanging="171"/>
        <w:spacing w:after="0"/>
        <w:tabs>
          <w:tab w:leader="none" w:pos="260" w:val="left"/>
        </w:tabs>
        <w:numPr>
          <w:ilvl w:val="0"/>
          <w:numId w:val="43"/>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260" w:hanging="171"/>
        <w:spacing w:after="0"/>
        <w:tabs>
          <w:tab w:leader="none" w:pos="260" w:val="left"/>
        </w:tabs>
        <w:numPr>
          <w:ilvl w:val="0"/>
          <w:numId w:val="44"/>
        </w:numPr>
        <w:rPr>
          <w:rFonts w:ascii="Arial" w:cs="Arial" w:eastAsia="Arial" w:hAnsi="Arial"/>
          <w:sz w:val="8"/>
          <w:szCs w:val="8"/>
          <w:color w:val="auto"/>
        </w:rPr>
      </w:pPr>
      <w:r>
        <w:rPr>
          <w:rFonts w:ascii="Arial" w:cs="Arial" w:eastAsia="Arial" w:hAnsi="Arial"/>
          <w:sz w:val="13"/>
          <w:szCs w:val="13"/>
          <w:color w:val="auto"/>
        </w:rPr>
        <w:t>Included in this analysis is activity related to the Company’s reserve for unfunded commitments, which is separately recorded in other liabilities in the consolidated statements of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a reserve for credit losses that consists of two components, the Allowance and a reserve for unfunded commitments (the “Unfunded Reserve”). The reserve for credit losses provides for the risk of credit losses inherent in the loan and lease portfolio and is based on loss estimates derived from a comprehensive quarterly evaluation. The evaluation reflects analyses of individual borrowers and historical loss experience, supplemented as necessary by credit judgment that considers observable trends, conditions, and other relevant environmental and economic factors. The level of the Allowance is adjusted by recording an expense or recovery through the Provision. The level of the Unfunded Reserve is adjusted by recording an expense or recovery in other noninterest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September 30, 2019, the Allowance was $108.9 million or 1.00% of total loans and leases outstanding, compared with an Allowance of $106.7 million or 1.02% of total loans and leases outstanding as of December 31, 2018. The decrease in the ratio of Allowance to loans and leases outstanding was commensurate with the Company’s credit risk profile, loan growth, and a healthy Hawaii economy.</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charge-offs on loans and leases were $3.0 million or 0.11% of total average loans and leases, on an annualized basis, in the third quarter of 2019 compared to net charge-offs of $3.3 million or 0.13% of total average loans and leases, on an annualized basis, in the third quarter of 2018. Net charge-offs on loans and leases were $9.0 million or 0.11% of total average loans and leases, on an annualized basis for the first nine months of 2019, compared to net charge-offs of $10.1 million or 0.14% of total average loans and leases, on an annualized basis, in the first nine months of 2018. Net charge-offs in our consumer portfolios were $7.8 million for the first nine months of 2019 compared to $10.2 million for the same period in 2018. Net charge-offs in our commercial portfolios were $1.2 million for the first nine months of 2019 compared to less than $0.1 million net recoveries for the same period in 2018.</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September 30, 2019, based on our ongoing analysis of estimated probable credit losses, credit risk profiles, economic conditions, coverage ratios, and other relevant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Reserve for Unfunded Commitments</w:t>
      </w:r>
    </w:p>
    <w:p>
      <w:pPr>
        <w:spacing w:after="0" w:line="22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Unfunded Reserve was $6.8 million as of September 30, 2019, unchanged from December 31, 2018. The process used to determine the Unfunded Reserve is consistent with the process for determining the Allowance, as adjusted for estimated funding probabilities.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30" w:right="25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2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adjusting the balance sheet mix or altering the interest rate characteristics of assets and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use of derivative financial instruments, as detailed in Note 12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30" w:right="27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utilize net interest income simulations to analyze short-term income sensitivities to changes in interest rates. Table 19 presents, for the twelve months subsequent to September 30, 2019 and December 31, 2018,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September 30, 2019,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Based on our net interest income simulation as of September 30, 2019, net interest income sensitivity to changes in interest rates for the twelve months subsequent to September 30, 2019 was slightly more sensitive in comparison to the sensitivity profile for the twelve months subsequent to December 31, 2018.</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Net Interest Income Sensitivity Profile</w:t>
            </w: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Table 19</w:t>
            </w:r>
          </w:p>
        </w:tc>
      </w:tr>
      <w:tr>
        <w:trPr>
          <w:trHeight w:val="33"/>
        </w:trPr>
        <w:tc>
          <w:tcPr>
            <w:tcW w:w="5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5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Impact on Future Annual Net Interest Income</w:t>
            </w:r>
          </w:p>
        </w:tc>
        <w:tc>
          <w:tcPr>
            <w:tcW w:w="82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September 30, 2019</w:t>
            </w:r>
          </w:p>
        </w:tc>
        <w:tc>
          <w:tcPr>
            <w:tcW w:w="8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2018</w:t>
            </w:r>
          </w:p>
        </w:tc>
        <w:tc>
          <w:tcPr>
            <w:tcW w:w="820" w:type="dxa"/>
            <w:vAlign w:val="bottom"/>
            <w:tcBorders>
              <w:bottom w:val="single" w:sz="8" w:color="auto"/>
            </w:tcBorders>
          </w:tcPr>
          <w:p>
            <w:pPr>
              <w:spacing w:after="0"/>
              <w:rPr>
                <w:sz w:val="22"/>
                <w:szCs w:val="2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Gradual Change in Interest Rates (basis points)</w:t>
            </w:r>
          </w:p>
        </w:tc>
        <w:tc>
          <w:tcPr>
            <w:tcW w:w="4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+200</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059"/>
              <w:spacing w:after="0"/>
              <w:rPr>
                <w:sz w:val="20"/>
                <w:szCs w:val="20"/>
                <w:color w:val="auto"/>
              </w:rPr>
            </w:pPr>
            <w:r>
              <w:rPr>
                <w:rFonts w:ascii="Arial" w:cs="Arial" w:eastAsia="Arial" w:hAnsi="Arial"/>
                <w:sz w:val="16"/>
                <w:szCs w:val="16"/>
                <w:color w:val="auto"/>
              </w:rPr>
              <w:t>16,155</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3.2 %</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11,014</w:t>
            </w:r>
          </w:p>
        </w:tc>
        <w:tc>
          <w:tcPr>
            <w:tcW w:w="82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33"/>
        </w:trPr>
        <w:tc>
          <w:tcPr>
            <w:tcW w:w="5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rPr>
              <w:t>8,090</w:t>
            </w:r>
          </w:p>
        </w:tc>
        <w:tc>
          <w:tcPr>
            <w:tcW w:w="8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1.6</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5,673</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(8,570)</w:t>
            </w:r>
          </w:p>
        </w:tc>
        <w:tc>
          <w:tcPr>
            <w:tcW w:w="800" w:type="dxa"/>
            <w:vAlign w:val="bottom"/>
          </w:tcPr>
          <w:p>
            <w:pPr>
              <w:jc w:val="right"/>
              <w:ind w:right="239"/>
              <w:spacing w:after="0"/>
              <w:rPr>
                <w:sz w:val="20"/>
                <w:szCs w:val="20"/>
                <w:color w:val="auto"/>
              </w:rPr>
            </w:pPr>
            <w:r>
              <w:rPr>
                <w:rFonts w:ascii="Arial" w:cs="Arial" w:eastAsia="Arial" w:hAnsi="Arial"/>
                <w:sz w:val="16"/>
                <w:szCs w:val="16"/>
                <w:color w:val="auto"/>
              </w:rPr>
              <w:t>(1.7)</w:t>
            </w:r>
          </w:p>
        </w:tc>
        <w:tc>
          <w:tcPr>
            <w:tcW w:w="600" w:type="dxa"/>
            <w:vAlign w:val="bottom"/>
          </w:tcPr>
          <w:p>
            <w:pPr>
              <w:spacing w:after="0"/>
              <w:rPr>
                <w:sz w:val="19"/>
                <w:szCs w:val="19"/>
                <w:color w:val="auto"/>
              </w:rPr>
            </w:pPr>
          </w:p>
        </w:tc>
        <w:tc>
          <w:tcPr>
            <w:tcW w:w="1760" w:type="dxa"/>
            <w:vAlign w:val="bottom"/>
          </w:tcPr>
          <w:p>
            <w:pPr>
              <w:jc w:val="right"/>
              <w:ind w:right="819"/>
              <w:spacing w:after="0"/>
              <w:rPr>
                <w:sz w:val="20"/>
                <w:szCs w:val="20"/>
                <w:color w:val="auto"/>
              </w:rPr>
            </w:pPr>
            <w:r>
              <w:rPr>
                <w:rFonts w:ascii="Arial" w:cs="Arial" w:eastAsia="Arial" w:hAnsi="Arial"/>
                <w:sz w:val="16"/>
                <w:szCs w:val="16"/>
                <w:color w:val="auto"/>
              </w:rPr>
              <w:t>(6,289)</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(1.2)</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5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rPr>
              <w:t>38,890</w:t>
            </w: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7.7 %</w:t>
            </w:r>
          </w:p>
        </w:tc>
        <w:tc>
          <w:tcPr>
            <w:tcW w:w="6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23,309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960" w:type="dxa"/>
            <w:vAlign w:val="bottom"/>
          </w:tcPr>
          <w:p>
            <w:pPr>
              <w:jc w:val="right"/>
              <w:ind w:right="1059"/>
              <w:spacing w:after="0"/>
              <w:rPr>
                <w:sz w:val="20"/>
                <w:szCs w:val="20"/>
                <w:color w:val="auto"/>
              </w:rPr>
            </w:pPr>
            <w:r>
              <w:rPr>
                <w:rFonts w:ascii="Arial" w:cs="Arial" w:eastAsia="Arial" w:hAnsi="Arial"/>
                <w:sz w:val="16"/>
                <w:szCs w:val="16"/>
                <w:color w:val="auto"/>
              </w:rPr>
              <w:t>22,214</w:t>
            </w:r>
          </w:p>
        </w:tc>
        <w:tc>
          <w:tcPr>
            <w:tcW w:w="800" w:type="dxa"/>
            <w:vAlign w:val="bottom"/>
          </w:tcPr>
          <w:p>
            <w:pPr>
              <w:jc w:val="right"/>
              <w:ind w:right="299"/>
              <w:spacing w:after="0"/>
              <w:rPr>
                <w:sz w:val="20"/>
                <w:szCs w:val="20"/>
                <w:color w:val="auto"/>
              </w:rPr>
            </w:pPr>
            <w:r>
              <w:rPr>
                <w:rFonts w:ascii="Arial" w:cs="Arial" w:eastAsia="Arial" w:hAnsi="Arial"/>
                <w:sz w:val="16"/>
                <w:szCs w:val="16"/>
                <w:color w:val="auto"/>
              </w:rPr>
              <w:t>4.4</w:t>
            </w:r>
          </w:p>
        </w:tc>
        <w:tc>
          <w:tcPr>
            <w:tcW w:w="600" w:type="dxa"/>
            <w:vAlign w:val="bottom"/>
          </w:tcPr>
          <w:p>
            <w:pPr>
              <w:spacing w:after="0"/>
              <w:rPr>
                <w:sz w:val="19"/>
                <w:szCs w:val="19"/>
                <w:color w:val="auto"/>
              </w:rPr>
            </w:pP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12,517</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2.5</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24"/>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(27,657)</w:t>
            </w:r>
          </w:p>
        </w:tc>
        <w:tc>
          <w:tcPr>
            <w:tcW w:w="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w:t>
            </w:r>
          </w:p>
        </w:tc>
        <w:tc>
          <w:tcPr>
            <w:tcW w:w="6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(17,665)</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r>
      <w:tr>
        <w:trPr>
          <w:trHeight w:val="47"/>
        </w:trPr>
        <w:tc>
          <w:tcPr>
            <w:tcW w:w="50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9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are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8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an effort to satisfy our liquidity needs, we actively manage our assets and liabilities. We have access to immediate liquid resources in the form of cash which is primarily on deposit with the FRB. Potential sources of liquidity also include investment securities in our available-for-sale securities portfolio, our ability to sell loans in the secondary market, and to secure borrowings from the FRB and FHLB. Our held-to-maturity securities, while not intended for sale, may also be utilized in 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17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 enhanced by our ability to pledge loans to access secured borrowings from the FHLB and FRB. As of September 30, 2019, we had additional borrowing capacity of $2.4 billion from the FHLB and $549.9 million from the FRB based on the amount of collateral pledged.</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continued our focus on maintaining a strong liquidity position throughout the first nine months of 2019. As of September 30, 2019, cash and cash equivalents were $370.9 million, the carrying value of our available-for-sale investment securities was $2.6 billion, and total deposits were $15.3 billion. As of September 30, 2019, our available-for-sale investment securities portfolio was comprised of securities with an average base duration of approximately 2.9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8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September 30, 2019, the Company and the Bank were considered “well capitalized” under this regulatory framework. The Company’s regulatory capital ratios are presented in Table 20 below. There have been no conditions or events since September 30, 2019 that management believes have changed either the Company’s or the Bank’s capital classifications.</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of September 30, 2019, shareholders’ equity was $1.3 billion, relatively unchanged from December 31, 2018. For the first nine months of 2019, net income of $167.8 million, common stock issuances of $6.0 million, share-based compensation of $6.7 million, and other comprehensive income of $29.3 million were partially offset by cash dividends paid of $78.5 million and common stock repurchased of $107.9 million. In the first nine months of 2019, we repurchased 1,306,826 shares under our share repurchase program. These shares were repurchased at an average cost per share of $80.14 and a total cost of $104.7 million. From the beginning of our share repurchase program in July 2001 through September 30, 2019, we repurchased a total of 56.6 million shares of common stock and returned a total of $2.3 billion to our shareholders at an average cost of $40.09 per share.</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October 1, 2019 through October 22, 2019, the Parent repurchased an additional 78,500 shares of common stock at an average cost of $84.08 per share for a total of $6.6 million. Remaining buyback authority under our share repurchase program was $50.4 million as of October 22, 2019. The actual amount and timing of future share repurchases, if any, will depend on market and economic conditions, regulatory rules, applicable SEC rules, and various other factors.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30" w:right="25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October 2019, the Parent’s Board of Directors declared a quarterly cash dividend of $0.67 per share on the Parent’s outstanding shares. The dividend will be payable on December 13, 2019 to shareholders of record at the close of business on November 29, 2019.</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final rules implementing the Basel Committee on Banking Supervision’s (“BCBS”) capital guidelines for U.S. banks became effective for the Company on January 1, 2015, with full compliance with all of the final rule’s requirements phased in over a multi-year schedule, which was fully phased in on January 1, 2019. As of September 30, 2019, the Company’s capital levels remained characterized as “well-capitalized” under the new rules. See the “Regulatory Initiatives Affecting the Banking Industry” section below for further discussion on Basel III.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Table 20 presents our regulatory capital and ratios as of September 30, 2019 and December 31, 2018.</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gridSpan w:val="5"/>
          </w:tcPr>
          <w:p>
            <w:pPr>
              <w:ind w:left="40"/>
              <w:spacing w:after="0"/>
              <w:rPr>
                <w:sz w:val="20"/>
                <w:szCs w:val="20"/>
                <w:color w:val="auto"/>
              </w:rPr>
            </w:pPr>
            <w:r>
              <w:rPr>
                <w:rFonts w:ascii="Arial" w:cs="Arial" w:eastAsia="Arial" w:hAnsi="Arial"/>
                <w:sz w:val="16"/>
                <w:szCs w:val="16"/>
                <w:b w:val="1"/>
                <w:bCs w:val="1"/>
                <w:color w:val="auto"/>
              </w:rPr>
              <w:t>Regulatory Capital and Ratios</w:t>
            </w: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Table 20</w:t>
            </w:r>
          </w:p>
        </w:tc>
      </w:tr>
      <w:tr>
        <w:trPr>
          <w:trHeight w:val="33"/>
        </w:trPr>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r>
      <w:tr>
        <w:trPr>
          <w:trHeight w:val="237"/>
        </w:trPr>
        <w:tc>
          <w:tcPr>
            <w:tcW w:w="6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(dollars in thousands)</w:t>
            </w:r>
          </w:p>
        </w:tc>
        <w:tc>
          <w:tcPr>
            <w:tcW w:w="1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0"/>
                <w:szCs w:val="20"/>
                <w:color w:val="auto"/>
              </w:rPr>
            </w:pPr>
          </w:p>
        </w:tc>
      </w:tr>
      <w:tr>
        <w:trPr>
          <w:trHeight w:val="202"/>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Regulatory Capital</w:t>
            </w:r>
          </w:p>
        </w:tc>
        <w:tc>
          <w:tcPr>
            <w:tcW w:w="19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Shareholders’ Equity</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1,291,490</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1,268,200</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1</w:t>
            </w:r>
          </w:p>
        </w:tc>
        <w:tc>
          <w:tcPr>
            <w:tcW w:w="19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28,718</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28,718</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Postretirement Benefit Liability Adjustments</w:t>
            </w:r>
          </w:p>
        </w:tc>
        <w:tc>
          <w:tcPr>
            <w:tcW w:w="19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(35,274)</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(36,010)</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Net Unrealized Gains (Losses) on Investment Securities </w:t>
            </w:r>
            <w:r>
              <w:rPr>
                <w:rFonts w:ascii="Arial" w:cs="Arial" w:eastAsia="Arial" w:hAnsi="Arial"/>
                <w:sz w:val="21"/>
                <w:szCs w:val="21"/>
                <w:color w:val="auto"/>
                <w:vertAlign w:val="superscript"/>
              </w:rPr>
              <w:t>2</w:t>
            </w:r>
          </w:p>
        </w:tc>
        <w:tc>
          <w:tcPr>
            <w:tcW w:w="19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13,500</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(15,033)</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Other</w:t>
            </w:r>
          </w:p>
        </w:tc>
        <w:tc>
          <w:tcPr>
            <w:tcW w:w="19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(198)</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19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1,284,744</w:t>
            </w: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1,290,723</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169"/>
        </w:trPr>
        <w:tc>
          <w:tcPr>
            <w:tcW w:w="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402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r>
      <w:tr>
        <w:trPr>
          <w:trHeight w:val="244"/>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w:t>
            </w:r>
          </w:p>
        </w:tc>
        <w:tc>
          <w:tcPr>
            <w:tcW w:w="1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1,284,744</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1,290,723</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Allowable Reserve for Credit Losses</w:t>
            </w:r>
          </w:p>
        </w:tc>
        <w:tc>
          <w:tcPr>
            <w:tcW w:w="19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115,758</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113,515</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Total Regulatory Capital</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1,400,502</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1,404,238</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Risk-Weighted Assets</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10,416,560</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9,878,904</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3"/>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Key Regulatory Capital Ratios</w:t>
            </w:r>
          </w:p>
        </w:tc>
        <w:tc>
          <w:tcPr>
            <w:tcW w:w="19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24"/>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Common Equity Tier 1 Capital Ratio</w:t>
            </w:r>
          </w:p>
        </w:tc>
        <w:tc>
          <w:tcPr>
            <w:tcW w:w="19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12.33</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1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Total Capital Ratio</w:t>
            </w:r>
          </w:p>
        </w:tc>
        <w:tc>
          <w:tcPr>
            <w:tcW w:w="19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13.44</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14.21</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Tier 1 Leverage Ratio</w:t>
            </w:r>
          </w:p>
        </w:tc>
        <w:tc>
          <w:tcPr>
            <w:tcW w:w="19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c>
          <w:tcPr>
            <w:tcW w:w="220" w:type="dxa"/>
            <w:vAlign w:val="bottom"/>
            <w:shd w:val="clear" w:color="auto" w:fill="CCEEFF"/>
          </w:tcPr>
          <w:p>
            <w:pPr>
              <w:spacing w:after="0"/>
              <w:rPr>
                <w:sz w:val="20"/>
                <w:szCs w:val="20"/>
                <w:color w:val="auto"/>
              </w:rPr>
            </w:pPr>
          </w:p>
        </w:tc>
      </w:tr>
      <w:tr>
        <w:trPr>
          <w:trHeight w:val="33"/>
        </w:trPr>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80" w:hanging="72"/>
        <w:spacing w:after="0"/>
        <w:tabs>
          <w:tab w:leader="none" w:pos="80" w:val="left"/>
        </w:tabs>
        <w:numPr>
          <w:ilvl w:val="0"/>
          <w:numId w:val="46"/>
        </w:numPr>
        <w:rPr>
          <w:rFonts w:ascii="Arial" w:cs="Arial" w:eastAsia="Arial" w:hAnsi="Arial"/>
          <w:sz w:val="9"/>
          <w:szCs w:val="9"/>
          <w:color w:val="auto"/>
        </w:rPr>
      </w:pPr>
      <w:r>
        <w:rPr>
          <w:rFonts w:ascii="Arial" w:cs="Arial" w:eastAsia="Arial" w:hAnsi="Arial"/>
          <w:sz w:val="14"/>
          <w:szCs w:val="14"/>
          <w:color w:val="auto"/>
        </w:rPr>
        <w:t>Calculated net of deferred tax liabilities.</w:t>
      </w:r>
    </w:p>
    <w:p>
      <w:pPr>
        <w:spacing w:after="0" w:line="13" w:lineRule="exact"/>
        <w:rPr>
          <w:sz w:val="20"/>
          <w:szCs w:val="20"/>
          <w:color w:val="auto"/>
        </w:rPr>
      </w:pPr>
    </w:p>
    <w:p>
      <w:pPr>
        <w:ind w:left="80" w:hanging="72"/>
        <w:spacing w:after="0"/>
        <w:tabs>
          <w:tab w:leader="none" w:pos="80" w:val="left"/>
        </w:tabs>
        <w:numPr>
          <w:ilvl w:val="0"/>
          <w:numId w:val="47"/>
        </w:numPr>
        <w:rPr>
          <w:rFonts w:ascii="Arial" w:cs="Arial" w:eastAsia="Arial" w:hAnsi="Arial"/>
          <w:sz w:val="9"/>
          <w:szCs w:val="9"/>
          <w:color w:val="auto"/>
        </w:rPr>
      </w:pPr>
      <w:r>
        <w:rPr>
          <w:rFonts w:ascii="Arial" w:cs="Arial" w:eastAsia="Arial" w:hAnsi="Arial"/>
          <w:sz w:val="14"/>
          <w:szCs w:val="14"/>
          <w:color w:val="auto"/>
        </w:rPr>
        <w:t>Includes unrealized gains and losses related to the Company’s reclassification of available-for-sale investment securities to the held-to-maturity category.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9"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 III</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Under final FRB and FDIC approved rules implementing the Basel Committee on Banking Supervision’s capital guidelines for U.S. banks minimum requirements increased for both the quantity and quality of capital held by the Company. The Basel III capital standards substantially revised the risk based capital requirements applicable to bank holding companies and their depository institution subsidiaries, including the definitions and the components of Tier 1 capital and Total Capital, the method of evaluating risk-weighted assets, institutions of a capital conservation buffer, and other matters affecting regulatory capital ratios. Strict eligibility criteria for regulatory capital instruments were also implemented under the rules.</w:t>
      </w:r>
    </w:p>
    <w:p>
      <w:pPr>
        <w:spacing w:after="0" w:line="1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phase-in period for the final rules became effective for the Company on January 1, 2015, with full compliance with all of the final rules’ requirements phased in over a multi-year schedule, which was fully phased in on January 1, 2019. As of September 30, 2019, the Company’s capital levels remained characterized as “well-capitalized” under the new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regulatory developments and their potential impact to the Company’s liquidity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Stress Testing</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Enactment of the Economic Growth, Regulatory Relief, and Consumer Protection Act in May 2018 significantly altered several provisions of the Dodd-Frank Act, including how stress tests are run. Bank holding companies with assets of less than $100 billion, such as the Company, are no longer subject to company-run stress testing requirements in section 165(i)(2) of the Dodd-Frank Act, including publishing a summary of results. At this time, the Company continues to run internal stress tests as a component of our comprehensive risk management and capital planning process.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5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30"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Credit Commitments,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hold interests in several unconsolidated VIEs. These unconsolidated VIEs are primarily low-income housing partnerships and solar energy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Contractual Obligations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credit commitments and contractual obligations have not changed materially since previously reported in our Annual Report on Form 10-K for the year ended December 31, 2018.</w:t>
      </w: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80"/>
          </w:cols>
          <w:pgMar w:left="240" w:top="130" w:right="37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“Market Risk” of this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September 30, 2019.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September 30,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September 30, 2019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80"/>
          </w:cols>
          <w:pgMar w:left="240" w:top="130" w:right="37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are no material changes from the risk factors set forth under Part I, Item 1A. “Risk Factors” in the Company’s Annual Report on Form 10-K for the year ended December 31, 2018,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Uncertainty About the Continuing Availability of LIBOR May Adversely Affect Our Business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July 27, 2017, the United Kingdom’s Financial Conduct Authority, which regulates the LIBOR announced that after December 31, 2021 it would no longer compel banks to submit the rates required to calculate LIBOR. With this announcement there is uncertainty about the continued availability of LIBOR after 2021. If LIBOR ceases to be available or the methods of calculating LIBOR change from the current methods, financial products with interest rates tied to LIBOR may be adversely affected. Even if LIBOR remains available it is uncertain whether it will continue to be viewed as an acceptable market benchmark, what rate or rates may become accepted alternatives to LIBOR or what the effect of any such changes in views or alternatives may be on the markets for LIBOR-indexed financial instruments. We have loans, derivative contracts, and other financial instruments with rates that are either directly or indirectly tied to LIBOR. If any of the foregoing were to occur, the interest rates on these instruments, as well as the revenue and expenses associated with the same, may be adversely affected. Furthermore, failure to adequately manage this transition process with our customers could adversely impact our reputation.</w:t>
      </w:r>
    </w:p>
    <w:p>
      <w:pPr>
        <w:spacing w:after="0" w:line="19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is continuing its implementation efforts through its Company-wide implementation team. The implementation team meets periodically to discuss the latest developments and ensure progress is being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Parent’s repurchases of its common stock during the third quarter of 2019 were as follows:</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Total Number of Shares</w:t>
            </w: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80" w:type="dxa"/>
            <w:vAlign w:val="bottom"/>
            <w:vMerge w:val="continue"/>
          </w:tcPr>
          <w:p>
            <w:pPr>
              <w:spacing w:after="0"/>
              <w:rPr>
                <w:sz w:val="16"/>
                <w:szCs w:val="16"/>
                <w:color w:val="auto"/>
              </w:rPr>
            </w:pP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of Shares that May Yet Be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34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 Number of</w:t>
            </w:r>
          </w:p>
        </w:tc>
        <w:tc>
          <w:tcPr>
            <w:tcW w:w="17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93"/>
              </w:rPr>
              <w:t>Average Price Paid</w:t>
            </w:r>
          </w:p>
        </w:tc>
        <w:tc>
          <w:tcPr>
            <w:tcW w:w="228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Purchased as Part of Publicly</w:t>
            </w:r>
          </w:p>
        </w:tc>
        <w:tc>
          <w:tcPr>
            <w:tcW w:w="118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Purchased Under the</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2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17"/>
                <w:szCs w:val="17"/>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Per Share</w:t>
            </w:r>
          </w:p>
        </w:tc>
        <w:tc>
          <w:tcPr>
            <w:tcW w:w="2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1"/>
              </w:rPr>
              <w:t>Announced Plans or Programs</w:t>
            </w:r>
          </w:p>
        </w:tc>
        <w:tc>
          <w:tcPr>
            <w:tcW w:w="1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 xml:space="preserve">Plans or Programs </w:t>
            </w:r>
            <w:r>
              <w:rPr>
                <w:rFonts w:ascii="Arial" w:cs="Arial" w:eastAsia="Arial" w:hAnsi="Arial"/>
                <w:sz w:val="17"/>
                <w:szCs w:val="17"/>
                <w:b w:val="1"/>
                <w:bCs w:val="1"/>
                <w:color w:val="auto"/>
                <w:w w:val="99"/>
                <w:vertAlign w:val="superscript"/>
              </w:rPr>
              <w:t>2</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1 - 31, 2019</w:t>
            </w:r>
          </w:p>
        </w:tc>
        <w:tc>
          <w:tcPr>
            <w:tcW w:w="23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126,350</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82.55</w:t>
            </w: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76,579,391</w:t>
            </w:r>
          </w:p>
        </w:tc>
        <w:tc>
          <w:tcPr>
            <w:tcW w:w="0" w:type="dxa"/>
            <w:vAlign w:val="bottom"/>
          </w:tcPr>
          <w:p>
            <w:pPr>
              <w:spacing w:after="0"/>
              <w:rPr>
                <w:sz w:val="1"/>
                <w:szCs w:val="1"/>
                <w:color w:val="auto"/>
              </w:rPr>
            </w:pP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color w:val="auto"/>
              </w:rPr>
              <w:t>August 1 - 31, 2019</w:t>
            </w:r>
          </w:p>
        </w:tc>
        <w:tc>
          <w:tcPr>
            <w:tcW w:w="2340" w:type="dxa"/>
            <w:vAlign w:val="bottom"/>
          </w:tcPr>
          <w:p>
            <w:pPr>
              <w:jc w:val="right"/>
              <w:ind w:right="259"/>
              <w:spacing w:after="0"/>
              <w:rPr>
                <w:sz w:val="20"/>
                <w:szCs w:val="20"/>
                <w:color w:val="auto"/>
              </w:rPr>
            </w:pPr>
            <w:r>
              <w:rPr>
                <w:rFonts w:ascii="Arial" w:cs="Arial" w:eastAsia="Arial" w:hAnsi="Arial"/>
                <w:sz w:val="16"/>
                <w:szCs w:val="16"/>
                <w:color w:val="auto"/>
              </w:rPr>
              <w:t>131,000</w:t>
            </w:r>
          </w:p>
        </w:tc>
        <w:tc>
          <w:tcPr>
            <w:tcW w:w="400" w:type="dxa"/>
            <w:vAlign w:val="bottom"/>
          </w:tcPr>
          <w:p>
            <w:pPr>
              <w:spacing w:after="0"/>
              <w:rPr>
                <w:sz w:val="20"/>
                <w:szCs w:val="20"/>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81.90</w:t>
            </w:r>
          </w:p>
        </w:tc>
        <w:tc>
          <w:tcPr>
            <w:tcW w:w="2280" w:type="dxa"/>
            <w:vAlign w:val="bottom"/>
          </w:tcPr>
          <w:p>
            <w:pPr>
              <w:jc w:val="right"/>
              <w:ind w:right="39"/>
              <w:spacing w:after="0"/>
              <w:rPr>
                <w:sz w:val="20"/>
                <w:szCs w:val="20"/>
                <w:color w:val="auto"/>
              </w:rPr>
            </w:pPr>
            <w:r>
              <w:rPr>
                <w:rFonts w:ascii="Arial" w:cs="Arial" w:eastAsia="Arial" w:hAnsi="Arial"/>
                <w:sz w:val="16"/>
                <w:szCs w:val="16"/>
                <w:color w:val="auto"/>
              </w:rPr>
              <w:t>131,000</w:t>
            </w:r>
          </w:p>
        </w:tc>
        <w:tc>
          <w:tcPr>
            <w:tcW w:w="1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65,850,472</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1 - 30, 2019</w:t>
            </w:r>
          </w:p>
        </w:tc>
        <w:tc>
          <w:tcPr>
            <w:tcW w:w="23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104,376</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85.14</w:t>
            </w: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104,000</w:t>
            </w:r>
          </w:p>
        </w:tc>
        <w:tc>
          <w:tcPr>
            <w:tcW w:w="1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56,996,823</w:t>
            </w:r>
          </w:p>
        </w:tc>
        <w:tc>
          <w:tcPr>
            <w:tcW w:w="0" w:type="dxa"/>
            <w:vAlign w:val="bottom"/>
          </w:tcPr>
          <w:p>
            <w:pPr>
              <w:spacing w:after="0"/>
              <w:rPr>
                <w:sz w:val="1"/>
                <w:szCs w:val="1"/>
                <w:color w:val="auto"/>
              </w:rPr>
            </w:pPr>
          </w:p>
        </w:tc>
      </w:tr>
      <w:tr>
        <w:trPr>
          <w:trHeight w:val="231"/>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3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361,726</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83.06</w:t>
            </w:r>
          </w:p>
        </w:tc>
        <w:tc>
          <w:tcPr>
            <w:tcW w:w="2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360,000</w:t>
            </w:r>
          </w:p>
        </w:tc>
        <w:tc>
          <w:tcPr>
            <w:tcW w:w="1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line="264" w:lineRule="auto"/>
        <w:tabs>
          <w:tab w:leader="none" w:pos="180" w:val="left"/>
        </w:tabs>
        <w:numPr>
          <w:ilvl w:val="0"/>
          <w:numId w:val="48"/>
        </w:numPr>
        <w:rPr>
          <w:rFonts w:ascii="Arial" w:cs="Arial" w:eastAsia="Arial" w:hAnsi="Arial"/>
          <w:sz w:val="8"/>
          <w:szCs w:val="8"/>
          <w:color w:val="auto"/>
        </w:rPr>
      </w:pPr>
      <w:r>
        <w:rPr>
          <w:rFonts w:ascii="Arial" w:cs="Arial" w:eastAsia="Arial" w:hAnsi="Arial"/>
          <w:sz w:val="13"/>
          <w:szCs w:val="13"/>
          <w:color w:val="auto"/>
        </w:rPr>
        <w:t>During the third quarter of 2019, 1,726 shares were acquired from employees in connection with income tax withholdings related to the vesting of restricted stock and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 Act”) by Section 4(a)(2) thereof. The trustee under the trust and the participants under the DDCP are “Accredited Investors”, as defined in Rule 501(a) under the Securities Act. These transactions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did not involve a public offering and occurred without general solicitation or advertising. The shares were purchased at the closing price of the Parent’s common stock on the dates of purchase.</w:t>
      </w:r>
    </w:p>
    <w:p>
      <w:pPr>
        <w:spacing w:after="0" w:line="13" w:lineRule="exact"/>
        <w:rPr>
          <w:sz w:val="20"/>
          <w:szCs w:val="20"/>
          <w:color w:val="auto"/>
        </w:rPr>
      </w:pPr>
    </w:p>
    <w:p>
      <w:pPr>
        <w:ind w:left="180" w:right="280" w:hanging="172"/>
        <w:spacing w:after="0" w:line="255" w:lineRule="auto"/>
        <w:tabs>
          <w:tab w:leader="none" w:pos="180" w:val="left"/>
        </w:tabs>
        <w:numPr>
          <w:ilvl w:val="0"/>
          <w:numId w:val="49"/>
        </w:numPr>
        <w:rPr>
          <w:rFonts w:ascii="Arial" w:cs="Arial" w:eastAsia="Arial" w:hAnsi="Arial"/>
          <w:sz w:val="9"/>
          <w:szCs w:val="9"/>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on the Exhibit Index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30" w:right="23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520" w:type="dxa"/>
            <w:vAlign w:val="bottom"/>
          </w:tcPr>
          <w:p>
            <w:pPr>
              <w:ind w:left="140"/>
              <w:spacing w:after="0"/>
              <w:rPr>
                <w:sz w:val="20"/>
                <w:szCs w:val="20"/>
                <w:color w:val="auto"/>
              </w:rPr>
            </w:pPr>
            <w:r>
              <w:rPr>
                <w:rFonts w:ascii="Arial" w:cs="Arial" w:eastAsia="Arial" w:hAnsi="Arial"/>
                <w:sz w:val="18"/>
                <w:szCs w:val="18"/>
                <w:color w:val="auto"/>
              </w:rPr>
              <w:t>October 28, 2019</w:t>
            </w:r>
          </w:p>
        </w:tc>
        <w:tc>
          <w:tcPr>
            <w:tcW w:w="5180" w:type="dxa"/>
            <w:vAlign w:val="bottom"/>
          </w:tcPr>
          <w:p>
            <w:pPr>
              <w:ind w:left="20"/>
              <w:spacing w:after="0"/>
              <w:rPr>
                <w:sz w:val="20"/>
                <w:szCs w:val="20"/>
                <w:color w:val="auto"/>
              </w:rPr>
            </w:pPr>
            <w:r>
              <w:rPr>
                <w:rFonts w:ascii="Arial" w:cs="Arial" w:eastAsia="Arial" w:hAnsi="Arial"/>
                <w:sz w:val="18"/>
                <w:szCs w:val="18"/>
                <w:color w:val="auto"/>
              </w:rPr>
              <w:t>Bank of Hawaii Corporation</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Peter S. Ho</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Peter S. Ho</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Chairman of the Board,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Executive Officer, and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President</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Dean Y. Shigemura</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Dean Y. Shigemura</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80"/>
          </w:cols>
          <w:pgMar w:left="240" w:top="130" w:right="37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177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60" w:type="dxa"/>
            <w:vAlign w:val="bottom"/>
            <w:gridSpan w:val="2"/>
          </w:tcPr>
          <w:p>
            <w:pPr>
              <w:jc w:val="right"/>
              <w:ind w:right="340"/>
              <w:spacing w:after="0"/>
              <w:rPr>
                <w:rFonts w:ascii="Arial" w:cs="Arial" w:eastAsia="Arial" w:hAnsi="Arial"/>
                <w:sz w:val="18"/>
                <w:szCs w:val="18"/>
                <w:color w:val="0000FF"/>
                <w:w w:val="85"/>
              </w:rPr>
            </w:pPr>
            <w:hyperlink w:anchor="page9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Amended, Adopted Pursuant</w:t>
            </w:r>
          </w:p>
        </w:tc>
      </w:tr>
      <w:tr>
        <w:trPr>
          <w:trHeight w:val="237"/>
        </w:trPr>
        <w:tc>
          <w:tcPr>
            <w:tcW w:w="30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to Section 302 of the Sarbanes Oxley Act of 2002</w:t>
            </w:r>
          </w:p>
        </w:tc>
      </w:tr>
      <w:tr>
        <w:trPr>
          <w:trHeight w:val="500"/>
        </w:trPr>
        <w:tc>
          <w:tcPr>
            <w:tcW w:w="660" w:type="dxa"/>
            <w:vAlign w:val="bottom"/>
            <w:gridSpan w:val="2"/>
          </w:tcPr>
          <w:p>
            <w:pPr>
              <w:jc w:val="right"/>
              <w:ind w:right="340"/>
              <w:spacing w:after="0"/>
              <w:rPr>
                <w:rFonts w:ascii="Arial" w:cs="Arial" w:eastAsia="Arial" w:hAnsi="Arial"/>
                <w:sz w:val="18"/>
                <w:szCs w:val="18"/>
                <w:color w:val="0000FF"/>
                <w:w w:val="85"/>
              </w:rPr>
            </w:pPr>
            <w:hyperlink w:anchor="page9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Amended, Adopted Pursuant</w:t>
            </w:r>
          </w:p>
        </w:tc>
      </w:tr>
      <w:tr>
        <w:trPr>
          <w:trHeight w:val="237"/>
        </w:trPr>
        <w:tc>
          <w:tcPr>
            <w:tcW w:w="30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to Section 302 of the Sarbanes Oxley Act of 2002</w:t>
            </w:r>
          </w:p>
        </w:tc>
      </w:tr>
    </w:tbl>
    <w:p>
      <w:pPr>
        <w:spacing w:after="0" w:line="310" w:lineRule="exact"/>
        <w:rPr>
          <w:sz w:val="20"/>
          <w:szCs w:val="20"/>
          <w:color w:val="auto"/>
        </w:rPr>
      </w:pPr>
    </w:p>
    <w:p>
      <w:pPr>
        <w:ind w:left="1040" w:right="840" w:hanging="1005"/>
        <w:spacing w:after="0" w:line="277" w:lineRule="auto"/>
        <w:tabs>
          <w:tab w:leader="none" w:pos="1040" w:val="left"/>
        </w:tabs>
        <w:numPr>
          <w:ilvl w:val="0"/>
          <w:numId w:val="50"/>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ind w:left="16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840" w:type="dxa"/>
            <w:vAlign w:val="bottom"/>
          </w:tcPr>
          <w:p>
            <w:pPr>
              <w:spacing w:after="0"/>
              <w:rPr>
                <w:sz w:val="20"/>
                <w:szCs w:val="20"/>
                <w:color w:val="auto"/>
              </w:rPr>
            </w:pPr>
          </w:p>
        </w:tc>
        <w:tc>
          <w:tcPr>
            <w:tcW w:w="10240" w:type="dxa"/>
            <w:vAlign w:val="bottom"/>
          </w:tcPr>
          <w:p>
            <w:pPr>
              <w:ind w:left="160"/>
              <w:spacing w:after="0"/>
              <w:rPr>
                <w:sz w:val="20"/>
                <w:szCs w:val="20"/>
                <w:color w:val="auto"/>
              </w:rPr>
            </w:pPr>
            <w:r>
              <w:rPr>
                <w:rFonts w:ascii="Arial" w:cs="Arial" w:eastAsia="Arial" w:hAnsi="Arial"/>
                <w:sz w:val="18"/>
                <w:szCs w:val="18"/>
                <w:color w:val="auto"/>
              </w:rPr>
              <w:t>the Inline XBRL document</w:t>
            </w:r>
          </w:p>
        </w:tc>
      </w:tr>
      <w:tr>
        <w:trPr>
          <w:trHeight w:val="756"/>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972"/>
        </w:trPr>
        <w:tc>
          <w:tcPr>
            <w:tcW w:w="840" w:type="dxa"/>
            <w:vAlign w:val="bottom"/>
          </w:tcPr>
          <w:p>
            <w:pPr>
              <w:spacing w:after="0"/>
              <w:rPr>
                <w:sz w:val="24"/>
                <w:szCs w:val="24"/>
                <w:color w:val="auto"/>
              </w:rPr>
            </w:pPr>
          </w:p>
        </w:tc>
        <w:tc>
          <w:tcPr>
            <w:tcW w:w="10240" w:type="dxa"/>
            <w:vAlign w:val="bottom"/>
          </w:tcPr>
          <w:p>
            <w:pPr>
              <w:ind w:left="4740"/>
              <w:spacing w:after="0"/>
              <w:rPr>
                <w:sz w:val="20"/>
                <w:szCs w:val="20"/>
                <w:color w:val="auto"/>
              </w:rPr>
            </w:pPr>
            <w:r>
              <w:rPr>
                <w:rFonts w:ascii="Arial" w:cs="Arial" w:eastAsia="Arial" w:hAnsi="Arial"/>
                <w:sz w:val="18"/>
                <w:szCs w:val="18"/>
                <w:color w:val="auto"/>
              </w:rPr>
              <w:t>88</w:t>
            </w:r>
          </w:p>
        </w:tc>
      </w:tr>
    </w:tbl>
    <w:p>
      <w:pPr>
        <w:sectPr>
          <w:pgSz w:w="11900" w:h="16838" w:orient="portrait"/>
          <w:cols w:equalWidth="0" w:num="1">
            <w:col w:w="11160"/>
          </w:cols>
          <w:pgMar w:left="240" w:top="130" w:right="49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14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28, 2019</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14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28, 2019</w:t>
      </w:r>
      <w:r>
        <w:rPr>
          <w:sz w:val="20"/>
          <w:szCs w:val="20"/>
          <w:color w:val="auto"/>
        </w:rPr>
        <w:tab/>
      </w:r>
      <w:r>
        <w:rPr>
          <w:rFonts w:ascii="Arial" w:cs="Arial" w:eastAsia="Arial" w:hAnsi="Arial"/>
          <w:sz w:val="16"/>
          <w:szCs w:val="16"/>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Quarterly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10-Q of Bank of Hawaii Corporation (the “Company”) for the quarter ended September 30, 2019 (the “Report”):</w:t>
      </w:r>
    </w:p>
    <w:p>
      <w:pPr>
        <w:spacing w:after="0" w:line="13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as applicable, of the Securities Exchange Act of 1934, as amended;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28, 2019</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bullet"/>
      <w:start w:val="1"/>
    </w:lvl>
  </w:abstractNum>
  <w:abstractNum w:abstractNumId="3">
    <w:nsid w:val="836C40E"/>
    <w:multiLevelType w:val="hybridMultilevel"/>
    <w:lvl w:ilvl="0">
      <w:lvlJc w:val="left"/>
      <w:lvlText w:val="1"/>
      <w:numFmt w:val="bullet"/>
      <w:start w:val="1"/>
    </w:lvl>
  </w:abstractNum>
  <w:abstractNum w:abstractNumId="4">
    <w:nsid w:val="2901D82"/>
    <w:multiLevelType w:val="hybridMultilevel"/>
    <w:lvl w:ilvl="0">
      <w:lvlJc w:val="left"/>
      <w:lvlText w:val="1"/>
      <w:numFmt w:val="bullet"/>
      <w:start w:val="1"/>
    </w:lvl>
  </w:abstractNum>
  <w:abstractNum w:abstractNumId="5">
    <w:nsid w:val="3A95F874"/>
    <w:multiLevelType w:val="hybridMultilevel"/>
    <w:lvl w:ilvl="0">
      <w:lvlJc w:val="left"/>
      <w:lvlText w:val="2"/>
      <w:numFmt w:val="bullet"/>
      <w:start w:val="1"/>
    </w:lvl>
  </w:abstractNum>
  <w:abstractNum w:abstractNumId="6">
    <w:nsid w:val="8138641"/>
    <w:multiLevelType w:val="hybridMultilevel"/>
    <w:lvl w:ilvl="0">
      <w:lvlJc w:val="left"/>
      <w:lvlText w:val="1"/>
      <w:numFmt w:val="bullet"/>
      <w:start w:val="1"/>
    </w:lvl>
  </w:abstractNum>
  <w:abstractNum w:abstractNumId="7">
    <w:nsid w:val="1E7FF521"/>
    <w:multiLevelType w:val="hybridMultilevel"/>
    <w:lvl w:ilvl="0">
      <w:lvlJc w:val="left"/>
      <w:lvlText w:val="1"/>
      <w:numFmt w:val="bullet"/>
      <w:start w:val="1"/>
    </w:lvl>
  </w:abstractNum>
  <w:abstractNum w:abstractNumId="8">
    <w:nsid w:val="7C3DBD3D"/>
    <w:multiLevelType w:val="hybridMultilevel"/>
    <w:lvl w:ilvl="0">
      <w:lvlJc w:val="left"/>
      <w:lvlText w:val="1"/>
      <w:numFmt w:val="bullet"/>
      <w:start w:val="1"/>
    </w:lvl>
  </w:abstractNum>
  <w:abstractNum w:abstractNumId="9">
    <w:nsid w:val="737B8DDC"/>
    <w:multiLevelType w:val="hybridMultilevel"/>
    <w:lvl w:ilvl="0">
      <w:lvlJc w:val="left"/>
      <w:lvlText w:val="1"/>
      <w:numFmt w:val="bullet"/>
      <w:start w:val="1"/>
    </w:lvl>
  </w:abstractNum>
  <w:abstractNum w:abstractNumId="10">
    <w:nsid w:val="6CEAF087"/>
    <w:multiLevelType w:val="hybridMultilevel"/>
    <w:lvl w:ilvl="0">
      <w:lvlJc w:val="left"/>
      <w:lvlText w:val="1"/>
      <w:numFmt w:val="bullet"/>
      <w:start w:val="1"/>
    </w:lvl>
  </w:abstractNum>
  <w:abstractNum w:abstractNumId="11">
    <w:nsid w:val="22221A70"/>
    <w:multiLevelType w:val="hybridMultilevel"/>
    <w:lvl w:ilvl="0">
      <w:lvlJc w:val="left"/>
      <w:lvlText w:val="2"/>
      <w:numFmt w:val="bullet"/>
      <w:start w:val="1"/>
    </w:lvl>
  </w:abstractNum>
  <w:abstractNum w:abstractNumId="12">
    <w:nsid w:val="4516DDE9"/>
    <w:multiLevelType w:val="hybridMultilevel"/>
    <w:lvl w:ilvl="0">
      <w:lvlJc w:val="left"/>
      <w:lvlText w:val="1"/>
      <w:numFmt w:val="bullet"/>
      <w:start w:val="1"/>
    </w:lvl>
  </w:abstractNum>
  <w:abstractNum w:abstractNumId="13">
    <w:nsid w:val="3006C83E"/>
    <w:multiLevelType w:val="hybridMultilevel"/>
    <w:lvl w:ilvl="0">
      <w:lvlJc w:val="left"/>
      <w:lvlText w:val="1"/>
      <w:numFmt w:val="bullet"/>
      <w:start w:val="1"/>
    </w:lvl>
  </w:abstractNum>
  <w:abstractNum w:abstractNumId="14">
    <w:nsid w:val="614FD4A1"/>
    <w:multiLevelType w:val="hybridMultilevel"/>
    <w:lvl w:ilvl="0">
      <w:lvlJc w:val="left"/>
      <w:lvlText w:val="2"/>
      <w:numFmt w:val="bullet"/>
      <w:start w:val="1"/>
    </w:lvl>
  </w:abstractNum>
  <w:abstractNum w:abstractNumId="15">
    <w:nsid w:val="419AC241"/>
    <w:multiLevelType w:val="hybridMultilevel"/>
    <w:lvl w:ilvl="0">
      <w:lvlJc w:val="left"/>
      <w:lvlText w:val="1"/>
      <w:numFmt w:val="bullet"/>
      <w:start w:val="1"/>
    </w:lvl>
  </w:abstractNum>
  <w:abstractNum w:abstractNumId="16">
    <w:nsid w:val="5577F8E1"/>
    <w:multiLevelType w:val="hybridMultilevel"/>
    <w:lvl w:ilvl="0">
      <w:lvlJc w:val="left"/>
      <w:lvlText w:val="1"/>
      <w:numFmt w:val="bullet"/>
      <w:start w:val="1"/>
    </w:lvl>
  </w:abstractNum>
  <w:abstractNum w:abstractNumId="17">
    <w:nsid w:val="440BADFC"/>
    <w:multiLevelType w:val="hybridMultilevel"/>
    <w:lvl w:ilvl="0">
      <w:lvlJc w:val="left"/>
      <w:lvlText w:val="1"/>
      <w:numFmt w:val="bullet"/>
      <w:start w:val="1"/>
    </w:lvl>
  </w:abstractNum>
  <w:abstractNum w:abstractNumId="18">
    <w:nsid w:val="5072367"/>
    <w:multiLevelType w:val="hybridMultilevel"/>
    <w:lvl w:ilvl="0">
      <w:lvlJc w:val="left"/>
      <w:lvlText w:val="2"/>
      <w:numFmt w:val="bullet"/>
      <w:start w:val="1"/>
    </w:lvl>
  </w:abstractNum>
  <w:abstractNum w:abstractNumId="19">
    <w:nsid w:val="3804823E"/>
    <w:multiLevelType w:val="hybridMultilevel"/>
    <w:lvl w:ilvl="0">
      <w:lvlJc w:val="left"/>
      <w:lvlText w:val="1"/>
      <w:numFmt w:val="bullet"/>
      <w:start w:val="1"/>
    </w:lvl>
  </w:abstractNum>
  <w:abstractNum w:abstractNumId="20">
    <w:nsid w:val="77465F01"/>
    <w:multiLevelType w:val="hybridMultilevel"/>
    <w:lvl w:ilvl="0">
      <w:lvlJc w:val="left"/>
      <w:lvlText w:val="2"/>
      <w:numFmt w:val="bullet"/>
      <w:start w:val="1"/>
    </w:lvl>
  </w:abstractNum>
  <w:abstractNum w:abstractNumId="21">
    <w:nsid w:val="7724C67E"/>
    <w:multiLevelType w:val="hybridMultilevel"/>
    <w:lvl w:ilvl="0">
      <w:lvlJc w:val="left"/>
      <w:lvlText w:val="1"/>
      <w:numFmt w:val="bullet"/>
      <w:start w:val="1"/>
    </w:lvl>
  </w:abstractNum>
  <w:abstractNum w:abstractNumId="22">
    <w:nsid w:val="5C482A97"/>
    <w:multiLevelType w:val="hybridMultilevel"/>
    <w:lvl w:ilvl="0">
      <w:lvlJc w:val="left"/>
      <w:lvlText w:val="2"/>
      <w:numFmt w:val="bullet"/>
      <w:start w:val="1"/>
    </w:lvl>
  </w:abstractNum>
  <w:abstractNum w:abstractNumId="23">
    <w:nsid w:val="2463B9EA"/>
    <w:multiLevelType w:val="hybridMultilevel"/>
    <w:lvl w:ilvl="0">
      <w:lvlJc w:val="left"/>
      <w:lvlText w:val="1"/>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bullet"/>
      <w:start w:val="1"/>
    </w:lvl>
  </w:abstractNum>
  <w:abstractNum w:abstractNumId="31">
    <w:nsid w:val="6A2342EC"/>
    <w:multiLevelType w:val="hybridMultilevel"/>
    <w:lvl w:ilvl="0">
      <w:lvlJc w:val="left"/>
      <w:lvlText w:val="2"/>
      <w:numFmt w:val="bullet"/>
      <w:start w:val="1"/>
    </w:lvl>
  </w:abstractNum>
  <w:abstractNum w:abstractNumId="32">
    <w:nsid w:val="2A487CB0"/>
    <w:multiLevelType w:val="hybridMultilevel"/>
    <w:lvl w:ilvl="0">
      <w:lvlJc w:val="left"/>
      <w:lvlText w:val="3"/>
      <w:numFmt w:val="bullet"/>
      <w:start w:val="1"/>
    </w:lvl>
  </w:abstractNum>
  <w:abstractNum w:abstractNumId="33">
    <w:nsid w:val="1D4ED43B"/>
    <w:multiLevelType w:val="hybridMultilevel"/>
    <w:lvl w:ilvl="0">
      <w:lvlJc w:val="left"/>
      <w:lvlText w:val="4"/>
      <w:numFmt w:val="bullet"/>
      <w:start w:val="1"/>
    </w:lvl>
  </w:abstractNum>
  <w:abstractNum w:abstractNumId="34">
    <w:nsid w:val="725A06FB"/>
    <w:multiLevelType w:val="hybridMultilevel"/>
    <w:lvl w:ilvl="0">
      <w:lvlJc w:val="left"/>
      <w:lvlText w:val="1"/>
      <w:numFmt w:val="bullet"/>
      <w:start w:val="1"/>
    </w:lvl>
  </w:abstractNum>
  <w:abstractNum w:abstractNumId="35">
    <w:nsid w:val="2CD89A32"/>
    <w:multiLevelType w:val="hybridMultilevel"/>
    <w:lvl w:ilvl="0">
      <w:lvlJc w:val="left"/>
      <w:lvlText w:val="2"/>
      <w:numFmt w:val="bullet"/>
      <w:start w:val="1"/>
    </w:lvl>
  </w:abstractNum>
  <w:abstractNum w:abstractNumId="36">
    <w:nsid w:val="57E4CCAF"/>
    <w:multiLevelType w:val="hybridMultilevel"/>
    <w:lvl w:ilvl="0">
      <w:lvlJc w:val="left"/>
      <w:lvlText w:val="3"/>
      <w:numFmt w:val="bullet"/>
      <w:start w:val="1"/>
    </w:lvl>
  </w:abstractNum>
  <w:abstractNum w:abstractNumId="37">
    <w:nsid w:val="7A6D8D3C"/>
    <w:multiLevelType w:val="hybridMultilevel"/>
    <w:lvl w:ilvl="0">
      <w:lvlJc w:val="left"/>
      <w:lvlText w:val="1"/>
      <w:numFmt w:val="bullet"/>
      <w:start w:val="1"/>
    </w:lvl>
  </w:abstractNum>
  <w:abstractNum w:abstractNumId="38">
    <w:nsid w:val="4B588F54"/>
    <w:multiLevelType w:val="hybridMultilevel"/>
    <w:lvl w:ilvl="0">
      <w:lvlJc w:val="left"/>
      <w:lvlText w:val="2"/>
      <w:numFmt w:val="bullet"/>
      <w:start w:val="1"/>
    </w:lvl>
  </w:abstractNum>
  <w:abstractNum w:abstractNumId="39">
    <w:nsid w:val="542289EC"/>
    <w:multiLevelType w:val="hybridMultilevel"/>
    <w:lvl w:ilvl="0">
      <w:lvlJc w:val="left"/>
      <w:lvlText w:val="1"/>
      <w:numFmt w:val="bullet"/>
      <w:start w:val="1"/>
    </w:lvl>
  </w:abstractNum>
  <w:abstractNum w:abstractNumId="40">
    <w:nsid w:val="6DE91B18"/>
    <w:multiLevelType w:val="hybridMultilevel"/>
    <w:lvl w:ilvl="0">
      <w:lvlJc w:val="left"/>
      <w:lvlText w:val="2"/>
      <w:numFmt w:val="bullet"/>
      <w:start w:val="1"/>
    </w:lvl>
  </w:abstractNum>
  <w:abstractNum w:abstractNumId="41">
    <w:nsid w:val="38437FDB"/>
    <w:multiLevelType w:val="hybridMultilevel"/>
    <w:lvl w:ilvl="0">
      <w:lvlJc w:val="left"/>
      <w:lvlText w:val="3"/>
      <w:numFmt w:val="bullet"/>
      <w:start w:val="1"/>
    </w:lvl>
  </w:abstractNum>
  <w:abstractNum w:abstractNumId="42">
    <w:nsid w:val="7644A45C"/>
    <w:multiLevelType w:val="hybridMultilevel"/>
    <w:lvl w:ilvl="0">
      <w:lvlJc w:val="left"/>
      <w:lvlText w:val="1"/>
      <w:numFmt w:val="bullet"/>
      <w:start w:val="1"/>
    </w:lvl>
  </w:abstractNum>
  <w:abstractNum w:abstractNumId="43">
    <w:nsid w:val="32FFF902"/>
    <w:multiLevelType w:val="hybridMultilevel"/>
    <w:lvl w:ilvl="0">
      <w:lvlJc w:val="left"/>
      <w:lvlText w:val="2"/>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bullet"/>
      <w:start w:val="1"/>
    </w:lvl>
  </w:abstractNum>
  <w:abstractNum w:abstractNumId="46">
    <w:nsid w:val="749ABB43"/>
    <w:multiLevelType w:val="hybridMultilevel"/>
    <w:lvl w:ilvl="0">
      <w:lvlJc w:val="left"/>
      <w:lvlText w:val="2"/>
      <w:numFmt w:val="bullet"/>
      <w:start w:val="1"/>
    </w:lvl>
  </w:abstractNum>
  <w:abstractNum w:abstractNumId="47">
    <w:nsid w:val="3DC240FB"/>
    <w:multiLevelType w:val="hybridMultilevel"/>
    <w:lvl w:ilvl="0">
      <w:lvlJc w:val="left"/>
      <w:lvlText w:val="1"/>
      <w:numFmt w:val="bullet"/>
      <w:start w:val="1"/>
    </w:lvl>
  </w:abstractNum>
  <w:abstractNum w:abstractNumId="48">
    <w:nsid w:val="1BA026FA"/>
    <w:multiLevelType w:val="hybridMultilevel"/>
    <w:lvl w:ilvl="0">
      <w:lvlJc w:val="left"/>
      <w:lvlText w:val="2"/>
      <w:numFmt w:val="bullet"/>
      <w:start w:val="1"/>
    </w:lvl>
  </w:abstractNum>
  <w:abstractNum w:abstractNumId="49">
    <w:nsid w:val="79A1DEAA"/>
    <w:multiLevelType w:val="hybridMultilevel"/>
    <w:lvl w:ilvl="0">
      <w:lvlJc w:val="left"/>
      <w:lvlText w:val="%1"/>
      <w:numFmt w:val="decimal"/>
      <w:start w:val="32"/>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2019-12-28T04:57:04Z</dcterms:created>
  <dcterms:modified xsi:type="dcterms:W3CDTF">2019-12-28T04:57:04Z</dcterms:modified>
</cp:coreProperties>
</file>