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2"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(Mark One)</w:t>
      </w:r>
    </w:p>
    <w:p>
      <w:pPr>
        <w:sectPr>
          <w:pgSz w:w="11900" w:h="16838" w:orient="portrait"/>
          <w:cols w:equalWidth="0" w:num="1">
            <w:col w:w="11420"/>
          </w:cols>
          <w:pgMar w:left="240" w:top="233" w:right="239" w:bottom="1440" w:gutter="0" w:footer="0" w:header="0"/>
        </w:sectPr>
      </w:pPr>
    </w:p>
    <w:p>
      <w:pPr>
        <w:spacing w:after="0" w:line="10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3180"/>
        <w:spacing w:after="0"/>
        <w:rPr>
          <w:sz w:val="20"/>
          <w:szCs w:val="20"/>
          <w:color w:val="auto"/>
        </w:rPr>
      </w:pPr>
      <w:r>
        <w:rPr>
          <w:rFonts w:ascii="Arial" w:cs="Arial" w:eastAsia="Arial" w:hAnsi="Arial"/>
          <w:sz w:val="17"/>
          <w:szCs w:val="17"/>
          <w:b w:val="1"/>
          <w:bCs w:val="1"/>
          <w:color w:val="auto"/>
        </w:rPr>
        <w:t>ANNUAL REPORT PURSUANT TO SECTION 13 OR 15(d) OF</w:t>
      </w:r>
    </w:p>
    <w:p>
      <w:pPr>
        <w:spacing w:after="0" w:line="39"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45" w:lineRule="exact"/>
        <w:rPr>
          <w:sz w:val="24"/>
          <w:szCs w:val="24"/>
          <w:color w:val="auto"/>
        </w:rPr>
      </w:pPr>
    </w:p>
    <w:p>
      <w:pPr>
        <w:sectPr>
          <w:pgSz w:w="11900" w:h="16838" w:orient="portrait"/>
          <w:cols w:equalWidth="0" w:num="2">
            <w:col w:w="2500" w:space="720"/>
            <w:col w:w="820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ectPr>
          <w:pgSz w:w="11900" w:h="16838" w:orient="portrait"/>
          <w:cols w:equalWidth="0" w:num="1">
            <w:col w:w="11420"/>
          </w:cols>
          <w:pgMar w:left="240" w:top="233" w:right="239" w:bottom="1440" w:gutter="0" w:footer="0" w:header="0"/>
          <w:type w:val="continuous"/>
        </w:sectPr>
      </w:pPr>
    </w:p>
    <w:p>
      <w:pPr>
        <w:spacing w:after="0" w:line="110" w:lineRule="exact"/>
        <w:rPr>
          <w:sz w:val="24"/>
          <w:szCs w:val="24"/>
          <w:color w:val="auto"/>
        </w:rPr>
      </w:pPr>
    </w:p>
    <w:p>
      <w:pPr>
        <w:ind w:left="50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3000"/>
        <w:spacing w:after="0"/>
        <w:rPr>
          <w:sz w:val="20"/>
          <w:szCs w:val="20"/>
          <w:color w:val="auto"/>
        </w:rPr>
      </w:pPr>
      <w:r>
        <w:rPr>
          <w:rFonts w:ascii="Arial" w:cs="Arial" w:eastAsia="Arial" w:hAnsi="Arial"/>
          <w:sz w:val="17"/>
          <w:szCs w:val="17"/>
          <w:b w:val="1"/>
          <w:bCs w:val="1"/>
          <w:color w:val="auto"/>
        </w:rPr>
        <w:t>TRANSITION REPORT PURSUANT TO SECTION 13 OR 15(d) OF</w:t>
      </w:r>
    </w:p>
    <w:p>
      <w:pPr>
        <w:spacing w:after="0" w:line="39" w:lineRule="exact"/>
        <w:rPr>
          <w:sz w:val="24"/>
          <w:szCs w:val="24"/>
          <w:color w:val="auto"/>
        </w:rPr>
      </w:pPr>
    </w:p>
    <w:p>
      <w:pPr>
        <w:jc w:val="center"/>
        <w:ind w:right="29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49" w:lineRule="exact"/>
        <w:rPr>
          <w:sz w:val="24"/>
          <w:szCs w:val="24"/>
          <w:color w:val="auto"/>
        </w:rPr>
      </w:pPr>
    </w:p>
    <w:p>
      <w:pPr>
        <w:sectPr>
          <w:pgSz w:w="11900" w:h="16838" w:orient="portrait"/>
          <w:cols w:equalWidth="0" w:num="2">
            <w:col w:w="2320" w:space="720"/>
            <w:col w:w="8380"/>
          </w:cols>
          <w:pgMar w:left="240" w:top="233" w:right="239" w:bottom="1440" w:gutter="0" w:footer="0" w:header="0"/>
          <w:type w:val="continuous"/>
        </w:sectPr>
      </w:pPr>
    </w:p>
    <w:p>
      <w:pPr>
        <w:ind w:left="3800"/>
        <w:spacing w:after="0"/>
        <w:rPr>
          <w:sz w:val="20"/>
          <w:szCs w:val="20"/>
          <w:color w:val="auto"/>
        </w:rPr>
      </w:pPr>
      <w:r>
        <w:rPr>
          <w:rFonts w:ascii="Arial" w:cs="Arial" w:eastAsia="Arial" w:hAnsi="Arial"/>
          <w:sz w:val="15"/>
          <w:szCs w:val="15"/>
          <w:b w:val="1"/>
          <w:bCs w:val="1"/>
          <w:color w:val="auto"/>
        </w:rPr>
        <w:t>for the transition period from _________ to __________</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1-6887</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BANK OF HAWAII CORPORATION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86"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99-0148992</w:t>
      </w:r>
    </w:p>
    <w:p>
      <w:pPr>
        <w:spacing w:after="0" w:line="36"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ind w:left="21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6" w:lineRule="exact"/>
        <w:rPr>
          <w:sz w:val="24"/>
          <w:szCs w:val="24"/>
          <w:color w:val="auto"/>
        </w:rPr>
      </w:pPr>
    </w:p>
    <w:p>
      <w:pPr>
        <w:sectPr>
          <w:pgSz w:w="11900" w:h="16838" w:orient="portrait"/>
          <w:cols w:equalWidth="0" w:num="2">
            <w:col w:w="6860" w:space="720"/>
            <w:col w:w="3840"/>
          </w:cols>
          <w:pgMar w:left="240" w:top="233" w:right="239" w:bottom="1440" w:gutter="0" w:footer="0" w:header="0"/>
          <w:type w:val="continuous"/>
        </w:sectPr>
      </w:pPr>
    </w:p>
    <w:p>
      <w:pPr>
        <w:ind w:left="1640"/>
        <w:spacing w:after="0"/>
        <w:rPr>
          <w:sz w:val="20"/>
          <w:szCs w:val="20"/>
          <w:color w:val="auto"/>
        </w:rPr>
      </w:pPr>
      <w:r>
        <w:rPr>
          <w:rFonts w:ascii="Arial" w:cs="Arial" w:eastAsia="Arial" w:hAnsi="Arial"/>
          <w:sz w:val="13"/>
          <w:szCs w:val="13"/>
          <w:b w:val="1"/>
          <w:bCs w:val="1"/>
          <w:color w:val="auto"/>
        </w:rPr>
        <w:t>130 Merchant Street, Honolulu, Hawaii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96813</w:t>
      </w:r>
    </w:p>
    <w:p>
      <w:pPr>
        <w:spacing w:after="0" w:line="47" w:lineRule="exact"/>
        <w:rPr>
          <w:sz w:val="24"/>
          <w:szCs w:val="24"/>
          <w:color w:val="auto"/>
        </w:rPr>
      </w:pPr>
    </w:p>
    <w:p>
      <w:pPr>
        <w:sectPr>
          <w:pgSz w:w="11900" w:h="16838" w:orient="portrait"/>
          <w:cols w:equalWidth="0" w:num="2">
            <w:col w:w="7700" w:space="720"/>
            <w:col w:w="3000"/>
          </w:cols>
          <w:pgMar w:left="240" w:top="233" w:right="239" w:bottom="1440" w:gutter="0" w:footer="0" w:header="0"/>
          <w:type w:val="continuous"/>
        </w:sectPr>
      </w:pPr>
    </w:p>
    <w:p>
      <w:pPr>
        <w:ind w:left="17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 w:lineRule="exact"/>
        <w:rPr>
          <w:sz w:val="24"/>
          <w:szCs w:val="24"/>
          <w:color w:val="auto"/>
        </w:rPr>
      </w:pPr>
    </w:p>
    <w:p>
      <w:pPr>
        <w:sectPr>
          <w:pgSz w:w="11900" w:h="16838" w:orient="portrait"/>
          <w:cols w:equalWidth="0" w:num="2">
            <w:col w:w="7580" w:space="720"/>
            <w:col w:w="312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1-888-643-3888</w:t>
      </w:r>
    </w:p>
    <w:p>
      <w:pPr>
        <w:sectPr>
          <w:pgSz w:w="11900" w:h="16838" w:orient="portrait"/>
          <w:cols w:equalWidth="0" w:num="1">
            <w:col w:w="11420"/>
          </w:cols>
          <w:pgMar w:left="240" w:top="233"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jc w:val="center"/>
              <w:ind w:right="895"/>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4"/>
        </w:trPr>
        <w:tc>
          <w:tcPr>
            <w:tcW w:w="6800" w:type="dxa"/>
            <w:vAlign w:val="bottom"/>
            <w:gridSpan w:val="3"/>
          </w:tcPr>
          <w:p>
            <w:pPr>
              <w:jc w:val="center"/>
              <w:ind w:right="1080"/>
              <w:spacing w:after="0"/>
              <w:rPr>
                <w:sz w:val="20"/>
                <w:szCs w:val="20"/>
                <w:color w:val="auto"/>
              </w:rPr>
            </w:pPr>
            <w:r>
              <w:rPr>
                <w:rFonts w:ascii="Arial" w:cs="Arial" w:eastAsia="Arial" w:hAnsi="Arial"/>
                <w:sz w:val="11"/>
                <w:szCs w:val="11"/>
                <w:color w:val="auto"/>
                <w:w w:val="88"/>
              </w:rPr>
              <w:t>Common Stock, $.01 Par Value</w:t>
            </w:r>
          </w:p>
        </w:tc>
        <w:tc>
          <w:tcPr>
            <w:tcW w:w="4620" w:type="dxa"/>
            <w:vAlign w:val="bottom"/>
          </w:tcPr>
          <w:p>
            <w:pPr>
              <w:jc w:val="center"/>
              <w:ind w:right="915"/>
              <w:spacing w:after="0"/>
              <w:rPr>
                <w:sz w:val="20"/>
                <w:szCs w:val="20"/>
                <w:color w:val="auto"/>
              </w:rPr>
            </w:pPr>
            <w:r>
              <w:rPr>
                <w:rFonts w:ascii="Arial" w:cs="Arial" w:eastAsia="Arial" w:hAnsi="Arial"/>
                <w:sz w:val="11"/>
                <w:szCs w:val="11"/>
                <w:color w:val="auto"/>
                <w:w w:val="89"/>
              </w:rPr>
              <w:t>New York Stock Exchange</w:t>
            </w:r>
          </w:p>
        </w:tc>
      </w:tr>
      <w:tr>
        <w:trPr>
          <w:trHeight w:val="224"/>
        </w:trPr>
        <w:tc>
          <w:tcPr>
            <w:tcW w:w="11420" w:type="dxa"/>
            <w:vAlign w:val="bottom"/>
            <w:gridSpan w:val="4"/>
          </w:tcPr>
          <w:p>
            <w:pPr>
              <w:ind w:left="4040"/>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216"/>
        </w:trPr>
        <w:tc>
          <w:tcPr>
            <w:tcW w:w="6800" w:type="dxa"/>
            <w:vAlign w:val="bottom"/>
            <w:gridSpan w:val="3"/>
          </w:tcPr>
          <w:p>
            <w:pPr>
              <w:ind w:left="5560"/>
              <w:spacing w:after="0"/>
              <w:rPr>
                <w:sz w:val="20"/>
                <w:szCs w:val="20"/>
                <w:color w:val="auto"/>
              </w:rPr>
            </w:pPr>
            <w:r>
              <w:rPr>
                <w:rFonts w:ascii="Arial" w:cs="Arial" w:eastAsia="Arial" w:hAnsi="Arial"/>
                <w:sz w:val="14"/>
                <w:szCs w:val="14"/>
                <w:color w:val="auto"/>
              </w:rPr>
              <w:t>None</w:t>
            </w:r>
          </w:p>
        </w:tc>
        <w:tc>
          <w:tcPr>
            <w:tcW w:w="4620" w:type="dxa"/>
            <w:vAlign w:val="bottom"/>
          </w:tcPr>
          <w:p>
            <w:pPr>
              <w:spacing w:after="0"/>
              <w:rPr>
                <w:sz w:val="18"/>
                <w:szCs w:val="18"/>
                <w:color w:val="auto"/>
              </w:rPr>
            </w:pPr>
          </w:p>
        </w:tc>
      </w:tr>
      <w:tr>
        <w:trPr>
          <w:trHeight w:val="324"/>
        </w:trPr>
        <w:tc>
          <w:tcPr>
            <w:tcW w:w="6800" w:type="dxa"/>
            <w:vAlign w:val="bottom"/>
            <w:gridSpan w:val="3"/>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 Yes x</w:t>
            </w:r>
          </w:p>
        </w:tc>
        <w:tc>
          <w:tcPr>
            <w:tcW w:w="4620" w:type="dxa"/>
            <w:vAlign w:val="bottom"/>
          </w:tcPr>
          <w:p>
            <w:pPr>
              <w:ind w:left="20"/>
              <w:spacing w:after="0"/>
              <w:rPr>
                <w:sz w:val="20"/>
                <w:szCs w:val="20"/>
                <w:color w:val="auto"/>
              </w:rPr>
            </w:pPr>
            <w:r>
              <w:rPr>
                <w:rFonts w:ascii="Arial" w:cs="Arial" w:eastAsia="Arial" w:hAnsi="Arial"/>
                <w:sz w:val="14"/>
                <w:szCs w:val="14"/>
                <w:color w:val="auto"/>
              </w:rPr>
              <w:t>No o</w:t>
            </w:r>
          </w:p>
        </w:tc>
      </w:tr>
      <w:tr>
        <w:trPr>
          <w:trHeight w:val="297"/>
        </w:trPr>
        <w:tc>
          <w:tcPr>
            <w:tcW w:w="6800" w:type="dxa"/>
            <w:vAlign w:val="bottom"/>
            <w:gridSpan w:val="3"/>
          </w:tcPr>
          <w:p>
            <w:pPr>
              <w:spacing w:after="0"/>
              <w:rPr>
                <w:sz w:val="20"/>
                <w:szCs w:val="20"/>
                <w:color w:val="auto"/>
              </w:rPr>
            </w:pPr>
            <w:r>
              <w:rPr>
                <w:rFonts w:ascii="Arial" w:cs="Arial" w:eastAsia="Arial" w:hAnsi="Arial"/>
                <w:sz w:val="14"/>
                <w:szCs w:val="14"/>
                <w:color w:val="auto"/>
                <w:w w:val="87"/>
              </w:rPr>
              <w:t>Indicate by check mark if the registrant is not required to file reports pursuant to Section 13 or Section 15(d) of the Act. Yes o</w:t>
            </w:r>
          </w:p>
        </w:tc>
        <w:tc>
          <w:tcPr>
            <w:tcW w:w="4620" w:type="dxa"/>
            <w:vAlign w:val="bottom"/>
          </w:tcPr>
          <w:p>
            <w:pPr>
              <w:ind w:left="140"/>
              <w:spacing w:after="0"/>
              <w:rPr>
                <w:sz w:val="20"/>
                <w:szCs w:val="20"/>
                <w:color w:val="auto"/>
              </w:rPr>
            </w:pPr>
            <w:r>
              <w:rPr>
                <w:rFonts w:ascii="Arial" w:cs="Arial" w:eastAsia="Arial" w:hAnsi="Arial"/>
                <w:sz w:val="14"/>
                <w:szCs w:val="14"/>
                <w:color w:val="auto"/>
              </w:rPr>
              <w:t>No x</w:t>
            </w:r>
          </w:p>
        </w:tc>
      </w:tr>
    </w:tbl>
    <w:p>
      <w:pPr>
        <w:spacing w:after="0" w:line="125"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240"/>
        <w:spacing w:after="0" w:line="341"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67" w:lineRule="exact"/>
        <w:rPr>
          <w:sz w:val="24"/>
          <w:szCs w:val="24"/>
          <w:color w:val="auto"/>
        </w:rPr>
      </w:pPr>
    </w:p>
    <w:p>
      <w:pPr>
        <w:ind w:right="30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40" w:lineRule="exact"/>
        <w:rPr>
          <w:sz w:val="24"/>
          <w:szCs w:val="24"/>
          <w:color w:val="auto"/>
        </w:rPr>
      </w:pPr>
    </w:p>
    <w:p>
      <w:pPr>
        <w:ind w:right="14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2"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 x</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jc w:val="center"/>
        <w:ind w:right="4560"/>
        <w:spacing w:after="0"/>
        <w:rPr>
          <w:sz w:val="20"/>
          <w:szCs w:val="20"/>
          <w:color w:val="auto"/>
        </w:rPr>
      </w:pPr>
      <w:r>
        <w:rPr>
          <w:rFonts w:ascii="Arial" w:cs="Arial" w:eastAsia="Arial" w:hAnsi="Arial"/>
          <w:sz w:val="12"/>
          <w:szCs w:val="12"/>
          <w:color w:val="auto"/>
        </w:rPr>
        <w:t>Accelerated filer o</w:t>
      </w:r>
    </w:p>
    <w:p>
      <w:pPr>
        <w:spacing w:after="0" w:line="132" w:lineRule="exact"/>
        <w:rPr>
          <w:sz w:val="24"/>
          <w:szCs w:val="24"/>
          <w:color w:val="auto"/>
        </w:rPr>
      </w:pPr>
    </w:p>
    <w:p>
      <w:pPr>
        <w:sectPr>
          <w:pgSz w:w="11900" w:h="16838" w:orient="portrait"/>
          <w:cols w:equalWidth="0" w:num="2">
            <w:col w:w="5140" w:space="720"/>
            <w:col w:w="556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 o</w:t>
      </w:r>
    </w:p>
    <w:p>
      <w:pPr>
        <w:spacing w:after="0" w:line="200" w:lineRule="exact"/>
        <w:rPr>
          <w:sz w:val="24"/>
          <w:szCs w:val="24"/>
          <w:color w:val="auto"/>
        </w:rPr>
      </w:pPr>
    </w:p>
    <w:p>
      <w:pPr>
        <w:sectPr>
          <w:pgSz w:w="11900" w:h="16838" w:orient="portrait"/>
          <w:cols w:equalWidth="0" w:num="2">
            <w:col w:w="5140" w:space="720"/>
            <w:col w:w="5560"/>
          </w:cols>
          <w:pgMar w:left="240" w:top="233" w:right="239" w:bottom="1440" w:gutter="0" w:footer="0" w:header="0"/>
          <w:type w:val="continuous"/>
        </w:sectPr>
      </w:pPr>
    </w:p>
    <w:p>
      <w:pPr>
        <w:ind w:left="5860"/>
        <w:spacing w:after="0"/>
        <w:rPr>
          <w:sz w:val="20"/>
          <w:szCs w:val="20"/>
          <w:color w:val="auto"/>
        </w:rPr>
      </w:pPr>
      <w:r>
        <w:rPr>
          <w:rFonts w:ascii="Arial" w:cs="Arial" w:eastAsia="Arial" w:hAnsi="Arial"/>
          <w:sz w:val="14"/>
          <w:szCs w:val="14"/>
          <w:color w:val="auto"/>
        </w:rPr>
        <w:t>Emerging growth company o</w:t>
      </w:r>
    </w:p>
    <w:p>
      <w:pPr>
        <w:spacing w:after="0" w:line="79" w:lineRule="exact"/>
        <w:rPr>
          <w:sz w:val="24"/>
          <w:szCs w:val="24"/>
          <w:color w:val="auto"/>
        </w:rPr>
      </w:pPr>
    </w:p>
    <w:p>
      <w:pPr>
        <w:ind w:right="80"/>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136" w:lineRule="exact"/>
        <w:rPr>
          <w:sz w:val="24"/>
          <w:szCs w:val="24"/>
          <w:color w:val="auto"/>
        </w:rPr>
      </w:pPr>
    </w:p>
    <w:p>
      <w:pPr>
        <w:ind w:left="5360"/>
        <w:spacing w:after="0"/>
        <w:tabs>
          <w:tab w:leader="none" w:pos="578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No x</w:t>
      </w:r>
    </w:p>
    <w:p>
      <w:pPr>
        <w:spacing w:after="0" w:line="136" w:lineRule="exact"/>
        <w:rPr>
          <w:sz w:val="24"/>
          <w:szCs w:val="24"/>
          <w:color w:val="auto"/>
        </w:rPr>
      </w:pPr>
    </w:p>
    <w:p>
      <w:pPr>
        <w:jc w:val="both"/>
        <w:ind w:right="120"/>
        <w:spacing w:after="0" w:line="250" w:lineRule="auto"/>
        <w:rPr>
          <w:sz w:val="20"/>
          <w:szCs w:val="20"/>
          <w:color w:val="auto"/>
        </w:rPr>
      </w:pPr>
      <w:r>
        <w:rPr>
          <w:rFonts w:ascii="Arial" w:cs="Arial" w:eastAsia="Arial" w:hAnsi="Arial"/>
          <w:sz w:val="14"/>
          <w:szCs w:val="14"/>
          <w:color w:val="auto"/>
        </w:rPr>
        <w:t>The aggregate market value of the registrant’s outstanding voting common stock held by non-affiliates on June 30, 2018 (the last business day of the registrant’s most recently completed second fiscal quarter), determined using the per share closing price on that date on the New York Stock Exchange of $83.42, was approximately $3,422,918,887. There was no non-voting common equity of the registrant outstanding on that date.</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15, 2019, there were 41,212,202 shares of common stock outstanding.</w:t>
      </w:r>
    </w:p>
    <w:p>
      <w:pPr>
        <w:spacing w:after="0" w:line="134"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relating to the 2019 Annual Meeting of Shareholders to be held on April 26, 2019, are incorporated by reference into Part III of this Report.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Form 10-K Annual Report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Item Number</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gridSpan w:val="5"/>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138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w:t>
            </w:r>
          </w:p>
        </w:tc>
        <w:tc>
          <w:tcPr>
            <w:tcW w:w="1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320" w:type="dxa"/>
            <w:vAlign w:val="bottom"/>
            <w:gridSpan w:val="18"/>
          </w:tcPr>
          <w:p>
            <w:pPr>
              <w:spacing w:after="0"/>
              <w:rPr>
                <w:sz w:val="24"/>
                <w:szCs w:val="24"/>
                <w:color w:val="auto"/>
              </w:rPr>
            </w:pPr>
          </w:p>
        </w:tc>
        <w:tc>
          <w:tcPr>
            <w:tcW w:w="44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1A.</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1B.</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2.</w:t>
            </w:r>
          </w:p>
        </w:tc>
        <w:tc>
          <w:tcPr>
            <w:tcW w:w="14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5920" w:type="dxa"/>
            <w:vAlign w:val="bottom"/>
            <w:gridSpan w:val="11"/>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3.</w:t>
            </w:r>
          </w:p>
        </w:tc>
        <w:tc>
          <w:tcPr>
            <w:tcW w:w="140" w:type="dxa"/>
            <w:vAlign w:val="bottom"/>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Legal Proceedings</w:t>
              </w:r>
            </w:hyperlink>
          </w:p>
        </w:tc>
        <w:tc>
          <w:tcPr>
            <w:tcW w:w="6620" w:type="dxa"/>
            <w:vAlign w:val="bottom"/>
            <w:gridSpan w:val="15"/>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4.</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1380" w:type="dxa"/>
            <w:vAlign w:val="bottom"/>
          </w:tcPr>
          <w:p>
            <w:pPr>
              <w:ind w:left="40"/>
              <w:spacing w:after="0"/>
              <w:rPr>
                <w:sz w:val="20"/>
                <w:szCs w:val="20"/>
                <w:color w:val="auto"/>
              </w:rPr>
            </w:pPr>
            <w:r>
              <w:rPr>
                <w:rFonts w:ascii="Arial" w:cs="Arial" w:eastAsia="Arial" w:hAnsi="Arial"/>
                <w:sz w:val="18"/>
                <w:szCs w:val="18"/>
                <w:color w:val="auto"/>
              </w:rPr>
              <w:t>Item 5.</w:t>
            </w:r>
          </w:p>
        </w:tc>
        <w:tc>
          <w:tcPr>
            <w:tcW w:w="140" w:type="dxa"/>
            <w:vAlign w:val="bottom"/>
          </w:tcPr>
          <w:p>
            <w:pPr>
              <w:spacing w:after="0"/>
              <w:rPr>
                <w:sz w:val="24"/>
                <w:szCs w:val="24"/>
                <w:color w:val="auto"/>
              </w:rPr>
            </w:pPr>
          </w:p>
        </w:tc>
        <w:tc>
          <w:tcPr>
            <w:tcW w:w="73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Market for Registrant's Common Equity, Related Stockholder Matters and Issuer Purchases of Equity</w:t>
              </w:r>
            </w:hyperlink>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Securities</w:t>
              </w:r>
            </w:hyperlink>
          </w:p>
        </w:tc>
        <w:tc>
          <w:tcPr>
            <w:tcW w:w="560" w:type="dxa"/>
            <w:vAlign w:val="bottom"/>
            <w:gridSpan w:val="5"/>
          </w:tcPr>
          <w:p>
            <w:pPr>
              <w:jc w:val="right"/>
              <w:ind w:righ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6.</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7.</w:t>
            </w:r>
          </w:p>
        </w:tc>
        <w:tc>
          <w:tcPr>
            <w:tcW w:w="140" w:type="dxa"/>
            <w:vAlign w:val="bottom"/>
          </w:tcPr>
          <w:p>
            <w:pPr>
              <w:spacing w:after="0"/>
              <w:rPr>
                <w:sz w:val="21"/>
                <w:szCs w:val="21"/>
                <w:color w:val="auto"/>
              </w:rPr>
            </w:pPr>
          </w:p>
        </w:tc>
        <w:tc>
          <w:tcPr>
            <w:tcW w:w="6440" w:type="dxa"/>
            <w:vAlign w:val="bottom"/>
            <w:gridSpan w:val="1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7A.</w:t>
            </w:r>
          </w:p>
        </w:tc>
        <w:tc>
          <w:tcPr>
            <w:tcW w:w="140" w:type="dxa"/>
            <w:vAlign w:val="bottom"/>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152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8.</w:t>
            </w:r>
          </w:p>
        </w:tc>
        <w:tc>
          <w:tcPr>
            <w:tcW w:w="140" w:type="dxa"/>
            <w:vAlign w:val="bottom"/>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3600" w:type="dxa"/>
            <w:vAlign w:val="bottom"/>
            <w:gridSpan w:val="6"/>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36">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9A.</w:t>
            </w:r>
          </w:p>
        </w:tc>
        <w:tc>
          <w:tcPr>
            <w:tcW w:w="140" w:type="dxa"/>
            <w:vAlign w:val="bottom"/>
          </w:tcPr>
          <w:p>
            <w:pPr>
              <w:spacing w:after="0"/>
              <w:rPr>
                <w:sz w:val="21"/>
                <w:szCs w:val="21"/>
                <w:color w:val="auto"/>
              </w:rPr>
            </w:pPr>
          </w:p>
        </w:tc>
        <w:tc>
          <w:tcPr>
            <w:tcW w:w="6500" w:type="dxa"/>
            <w:vAlign w:val="bottom"/>
            <w:tcBorders>
              <w:top w:val="single" w:sz="8" w:color="0000EE"/>
            </w:tcBorders>
            <w:gridSpan w:val="16"/>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Controls and Procedures</w:t>
              </w:r>
            </w:hyperlink>
          </w:p>
        </w:tc>
        <w:tc>
          <w:tcPr>
            <w:tcW w:w="146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130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9B.</w:t>
            </w:r>
          </w:p>
        </w:tc>
        <w:tc>
          <w:tcPr>
            <w:tcW w:w="140" w:type="dxa"/>
            <w:vAlign w:val="bottom"/>
          </w:tcPr>
          <w:p>
            <w:pPr>
              <w:spacing w:after="0"/>
              <w:rPr>
                <w:sz w:val="21"/>
                <w:szCs w:val="21"/>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Other Information</w:t>
              </w:r>
            </w:hyperlink>
          </w:p>
        </w:tc>
        <w:tc>
          <w:tcPr>
            <w:tcW w:w="6200" w:type="dxa"/>
            <w:vAlign w:val="bottom"/>
            <w:gridSpan w:val="1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III</w:t>
            </w:r>
          </w:p>
        </w:tc>
        <w:tc>
          <w:tcPr>
            <w:tcW w:w="1380" w:type="dxa"/>
            <w:vAlign w:val="bottom"/>
          </w:tcPr>
          <w:p>
            <w:pPr>
              <w:ind w:left="40"/>
              <w:spacing w:after="0"/>
              <w:rPr>
                <w:sz w:val="20"/>
                <w:szCs w:val="20"/>
                <w:color w:val="auto"/>
              </w:rPr>
            </w:pPr>
            <w:r>
              <w:rPr>
                <w:rFonts w:ascii="Arial" w:cs="Arial" w:eastAsia="Arial" w:hAnsi="Arial"/>
                <w:sz w:val="18"/>
                <w:szCs w:val="18"/>
                <w:color w:val="auto"/>
              </w:rPr>
              <w:t>Item 10.</w:t>
            </w:r>
          </w:p>
        </w:tc>
        <w:tc>
          <w:tcPr>
            <w:tcW w:w="14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38">
              <w:r>
                <w:rPr>
                  <w:rFonts w:ascii="Arial" w:cs="Arial" w:eastAsia="Arial" w:hAnsi="Arial"/>
                  <w:sz w:val="18"/>
                  <w:szCs w:val="18"/>
                  <w:color w:val="0000EE"/>
                  <w:w w:val="90"/>
                </w:rPr>
                <w:t>Directors, Executive Officers and Corporate Governance</w:t>
              </w:r>
            </w:hyperlink>
          </w:p>
        </w:tc>
        <w:tc>
          <w:tcPr>
            <w:tcW w:w="38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11.</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Executive Compensation</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12.</w:t>
            </w:r>
          </w:p>
        </w:tc>
        <w:tc>
          <w:tcPr>
            <w:tcW w:w="140" w:type="dxa"/>
            <w:vAlign w:val="bottom"/>
          </w:tcPr>
          <w:p>
            <w:pPr>
              <w:spacing w:after="0"/>
              <w:rPr>
                <w:sz w:val="21"/>
                <w:szCs w:val="21"/>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38">
              <w:r>
                <w:rPr>
                  <w:rFonts w:ascii="Arial" w:cs="Arial" w:eastAsia="Arial" w:hAnsi="Arial"/>
                  <w:sz w:val="18"/>
                  <w:szCs w:val="18"/>
                  <w:color w:val="0000EE"/>
                  <w:w w:val="90"/>
                </w:rPr>
                <w:t>Security Ownership of Certain Beneficial Owners and Management and Related Stockholder Matters</w:t>
              </w:r>
            </w:hyperlink>
          </w:p>
        </w:tc>
        <w:tc>
          <w:tcPr>
            <w:tcW w:w="6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13.</w:t>
            </w:r>
          </w:p>
        </w:tc>
        <w:tc>
          <w:tcPr>
            <w:tcW w:w="140" w:type="dxa"/>
            <w:vAlign w:val="bottom"/>
          </w:tcPr>
          <w:p>
            <w:pPr>
              <w:spacing w:after="0"/>
              <w:rPr>
                <w:sz w:val="21"/>
                <w:szCs w:val="21"/>
                <w:color w:val="auto"/>
              </w:rPr>
            </w:pPr>
          </w:p>
        </w:tc>
        <w:tc>
          <w:tcPr>
            <w:tcW w:w="7960" w:type="dxa"/>
            <w:vAlign w:val="bottom"/>
            <w:gridSpan w:val="19"/>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Transactions, and Director Independence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Item 14.</w:t>
            </w:r>
          </w:p>
        </w:tc>
        <w:tc>
          <w:tcPr>
            <w:tcW w:w="140" w:type="dxa"/>
            <w:vAlign w:val="bottom"/>
          </w:tcPr>
          <w:p>
            <w:pPr>
              <w:spacing w:after="0"/>
              <w:rPr>
                <w:sz w:val="21"/>
                <w:szCs w:val="21"/>
                <w:color w:val="auto"/>
              </w:rPr>
            </w:pP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Principal Accounting Fees and Services</w:t>
              </w:r>
            </w:hyperlink>
          </w:p>
        </w:tc>
        <w:tc>
          <w:tcPr>
            <w:tcW w:w="252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Part IV</w:t>
            </w:r>
          </w:p>
        </w:tc>
        <w:tc>
          <w:tcPr>
            <w:tcW w:w="1380" w:type="dxa"/>
            <w:vAlign w:val="bottom"/>
          </w:tcPr>
          <w:p>
            <w:pPr>
              <w:ind w:left="40"/>
              <w:spacing w:after="0"/>
              <w:rPr>
                <w:sz w:val="20"/>
                <w:szCs w:val="20"/>
                <w:color w:val="auto"/>
              </w:rPr>
            </w:pPr>
            <w:r>
              <w:rPr>
                <w:rFonts w:ascii="Arial" w:cs="Arial" w:eastAsia="Arial" w:hAnsi="Arial"/>
                <w:sz w:val="18"/>
                <w:szCs w:val="18"/>
                <w:color w:val="auto"/>
              </w:rPr>
              <w:t>Item 15.</w:t>
            </w:r>
          </w:p>
        </w:tc>
        <w:tc>
          <w:tcPr>
            <w:tcW w:w="140" w:type="dxa"/>
            <w:vAlign w:val="bottom"/>
          </w:tcPr>
          <w:p>
            <w:pPr>
              <w:spacing w:after="0"/>
              <w:rPr>
                <w:sz w:val="24"/>
                <w:szCs w:val="24"/>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Exhibits, Financial Statement Schedules</w:t>
              </w:r>
            </w:hyperlink>
          </w:p>
        </w:tc>
        <w:tc>
          <w:tcPr>
            <w:tcW w:w="506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Signatures</w:t>
            </w: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43">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885"/>
        </w:trPr>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0" w:type="dxa"/>
            <w:vAlign w:val="bottom"/>
            <w:gridSpan w:val="10"/>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Bank of Hawaii Corporation (the “Parent”) is a Delaware corporation and a bank holding company (“BHC”) headquartered in Honolulu, Hawaii. The Parent’s principal operating subsidiary, Bank of Hawaii (the “Bank”), was organized on December 17, 1897 and is chartered by the State of Hawaii. The Bank’s deposits are insured by the Federal Deposit Insurance Corporation (the “FDIC”) and the Bank is a member of the Federal Reserve System.</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Bank, directly and through its subsidiaries, provides a broad range of financial products and services primarily to customers in Hawaii, Guam, and other Pacific Islands. References to “we,” “our,” “us,” or “the Company” refer to the Parent and its subsidiaries and are consolidated for financial reporting purposes. The Bank’s subsidiaries include Bank of Hawaii Leasing, Inc., Bankoh Investment Services, Inc., and Pacific Century Life Insurance Corporation. The Bank’s subsidiaries are engaged in equipment leasing, securities brokerage, investment advisory services, and providing credit insurance.</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organized into four business segments for management reporting purposes: Retail Banking, Commercial Banking, Investment Services and Private Banking, and Treasury and Other. See Management’s Discussion and Analysis of Financial Condition and Results of Operations (“MD&amp;A”) and Note 13 to the Consolidated Financial Statements for more information.</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can be found free of charge on our website at www.boh.com as soon as reasonably practicable after such material is electronically filed with or furnished to the U.S. Securities and Exchange Commission (the “SEC”). The SEC maintains a website, www.sec.gov, which contains reports, proxy and information statements, and other information regarding issuers that file electronically with the SEC. Our Corporate Governance Guidelines; charters of the Audit and Risk Committee, the Human Resources and Compensation Committee, and the Nominating and Corporate Governance Committee; and our Code of Business Conduct and Ethics are available on our website at www.boh.com. Printed copies of this information may be obtained, without charge, by written request to the Corporate Secretary at 130 Merchant Street, Honolulu, Hawaii, 96813.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operates in a highly competitive environment subject to intense competition from traditional financial service providers including banks,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and receive favorable tax treatment. As a result, some of our competitors may have lower cost structures. Also, some of our competitors, through delivery channels such as the Internet, may be based outside of the markets that we serve. By emphasizing our extensive branch network, exceptional service levels, and knowledge of local trends and conditions, the Company has developed an effective competitive advantage in its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operations are subject to extensive regulation by federal and state governmental authorities. The regulations are primarily intended to protect depositors, customers, and the integrity of the U.S. banking system and capital markets. The following information describes some of the more significant laws and regulations applicable to us. The descriptions below are qualified in their entirety by reference to the applicable laws and regulations. Proposals to change the laws and regulations governing the banking industry are frequently raised in Congress, in state legislatures, and with the various bank regulatory agencies. Changes in applicable laws or regulations, or a change in the way such laws or regulations are interpreted by regulatory agencies or courts, may have a material impact on our business, operations, and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Parent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Parent is registered as a BHC under the Bank Holding Company Act of 1956, as amended (the “BHC Act”), and is subject to the supervision of and to examination by the Board of Governors of the Federal Reserve (the “FRB”). The Parent is also registered as a financial institution holding company under the Hawaii Code of Financial Institutions (the “Code”) and is subject to the registration, reporting, and examination requirements of the Code.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BHC Act prohibits, with certain exceptions, a BHC from acquiring direct or indirect beneficial ownership or control of either a company that is not a bank, or more than 5% of the voting shares of any bank, without the FRB’s prior approval. A BHC is generally prohibited from engaging in any activity other than banking, managing or controlling banks or other subsidiaries authorized under the BHC Act, or an activity that the FRB has determined to be so closely related to those activities as to be a proper incident to one of them.</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Under FRB policy, a BHC is expected to serve as a source of financial and management strength to its subsidiary bank. A BHC is also expected to commit resources to support its subsidiary bank in circumstances where it might not do so absent such a policy. Under this policy, a BHC is expected to maintain reliable funding and contingency plans to stand ready to provide adequate capital funds to its subsidiary bank during periods of financial adversity and to maintain the financial flexibility and capital-raising capacity to obtain additional resources for assisting its subsidiary bank.</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Riegle-Neal Interstate Banking and Branching Efficiency Act of 1994 (the “Riegle-Neal Act”) banks and BHCs from any state are permitted to acquire banks located in any other state, subject to certain conditions, including certain nationwide and state-imposed deposit concentration limits. Banks also have the ability, subject to certain restrictions, to acquire branches outside their home states by acquisition or merger. The establishment of new interstate branches is also possible in those states with laws that expressly permit de novo branching. Because the Code permits de novo branching by out-of-state banks, those banks may establish new branches in Hawaii.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of Hawaii</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Bank is subject to extensive federal, state, territorial and foreign regulations that significantly affect its business and activities. The Bank is subject to supervision and examination by the FRB of San Francisco, the Consumer Financial Protection Bureau (the “CFPB”), and the State of Hawaii Department of Commerce and Consumer Affairs’ (“DCCA”) Division of Financial Institutions. These regulatory bodies have broad authority to implement standards and to initiate proceedings designed to prohibit depository institutions from engaging in activities that may represent “unsafe” or “unsound” banking practices or constitute violations of applicable laws, rules, regulations, administrative orders, or written agreements with regulators. The standards relate generally to operations and management, asset quality, interest rate exposure, capital, executive compensation, and consumer protection. The regulatory bodies are authorized to take action against institutions that fail to meet such standards, including the assessment of civil monetary penalties and restitution, the issuance of cease-and-desist orders, and other actions, up to and including revocation of a bank’s charter for the most severe infractions, or putting such a bank into receivership if it is not financially viable.</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Bankoh Investment Services, Inc., the broker-dealer and investment adviser subsidiary of the Bank, is incorporated in Hawaii and is regulated by the SEC, the Financial Industry Regulatory Authority, and the DCCA’s Insurance Division. Pacific Century Life Insurance Corporation is incorporated in Arizona and is primarily regulated by the State of Arizona Department of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Dodd Frank Act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Dodd-Frank Wall Street Reform and Consumer Protection Act of 2010 (the “Dodd-Frank Act”) and its regulations implemented sweeping changes to the financial regulatory landscape aimed at strengthening the sound operation of the financial services sector by mandating higher capital and liquidity requirements, establishing new standards for mortgage lenders, increasing regulation of executive and incentive-based compensation and numerous other provisions. Provisions also limit or place significant burdens and costs on activities traditionally conducted by banking organizations, such as arranging and participating in swap and derivative transactions, proprietary trading and investing in private equity and other funds.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Several provisions of the Dodd-Frank Act were significantly changed by enactment of the Economic Growth, Regulatory Relief, and Consumer Protection Act in May 2018, notably by eliminating the requirement for institutions like the Company to perform and publicly disclose periodic stress tests. The Company continues to monitor and implement rules, regulations, and interpretations of the Dodd-Frank Act as they are adopted and modified, and to evaluate their application to our current and future operations.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2013, the FRB, the Office of the Comptroller of the Currency (the “OCC”) and the FDIC adopted new capital rules (the “Rules”). These Rules were designed to help ensure that banks maintain strong capital positions by increasing both the quantity and quality of capital held by U.S. banking organizations. The Rules reflect, in part, certain standards initially adopted by the Basel Committee on Banking Supervision in December 2010 (which are commonly called “Basel III” standards) as well as requirements by the Dodd-Frank Act.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Federal Deposit Insurance Corporation Improvement Act of 1991 (“FDICIA”) identifies five capital categories for insured depository institutions: “well capitalized,” “adequately capitalized,” “undercapitalized,” “significantly undercapitalized,” and “critically undercapitalized.”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federal banking agencies are authorized by FDICIA to impose progressively more restrictive constraints on operations, management and capital distributions, depending on the capital category in which an institution is classified. These “prompt corrective actions” can include: requiring an insured depository institution to adopt a capital restoration plan guaranteed by the institution’s parent company; placing limits on asset growth and restrictions on activities, including restrictions on transactions with affiliates; restricting the interest rates the institution may pay on deposits; prohibiting the payment of principal or interest on subordinated debt; prohibiting the holding company from making capital distribution without prior regulatory approval; and ultimately appointing a receiver for the institution.</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 “well capitalized” institution must have a Common Equity Tier 1 Capital Ratio of at least 6.5%, a Tier 1 Capital Ratio of at least 8%, a Total Capital Ratio of at least 10%, a Tier 1 Leverage Ratio of at least 5%, and not be subject to a capital directive order. As of December 31, 2018, the Bank was classified as “well capitalized.” The classification of a depository institution under one of the categories set out above is primarily for the purpose of applying the prompt corrective action, and is not intended to be, nor should it be interpreted as, a representation of the overall financial condition or the prospects of that financial institution. See Note 11 to the Consolidated Financial Statements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Parent is a legal entity separate and distinct from the Bank. The Parent’s principal source of funds to pay dividends on its common stock and to service its debt is dividends from the Bank. Various federal and state laws and regulations limit the amount of dividends the Bank may pay to the Parent without regulatory approval. The FRB is authorized to determine the circumstances when the payment of dividends would be an unsafe or unsound practice and to prohibit such payments. The right of the Parent, its shareholders, and creditors to participate in any distribution of the assets or earnings of its subsidiaries is also subject to the prior claims of creditors of those subsidiaries. For information regarding the limitations on the Bank’s ability to pay dividends to the Parent, see Note 11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Affiliates and Insiders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Transactions between the Bank and any affiliate are governed by Sections 23A and 23B of the Federal Reserve Act. An affiliate of the Bank is any company or entity which controls, is controlled by or is under common control with the Bank which is not a subsidiary of the Bank. Under federal law, the Bank is subject to restrictions that limit the transfer of funds or other items of value to the Parent, and any other non-bank affiliates in “covered transactions.” In general, covered transactions include making loans to an affiliate, the purchase of or investment in the securities issued by an affiliate, the purchase of assets from an affiliate, the acceptance of securities issued by an affiliate as collateral security for a loan or extensions of credit to any person or company, the issuance of a guarantee, acceptance or letter of credit on behalf of an affiliate, or certain transactions with an affiliate that involve the borrowing or lending of securities and certain derivative transactions with an affiliate.</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an exemption applies, covered transactions by the Bank with a single affiliate are limited to 10% of the Bank’s capital and surplus, and with respect to all covered transactions with affiliates in the aggregate, they are limited to 20% of the Bank’s capital and surplus. Section 23B of the Federal Reserve Act and Federal Reserve Regulation W also require that certain transactions between the Bank and its affiliates be on terms substantially the same, or at least as favorable to the Bank, as those prevailing at the time for comparable transactions with or involving other non-affiliated persons.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Federal Reserve Act and Federal Reserve Regulation O place restrictions and certain reporting requirements on any extension of credit made by a member bank to (a) an executive officer, director, or principal shareholder of the bank, or any company of which the bank is a subsidiary, and of any other subsidiary of that company, and (b) a company controlled by such a person, or to a political or campaign committee that benefits or is controlled by such a person (collectively referred to as “insiders”). These restrictions include limits on loans to one borrower and conditions that must be met before such loans can be made. There is also an aggregate limitation on all loans to insiders and their related interests. Certain restrictions also extend to extensions of credit made to an executive officer, directors, or principal shareholder of a bank (or to a related interest of such person) by a correspondent bank.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Volcker Rule</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December 2013, the Federal Reserve, the OCC, the FDIC, the SEC, and the Commodities Futures Trading Commission issued final rules to implement certain provisions of the Dodd-Frank Act commonly known as the “Volker Rule.” The Volcker Rule generally prohibits U.S. banks from engaging in proprietary trading and restricts those banking entities from sponsoring, investing in, or having certain relationships with hedge funds and private equity funds. The prohibitions under the Volcker Rule are subject to a number of statutory exemptions, restrictions, and definitions. The Volcker Rule has not had a material impact on the Company’s Consolidated Financial Statements, but we continue to evaluate its application to our current and future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FDIC Insurance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FDIC provides insurance coverage for certain deposits through the Deposit Insurance Fund, which the FDIC maintains by assessing depository institutions an insurance premium. The Company is assessed deposit insurance premiums by the FDIC using a base rate, to which is added temporary surcharges that are used to establish a FDIC reserve fund and pay certain bond obligations. The Bank’s FDIC insurance assessment was $7.7 million in 2018, $8.7 million in 2017, and $8.6 million in 2016.</w:t>
      </w:r>
    </w:p>
    <w:p>
      <w:pPr>
        <w:spacing w:after="0" w:line="18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 depository institution’s deposit insurance may be terminated by the FDIC upon a finding that the institution’s financial condition is unsafe or unsound, or that the institution has engaged in unsafe or unsound practices, or has violated any applicable rule, regulation, or order or condition enacted or imposed by a regulatory agency. Termination of the Bank’s deposit insurance would end its ability to function as a commercial bank in Hawaii.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Depositor Preference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event of the “liquidation or other resolution” of an insured depository institution, claims of insured and uninsured depositors for deposits payable in the United States (including the claims of the FDIC as subrogee of insured depositors), plus certain claims for administrative expenses of the FDIC as a receiver will have priority in payment ahead of unsecured creditors including, in the case of the Bank, its Parent.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Safety and Soundness Regulations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federal banking agencies also have adopted guidelines prescribing safety and soundness standards. These guidelines establish general standards for internal controls, information systems, internal audit systems, loan documentation, credit underwriting, interest rate risk exposure, asset growth, asset quality, earnings standards, compensation, fees and benefits. In general, the guidelines require appropriate systems and practices to identify and manage the risks and exposures specified in the guidelines before capital becomes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Reinvestment and Consumer Protection Laws</w:t>
      </w:r>
    </w:p>
    <w:p>
      <w:pPr>
        <w:spacing w:after="0" w:line="225" w:lineRule="exact"/>
        <w:rPr>
          <w:sz w:val="20"/>
          <w:szCs w:val="20"/>
          <w:color w:val="auto"/>
        </w:rPr>
      </w:pPr>
    </w:p>
    <w:p>
      <w:pPr>
        <w:ind w:left="660" w:hanging="328"/>
        <w:spacing w:after="0" w:line="297" w:lineRule="auto"/>
        <w:tabs>
          <w:tab w:leader="none" w:pos="6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Community Reinvestment. </w:t>
      </w:r>
      <w:r>
        <w:rPr>
          <w:rFonts w:ascii="Arial" w:cs="Arial" w:eastAsia="Arial" w:hAnsi="Arial"/>
          <w:sz w:val="16"/>
          <w:szCs w:val="16"/>
          <w:color w:val="auto"/>
        </w:rPr>
        <w:t>The Community Reinvestment Act of 1977 (“CRA”) requires the appropriate federal banking agency,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its examination of a bank, to assess the bank’s record in meeting the credit needs of the communities served by the bank, including low and moderate income neighborhoods. Under the CRA, institutions are assigned a rating of “outstanding,” “satisfactory,” “needs to improve,” or “substantial non-compliance.” The regulatory assessment of the bank’s record is made available to the public. Further, these assessments are considered by regulators when evaluating mergers, acquisitions and applicants to open or relocate a branch or facility. The Bank’s current CRA rating is “outstanding”.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160" w:hanging="328"/>
        <w:spacing w:after="0" w:line="286" w:lineRule="auto"/>
        <w:tabs>
          <w:tab w:leader="none" w:pos="6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Consumer Protection Laws. </w:t>
      </w:r>
      <w:r>
        <w:rPr>
          <w:rFonts w:ascii="Arial" w:cs="Arial" w:eastAsia="Arial" w:hAnsi="Arial"/>
          <w:sz w:val="17"/>
          <w:szCs w:val="17"/>
          <w:color w:val="auto"/>
        </w:rPr>
        <w:t>In addition to the CRA, the Bank is subject to a number of federal laws designed to protect borrowers and promote</w:t>
      </w:r>
      <w:r>
        <w:rPr>
          <w:rFonts w:ascii="Arial" w:cs="Arial" w:eastAsia="Arial" w:hAnsi="Arial"/>
          <w:sz w:val="17"/>
          <w:szCs w:val="17"/>
          <w:i w:val="1"/>
          <w:iCs w:val="1"/>
          <w:color w:val="auto"/>
        </w:rPr>
        <w:t xml:space="preserve"> </w:t>
      </w:r>
      <w:r>
        <w:rPr>
          <w:rFonts w:ascii="Arial" w:cs="Arial" w:eastAsia="Arial" w:hAnsi="Arial"/>
          <w:sz w:val="17"/>
          <w:szCs w:val="17"/>
          <w:color w:val="auto"/>
        </w:rPr>
        <w:t>lending to various sectors of the economy and population in connection with its lending activities. These include the Equal Credit Opportunity Act, the Truth-in-Lending Act, the Home Mortgage Disclosure Act and the Real Estate Settlement Procedures Act.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banking regulators, pursuant to the Gramm-Leach-Bliley Act, have enacted regulations limiting the ability of banks and other financial institutions to disclose nonpublic consumer information to non-affiliated third parties. The regulations require disclosure of privacy policies and allow consumers to prevent certain personal information from being shared with non-affiliated third parties. The Fair and Accurate Credit Transaction Act (“FACT Act”) requires financial institutions to develop and implement an identity theft prevention program to detect, prevent and mitigate identity theft “red flags” to reduce the risk that customer information will be misused to conduct fraudulent financial transactions.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number of other federal and state consumer protection laws extensively govern the Bank’s relationship with 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Telephone Consumer Protection Act, the Service Members Civil Relief Act and these laws’ respective state-law counterparts, as well as state and territorial usury laws and laws regarding unfair and deceptive acts and practices. These and other laws subject the Bank to substantial regulatory oversight and,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restrict the Bank’s ability to raise interest rates.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CFPB was created under the Dodd-Frank Act as an agency responsible for promulgating and enforcing regulations designed to protect consumers including adding prohibitions on unfair, deceptive and abusive acts and practices. The CFPB, along with other prudential regulators and the Department of Justice, have also expanded the focus of their regulatory examinations and investigations to include “fair and responsible banking.” Fair and responsible banking strives to provide equal credit opportunities to all applicants of a community, to prohibit discrimination by lenders on the basis of certain borrower characteristics, and to ensure that a bank’s practices are not deceptive, unfair, or take unreasonable advantage of consumers or businesses. The enhanced focus encompasses the entire loan life cycle, including post-closing activities such as collections and servicing, and pre-application activities such as marketing and loan solicitation and origination.</w:t>
      </w:r>
    </w:p>
    <w:p>
      <w:pPr>
        <w:spacing w:after="0" w:line="18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Violations of applicable consumer protection laws and regulations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and civil money penalties. Failure to comply with consumer protection requirements may also result in our failure to obtain required bank regulatory approvals for transactions the Bank may wish to pursue, or prohibit us from engaging in such transactions even if approval is not required.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Secrecy Act / Anti-Money Laundering Laws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Bank is subject to the Bank Secrecy Act and other anti-money laundering laws and regulations, including the USA PATRIOT Act of 2001. The USA PATRIOT Act created new laws, regulations, and penalties, imposed significant new compliance and due diligence obligations, and expanded the application of those laws outside the U.S. Additionally, like all U.S. companies and individuals, the Company is prohibited from transacting business with certain individuals and entities named on the Office of Foreign Asset Control’s list of Specially Designed Nationals and Blocked Persons.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Bank has been required to implement policies, procedures, and controls to detect, prevent, and report potential money laundering and terrorist financing and to verify the identity of its customers. The Company maintains procedures and systems to identify its customers, and to monitor and block transactions related to prohibited persons and entities. Violations of these requirements can result in substantial civil and criminal sanctions. In addition, the federal financial institution regulatory agencies consider the effectiveness of a financial institution’s anti-money laundering activities when reviewing bank mergers and BHC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employed 2,122 full-time equivalent employees.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executive officers of the Parent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S. Ho, 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since July 2010 and President since April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Dean Y. Shigemura, 55</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Vice Chair since December 2017, and Chief Financial Officer since March 2017; Senior Executive Vice President and Controller from August 2014 to February 2017; Senior Executive Vice President and Treasurer from May 2008 to July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Sharon M. Crofts, 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Client Solutions Group since April 2016; Vice Chair, Operations and Technology from October 2012 to March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Wayne Y. Hamano, 64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since December 2008 and Chief Commercial Officer since September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Kent T. Lucien, 65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and Chief Strategy Officer since March 2017; Vice Chair and Chief Financial Officer from April 2008 to February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C. Polk, 52</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Vice Chair, Consumer Lending and Deposit Product Group since September 2018 and Consumer and Residential Lending since April 2018; Vice Chair, Mortgage Banking from July 2017 to March 2018; Vice Chair, The Private Bank from June 2016 to June 2017; Senior Executive Vice President, Consumer Banking from January 2016 to May 2016; Senior Executive Vice President, Mortgage Banking from August 2014 to January 2016; Senior Executive Vice President, Commercial Banking from September 2010 to July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Mark A. Rossi, 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Chief Administrative Officer, General Counsel, and Corporate Secretary since February 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Mary E. Sellers, 62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 and Chief Risk Officer since July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Brent T. Flygar, 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Controller since March 2017.</w:t>
      </w: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125" w:right="4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a number of risks and uncertainties that could negatively affect our business, financial condition or results of operations. We are subject to various risks resulting from changing economic, environmental, political, industry, business, financial and regulatory conditions. The risks and uncertainties described below are some of the important inherent risk factors that could affect our business and operations, although they are not the only risks that may have a material adverse effect on the Company.</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Changes in business and economic conditions, in particular those of Hawaii, Guam and other Pacific Islands, could lead to lower revenue, lower asset quality, and lower earnings.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Unlike larger national or other regional banks that are more geographically diversified, 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increases in energy costs, the availability of affordable air transportation, climate change, natural disasters and adverse weather, public health issues including Asian air pollution, and Federal, State of Hawaii and local government budget issues may impact consumer and corporate spending. As a result, such events may contribute to a significant deterioration in general economic conditions in our markets which could adversely impact us and our customers’ operations.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economic conditions in Hawaii remained healthy in 2018, led by a strong tourism industry, relatively low unemployment, rising real estate prices, and an active construction industry. However, deterioration of economic conditions, either locally, nationally, or internationally could adversely affect the quality of our assets, credit losses, and the demand for our products and services, which could lead to lower revenues and lower earnings.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reduction in defense spending by the federal government could adversely impact the economy in Hawaii and the Pacific Islands.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military has a major presence in Hawaii and the Pacific Islands. As a result, the U.S. military is an important aspect of the economies in which we operate. The funding of the U.S. military is subject to the overall U.S. Government budget and appropriation decisions and processes which are driven by numerous factors, including geo-political events, macroeconomic conditions, and the ability and willingness of the U.S. Government to enact legislation. U.S. Government appropriations have been and likely will continue to be affected by larger U.S. Government budgetary issues and related legislation. Cuts in defense and other security spending could have an adverse impact on the economies in which we operate, which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adversely impact our results of operations and capital.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earnings are highly dependent on the spread between the interest earned on loans, leases, and investment securities and the interest paid on deposits and borrowings. We primarily rely on customer deposits as a sizable source of relatively stable and low-cost funds. Changes in market interest rates impact the rates earned on loans, leases, and investment securities and the rates paid on deposits and borrowings. In addition, changes to market interest rates could impact the level of loans, leases, investment securities, deposits, and borrowings, and the credit profile of our current borrowers. Interest rates are affected by many factors beyond our control, and fluctuate in response to general economic conditions, currency fluctuations, and the monetary and fiscal policies of various governmental and regulatory authorities.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Changes in monetary policy, including changes in interest rates, will influence the origination of loans and leases, the purchase of investments, the generation of deposits, and the rates received on loans and investment securities and paid on deposits. Any substantial prolonged change in market interest rates may negatively impact our ability to attract deposits, originate loans and leases, and achieve satisfactory interest rate spreads. If we are unable to continue to fund loans and other assets through customer deposits or access capital markets on favorable terms or if we otherwise fail to manage our liquidity effectively, our liquidity, net interest margin, financial results and conditions may be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and Monetary Policies</w:t>
      </w:r>
    </w:p>
    <w:p>
      <w:pPr>
        <w:spacing w:after="0" w:line="3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business and earnings are significantly affected by the fiscal and monetary policies of the Federal Government and its agencies. The Bank is particularly affected by the policies of the Federal Reserve, which regulates the supply of money and credit in the United States. Among the instruments of monetary policy available to the Federal Reserve are (a) conducting open market operations in U.S. government securities, (b) changing the discount rates of borrowings of depository institutions, (c) imposing or changing reserve requirements against depository institutions’ deposits, and (d) imposing or changing reserve requirements against certain borrowings by banks and their affiliates. These methods are used in varying degrees and combinations to directly affect the availability of bank loans and deposits, as well as the interest rates charged on loans and paid on deposits. Changes to these policies of the Federal Reserve may have a material effect on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could increase if economic conditions stagnate or deteriorate.</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Although economic conditions are currently healthy nationally and in Hawaii, increased credit losses for us could result if economic conditions stagnate or deteriorate. The risk of nonpayment on loans and leases is inherent in all lending activities. We maintain a reserve for credit losses to absorb estimated probable credit losses inherent in the loan, lease, and commitment portfolios as of the balance sheet date. Management makes various assumptions and judgments about the loan and lease portfolio in determining the level of the reserve for credit losses. Many of these assumptions are based on current economic conditions. Should economic conditions stagnate or deteriorate nationally or in Hawaii, we may experience higher credit losses in future periods.</w:t>
      </w:r>
    </w:p>
    <w:p>
      <w:pPr>
        <w:spacing w:after="0" w:line="15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Inability of our borrowers to make timely repayments on their loans, or decreases in real estate collateral values may result in increased delinquencies, foreclosures, and customer bankruptcies, any of which could have a material adverse effect on our financial condition or results of operations.</w:t>
      </w:r>
    </w:p>
    <w:p>
      <w:pPr>
        <w:spacing w:after="0" w:line="124"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i w:val="1"/>
          <w:iCs w:val="1"/>
          <w:color w:val="auto"/>
        </w:rPr>
        <w:t>Legislation and regulatory initiatives affecting the financial services industry, including new interpretations, restrictions and requirements, could detrimentally affect the Company’s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Dodd-Frank Act, enacted in July 2010, triggered sweeping reforms to the financial services industry. Although almost all of the rules and regulations implementing the Dodd-Frank Act have already gone into effect, some of the rules have yet to be implemented and others are being interpreted by federal regulators and the courts. The Dodd-Frank Act, other consumer protection laws, and their implementing rules and regulations are likely to continue to result in increased compliance costs, along with possible restrictions on our products, services and manner of operations, any of which may have a material adverse effect on our operating results and financial condition.</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CFPB has exercised its broad rule-making, supervisory, and examination authority of consumer financial products, as well as expanded data collection and enforcement powers, over depository institutions with more than $10.0 billion in assets. Regulation of overall safety and soundness, the CRA, federal housing and flood insurance, as they pertain to consumer financial products and services, remains with the FRB. As a result of greater regulatory scrutiny of consumer financial products as a whole, the Company has become subject to more and expanded regulatory examinations, which also could result in increased costs as well as harm to our reputation in the event of a finding that we have not complied with the increased regulatory requirements.</w:t>
      </w:r>
    </w:p>
    <w:p>
      <w:pPr>
        <w:spacing w:after="0" w:line="15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New laws, regulations, and changes, and the uncertainty surrounding whether such laws, regulations and changes will be implemented, interpreted, repealed or reinstated, in the current regulatory and political climate, may continue to increase our costs of regulatory compliance. They may significantly affect the markets in which we do business, the markets for and value of our investments, and our ongoing operations, costs, and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capital, leverage, liquidity requirements for financial institutions could materially affect future requirements of the Company.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Basel III, financial institutions are required to have more capital and a higher quality of capital. Under the final rules issued by the banking regulators, minimum requirements increased for both the quantity and quality of capital held by the Company.</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Compliance with Basel III may result in increased capital, liquidity, and disclosure requirements. See the “Regulatory Initiatives Affecting the Banking Industry” section in MD&amp;A for more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protection initiatives and court decisions related to the foreclosure process could affect our remedies as a creditor.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Proposed consumer protection initiatives related to the foreclosure process, including voluntary and/or mandatory programs intended to permit or require lenders to consider loan modifications or other alternatives to foreclosure, could increase our credit losses or increase our expense in pursuing our remedies as a creditor.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Hawaii’s appellate courts have made rulings that increase the complexity and risk of nonjudicial, or out-of-court, foreclosures. At the same time, a chronic backlog of cases in the Hawaii courts has slowed the judicial foreclosure process, which may significantly delay the Bank’s ability to take over, preserve and sell the mortgaged property. The manner in which these issues are ultimately resolved could impact our foreclosure procedures and costs, which in turn could affect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may adversely affect our business.</w:t>
      </w:r>
    </w:p>
    <w:p>
      <w:pPr>
        <w:spacing w:after="0" w:line="225"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Our future depends on our ability to compete effectively. We compete for deposits, loans, leases, and other financial services with a variety of competitors, including banks, thrifts,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and may benefit from tax exemptions or lower tax rates. As a result, some of these competitors may have lower cost structures.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expect competitive conditions to intensify as consolidation in the financial services industry continues. The financial services industry is also likely to become more competitive as further technological advances enable more companies, including non-depository institutions, to provide financial services. Also, some of our competitors, through delivery channels such as the Internet, may be based outside of the markets that we serve.</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Both federal and local laws provide mechanisms for out-of-state banks and their holding companies to acquire or open branches in our service territories. Failure to effectively address this competitive risk by competing, innovating and making effective use of new and existing channels to deliver our products and services could adversely affect our financial condition or results of operations.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A failure in or breach of our operational systems, information systems, or infrastructure, or those of our third party vendors and other service providers, may result in financial losses, loss of customers, or damage to our reputation.</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rely heavily on communications and information systems to conduct our business. In addition, we rely on third parties to provide key components of our infrastructure, including loan, deposit and general ledger processing, internet connections, and network access. These types of information and related systems are critical to the operation of our business and essential to our ability to perform day-to-day operations, and, in some cases, are critical to the operations of certain of our customers. These third parties with which we do business or that facilitate our business activities, including exchanges, clearing firms, financial intermediaries or vendors that provide services or security solutions for our operations, could also be sources of operational and information security risk to us, including breakdowns or failures of their own systems or capacity constraints. Although we have safeguards and business continuity plans in place, our business operations may be adversely affected by significant and widespread disruption to our physical infrastructure or operating systems that support our business and our customers, resulting in financial losses, loss of customers, or damage to our reputation.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i w:val="1"/>
          <w:iCs w:val="1"/>
          <w:color w:val="auto"/>
        </w:rPr>
        <w:t>An interruption or breach in security of our information systems or those related to merchants and third party vendors, including as a result of cyber attacks, could disrupt our business, result in the disclosure or misuse of confidential or proprietary information, damage our reputation, or result in financial losses.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requires the collection and retention of large volumes of customer data, including payment card numbers and other personally identifiable information in various information systems that we maintain and in those maintained by third parties with whom we contract to provide data services. We also maintain important internal company data such as personally identifiable information about our employees and information relating to our operations. The integrity and protection of that customer and company data is important to us. As customer, public, legislative and regulatory expectations and requirements regarding operational and information security have increased, our operations systems and infrastructure must continue to be safeguarded and monitored for potential failures, disruptions and breakdowns.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us. These cybersecurity threats and attacks may include, but are not limited to, attempts to access information, including customer and company information, malicious code, computer viruses and denial of service attacks that could result in unauthorized access, misuse, loss or destruction of data (including confidential customer information), account takeovers, unavailability of service or other events. These types of threats may result from human error, fraud or malice on the part of external or internal parties, intelligence-gathering by foreign governments, or from accidental technological failure internally or by our vendors. Further, to access our products and services our customers may use computers and mobile devices that are beyond our security control systems. The risk of a security breach or disruption, particularly through cyber-attack or cyber intrusion, including by computer hackers, has increased as the number, intensity and sophistication of attempted attacks and intrusions around the world have increased.</w:t>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customers and employees have been, and will continue to be, targeted by parties using fraudulent E-mails and other communications in attempts to misappropriate passwords, payment card numbers, bank account information or other personal information or to introduce viruses or other malware through “trojan horse” programs to our customers’ computers. These communications may appear to be legitimate messages sent by the Bank or other businesses, but direct recipients to fake websites operated by the sender of the E-mail or request that the recipient send a password or other confidential information via E-mail or download a program. Despite our efforts to mitigate these threats through product improvements, use of encryption and authentication technology to secure online transmission of confidential consumer information, and customer and employee education, such attempted frauds against us or our merchants and our third party service providers remain a serious issue. The pervasiveness of cyber security incidents in general and the risks of cyber-crime are complex and continue to evolve. In light of several recent high-profile data breaches involving other companies’ losses of customer personal and financial information, we believe this risk could cause customer and/or Bank losses, damage to our brand, and increase our costs through the ongoing cost of technology investments to improve security, as well as the potential financial ad reputational impact of a cyber security incident involving the Company.</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make significant efforts to maintain the security and integrity of our information systems and have implemented various measures to manage the risk of a security breach or disruption, there can be no assurance that our security efforts and measures will be effective or that attempted security breaches or disruptions would not be successful or damaging. Even the most well-protected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and in some cases are designed not to be detected and, in fact, may not be detected. Accordingly, we may be unable to anticipate these techniques or to implement adequate security barriers or other preventative measures, and thus it is virtually impossible for us to entirely mitigate this risk. A security breach or other significant disruption could: 1) disrupt the proper functioning of our networks and systems and therefore our operations and/or those of certain of our customers; 2) result in the unauthorized access to, and destruction, loss, theft, misappropriation or release of confidential, sensitive or otherwise valuable information of ours or our customers, including account numbers and other financial information; 3) result in a violation of applicable privacy, data breach and other laws, subjecting the Bank to additional regulatory scrutiny and exposing the Bank to civil litigation, governmental fines and possible financial liability; 4) require significant management attention and resources to remedy the damages that result; or 5) harm our reputation or cause a decrease in the number of customers that choose to do business with us or reduce the level of business that our customers do with us. The occurrence of any such failures, disruptions or security breaches could have a negative impact on our results of operations, financial condition, and cash flows as well as damage our brand and reputation.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 opinion could damage our reputation and adversely impact our earnings and liquidity.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Reputational risk, or the risk to our business, earnings, liquidity, and capital from negative public opinion, could result from our actual or alleged conduct in a variety of areas, including legal and regulatory compliance, lending practices, corporate governance, litigation, ethical issues, or inadequate protection of customer information. We expend significant resources to comply with regulatory requirements. Failure to comply could result in reputational harm or significant legal or remedial costs. Damage to our reputation could adversely affect our ability to retain and attract new customers, and adversely impact our earnings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litigation, and our expenses related to this litigation may adversely affect our results.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are, from time-to-time, involved in various legal proceedings arising from our normal business activities. These claims and legal actions, including supervisory actions by our regulators, could involve large monetary claims and significant defense costs. The outcome of these cases is uncertain. Substantial legal liability or significant regulatory action against us could have material financial effects or cause significant reputational harm to us, which in turn could seriously harm our business prospects. We may be exposed to substantial uninsured liabilities, which could materially affect our results of operations and financial condition. Based on information currently available, we believe that the eventual outcome of known actions against us will not be materially in excess of such amounts accrued by us. However, in the event of unexpected future developments, it is possible that the ultimate resolution of those matters may be material to our financial results for any particular period. See the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section of Note 20 to the Consolidated Financial Statements for more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income tax laws and interpretations, or in accounting standards, could materially affect our financial condition or results of operations.</w:t>
      </w:r>
    </w:p>
    <w:p>
      <w:pPr>
        <w:spacing w:after="0" w:line="23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Further changes in income tax laws could be enacted, or interpretations of existing income tax laws could change, causing an adverse effect on our financial condition or results of operations. Similarly, our accounting policies and methods are fundamental to how we report our financial condition and results of operations. Some of these policies require use of estimates and assumptions that may affect the value of our assets, liabilities, and financial results. Periodically, new accounting standards are issued or existing standards are revised, changing the methods for preparing our financial statements. These changes are not within our control and may significantly impact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depends on attracting and retaining key employees and skilled personnel to operate our business effectively.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is dependent on our ability to recruit qualified and skilled personnel to operate our business effectively. Competition for these qualified and skilled people is intense. There are a limited number of qualified personnel in the markets we serve, so our success depends in part on the continued services of many of our current management and other key employees. Failure to retain our key employees and maintain adequate staffing of qualified personnel could adversely impact our operations and our ability to compete.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soundness of other financial institutions may adversely impact our financial condition or results of operations.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institutions are interrelated as a result of trading, clearing, lending, counterparty, or other relationships. As a result, defaults by, or even rumors or questions about, one or more financial services institutions or the financial services industry in general have led to market-wide liquidity problems and could lead to losses or defaults by us or by other institutions. We have exposure to many different industries and counterparties, and we routinely execute transactions with brokers and dealers, commercial banks, investment banks, mutual funds, and other institutional clients. Many of these transactions expose us to credit risk in the event of default of our counterparty or client. In addition, our credit risk may be exacerbated when the collateral held by us cannot be realized upon or is liquidated at prices not sufficient to recover the full amount of the loan or derivative exposure due us. Such losses could materially affect our financial condition or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the capital markets could materially affect the level of assets under management and the demand for our other fee-based services.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Changes in the capital markets could affect the volume of income from and demand for our fee-based services. Our investment management revenues depend in large part on the level of assets under management. Market volatility that leads customers to liquidate investments, move investments to other institutions or asset classes, as well as lower asset values can reduce our level of assets under management and thereby decrease our investment management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mortgage banking income may experience significant volatility.</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mortgage banking income is highly influenced by the level and direction of mortgage interest rates, real estate activity, and refinancing activity. Interest rates can affect the amount of mortgage banking activity and impact fee income and the fair value of our derivative financial instruments and mortgage servicing rights. Mortgage banking income may also be impacted by changes in our strategy to manage our residential mortgage portfolio. For example, we may occasionally decide to add more conforming saleable loans to our portfolio (as opposed to selling the loans in the secondary market) which would reduce our gains on sales of residential mortgage loans. These variables could adversely affect mortgage banking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mortgage loan servicing business may be impacted if we do not meet our obligations, or if servicing standards change.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act as servicer for mortgage loans sold into the secondary market, primarily to government sponsored entities (GSEs) such as Fannie Mae. As a seller and servicer for those loans, we make warranties about their origination and are required to perform servicing according to complex contractual and handbook requirements. We maintain systems and procedures intended to ensure that we comply with these requirements. We may be penalized and, in limited instances required to repurchase certain mortgages, due to alleged failures to adhere to these requirements. Should GSEs change the requirements in their servicing handbooks, we may sustain higher compliance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requirement to record certain assets and liabilities at fair value may adversely affect our financial results.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report certain assets, including available-for-sale investment securities, at fair value. Generally, for assets that are reported at fair value we use quoted market prices or valuation models that utilize market data inputs to estimate fair value. Because we record these assets at their estimated fair value, we may incur losses even if the asset in question presents minimal credit risk. The level of interest rates can impact the estimated fair value of investment securities. Disruptions in the capital markets may require us to recognize other-than-temporary impairments in future periods with respect to investment securities in our portfolio. The amount and timing of any impairment recognized will depend on the severity and duration of the decline in fair value of our investment securities and our estimation of the anticipated recovery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Parent’s liquidity is dependent on dividends from the Bank.</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Parent is a separate and distinct legal entity from the Bank. The Parent receives substantially all of its cash in the form of dividends from the Bank. These dividends are the principal source of funds to pay, for example, dividends on the Parent’s common stock or to repurchase common stock under the Parent’s share repurchase program. Various federal and state laws and regulations limit the amount of dividends that the Bank may pay to the Parent. If the amount of dividends paid by the Bank is further limited, the Parent’s ability to meet its obligations, pay dividends to shareholders, or repurchase stock, may be further limited as well.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can be no assurance that the Parent will continue to declare cash dividends or repurchase stock.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2018, the Parent repurchased 1,079,397 shares of common stock at a total cost of $88.3 million under its share repurchase program. The Parent also paid cash dividends of $98.5 million during 2018. In January 2019, the Parent’s Board of Directors declared a quarterly cash dividend of $0.62 per share on the Parent’s outstanding shares. In addition, from January 1, 2019 through February 15, 2019, the Parent repurchased an additional 298,500 shares of common stock at an average cost of $75.46 per share and a total cost of $22.5 million.</w:t>
      </w:r>
    </w:p>
    <w:p>
      <w:pPr>
        <w:spacing w:after="0" w:line="1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dividend payments and/or stock repurchases may change from time-to-time, and we cannot provide assurance that we will continue to declare dividends and/or repurchase stock in any particular amounts or at all. Dividends and/or stock repurchases are subject to capital availability and periodic determinations by our Board of Directors. We continue to evaluate the potential impact that regulatory proposals may have on our liquidity and capital management strategies, including Basel III and those required under the Dodd-Frank Act. The actual amount and timing of future dividends and share repurchases, if any, will depend on market and economic conditions, applicable SEC rules, federal and state regulatory restrictions, and various other factors. In addition, the amount we spend and the number of shares we are able to repurchase under our stock repurchase program may further be affected by a number of other factors, including the stock price and blackout periods in which we are restricted from repurchasing shares. A reduction in or elimination of our dividend payments and/or stock repurchases could have a negative effect on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could negatively affect real estate property values and bank operations.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Real estate and real estate property values play an important role for the Bank in several ways. The Bank owns or leases many real estate properties in connection with its operations, primarily located in Hawaii with its unique weather and geology. Our business operations could suffer to the extent the Bank cannot utilize its branch network due to damage from weather or other natural disasters. Real estate is also utilized as collateral for many of our loans. A natural disaster in Hawaii or the Pacific Islands could cause property values in the affected areas to fall, which could require the Bank to record an impairment on its financial statements. A natural disaster could also impact borrowers’ ability to pay their financial obligations, which would increase our exposure to loan defaults.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principal offices are located in the Financial Plaza of the Pacific in Honolulu, Hawaii. We own and lease other branch offices and operating facilities located throughout Hawaii and the Pacific Islands. Additional information with respect to premises and equipment is presented in Notes 6 and 20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from time to time subject to lawsuits, investigations and claims arising out of the conduct of our business. Management believes that the ultimate resolution of these matters is not likely to materially affect our financial position and results of operations. For additional information, see Note 20 to the Consolidated Financial Statements, under the discussion related to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125" w:right="6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Shareholders,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the historical market prices of the Parent’s common stock, book value, and dividends declared on that stock are shown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Book Values, and Common Stock Dividends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102870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Market Price Range</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Dividends</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Year/Period</w:t>
            </w:r>
          </w:p>
        </w:tc>
        <w:tc>
          <w:tcPr>
            <w:tcW w:w="36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High</w:t>
            </w:r>
          </w:p>
        </w:tc>
        <w:tc>
          <w:tcPr>
            <w:tcW w:w="7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Low</w:t>
            </w:r>
          </w:p>
        </w:tc>
        <w:tc>
          <w:tcPr>
            <w:tcW w:w="4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Close</w:t>
            </w:r>
          </w:p>
        </w:tc>
        <w:tc>
          <w:tcPr>
            <w:tcW w:w="310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Book Value</w:t>
            </w: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Declared</w:t>
            </w:r>
          </w:p>
        </w:tc>
        <w:tc>
          <w:tcPr>
            <w:tcW w:w="0" w:type="dxa"/>
            <w:vAlign w:val="bottom"/>
          </w:tcPr>
          <w:p>
            <w:pPr>
              <w:spacing w:after="0"/>
              <w:rPr>
                <w:sz w:val="1"/>
                <w:szCs w:val="1"/>
                <w:color w:val="auto"/>
              </w:rPr>
            </w:pPr>
          </w:p>
        </w:tc>
      </w:tr>
      <w:tr>
        <w:trPr>
          <w:trHeight w:val="33"/>
        </w:trPr>
        <w:tc>
          <w:tcPr>
            <w:tcW w:w="2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89.09</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63.64</w:t>
            </w: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67.32</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30.56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74"/>
        </w:trPr>
        <w:tc>
          <w:tcPr>
            <w:tcW w:w="28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89.09</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78.40</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83.10</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88.92</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80.20</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83.42</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86.53</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78.30</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78.91</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82.80</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63.64</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67.32</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90.80</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74.72</w:t>
            </w:r>
          </w:p>
        </w:tc>
        <w:tc>
          <w:tcPr>
            <w:tcW w:w="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85.70</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29.05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74"/>
        </w:trPr>
        <w:tc>
          <w:tcPr>
            <w:tcW w:w="28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90.80</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77.03</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82.36</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84.99</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75.92</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82.97</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86.19</w:t>
            </w:r>
          </w:p>
        </w:tc>
        <w:tc>
          <w:tcPr>
            <w:tcW w:w="720" w:type="dxa"/>
            <w:vAlign w:val="bottom"/>
          </w:tcPr>
          <w:p>
            <w:pPr>
              <w:spacing w:after="0"/>
              <w:rPr>
                <w:sz w:val="24"/>
                <w:szCs w:val="24"/>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74.72</w:t>
            </w:r>
          </w:p>
        </w:tc>
        <w:tc>
          <w:tcPr>
            <w:tcW w:w="4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83.36</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88.38</w:t>
            </w:r>
          </w:p>
        </w:tc>
        <w:tc>
          <w:tcPr>
            <w:tcW w:w="7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77.71</w:t>
            </w: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85.70</w:t>
            </w:r>
          </w:p>
        </w:tc>
        <w:tc>
          <w:tcPr>
            <w:tcW w:w="1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28"/>
        </w:trPr>
        <w:tc>
          <w:tcPr>
            <w:tcW w:w="2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common stock of the Parent is traded on the New York Stock Exchange (NYSE Symbol: BOH) and quoted daily in leading financial publications. As of February 15, 2019, there were 5,773 common shareholders of record.</w:t>
      </w:r>
    </w:p>
    <w:p>
      <w:pPr>
        <w:spacing w:after="0" w:line="170"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Parent’s Board of Directors considers on a quarterly basis the feasibility of paying a cash dividend to its shareholders and the level and feasibility of repurchasing shares of the Parent’s common stock. Under the Parent’s historical practice, dividends declared are paid within the quarter. See “Dividend Restrictions” under “Supervision and Regulation” in Item 1 of this report and Note 11 to the Consolidated Financial Statements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 Number of</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Shares Purchased</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as Part of Publicly</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280" w:type="dxa"/>
            <w:vAlign w:val="bottom"/>
          </w:tcPr>
          <w:p>
            <w:pPr>
              <w:spacing w:after="0"/>
              <w:rPr>
                <w:sz w:val="17"/>
                <w:szCs w:val="17"/>
                <w:color w:val="auto"/>
              </w:rPr>
            </w:pPr>
          </w:p>
        </w:tc>
        <w:tc>
          <w:tcPr>
            <w:tcW w:w="23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Number of</w:t>
            </w:r>
          </w:p>
        </w:tc>
        <w:tc>
          <w:tcPr>
            <w:tcW w:w="340" w:type="dxa"/>
            <w:vAlign w:val="bottom"/>
          </w:tcPr>
          <w:p>
            <w:pPr>
              <w:spacing w:after="0"/>
              <w:rPr>
                <w:sz w:val="17"/>
                <w:szCs w:val="17"/>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w w:val="93"/>
              </w:rPr>
              <w:t>Average Price</w:t>
            </w:r>
          </w:p>
        </w:tc>
        <w:tc>
          <w:tcPr>
            <w:tcW w:w="2460" w:type="dxa"/>
            <w:vAlign w:val="bottom"/>
          </w:tcPr>
          <w:p>
            <w:pPr>
              <w:jc w:val="right"/>
              <w:ind w:right="459"/>
              <w:spacing w:after="0"/>
              <w:rPr>
                <w:sz w:val="20"/>
                <w:szCs w:val="20"/>
                <w:color w:val="auto"/>
              </w:rPr>
            </w:pPr>
            <w:r>
              <w:rPr>
                <w:rFonts w:ascii="Arial" w:cs="Arial" w:eastAsia="Arial" w:hAnsi="Arial"/>
                <w:sz w:val="16"/>
                <w:szCs w:val="16"/>
                <w:b w:val="1"/>
                <w:bCs w:val="1"/>
                <w:color w:val="auto"/>
              </w:rPr>
              <w:t>Announced Plans or</w:t>
            </w:r>
          </w:p>
        </w:tc>
        <w:tc>
          <w:tcPr>
            <w:tcW w:w="24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Purchased Under the</w:t>
            </w:r>
          </w:p>
        </w:tc>
      </w:tr>
      <w:tr>
        <w:trPr>
          <w:trHeight w:val="243"/>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2"/>
              </w:rPr>
              <w:t>Paid Per Share</w:t>
            </w:r>
          </w:p>
        </w:tc>
        <w:tc>
          <w:tcPr>
            <w:tcW w:w="24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Programs</w:t>
            </w:r>
          </w:p>
        </w:tc>
        <w:tc>
          <w:tcPr>
            <w:tcW w:w="2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r>
      <w:tr>
        <w:trPr>
          <w:trHeight w:val="258"/>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1 - 31, 2018</w:t>
            </w:r>
          </w:p>
        </w:tc>
        <w:tc>
          <w:tcPr>
            <w:tcW w:w="2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111,462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78.21</w:t>
            </w:r>
          </w:p>
        </w:tc>
        <w:tc>
          <w:tcPr>
            <w:tcW w:w="2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109,850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48,070,958</w:t>
            </w:r>
          </w:p>
        </w:tc>
      </w:tr>
      <w:tr>
        <w:trPr>
          <w:trHeight w:val="74"/>
        </w:trPr>
        <w:tc>
          <w:tcPr>
            <w:tcW w:w="22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64"/>
        </w:trPr>
        <w:tc>
          <w:tcPr>
            <w:tcW w:w="2280" w:type="dxa"/>
            <w:vAlign w:val="bottom"/>
          </w:tcPr>
          <w:p>
            <w:pPr>
              <w:ind w:left="20"/>
              <w:spacing w:after="0"/>
              <w:rPr>
                <w:sz w:val="20"/>
                <w:szCs w:val="20"/>
                <w:color w:val="auto"/>
              </w:rPr>
            </w:pPr>
            <w:r>
              <w:rPr>
                <w:rFonts w:ascii="Arial" w:cs="Arial" w:eastAsia="Arial" w:hAnsi="Arial"/>
                <w:sz w:val="16"/>
                <w:szCs w:val="16"/>
                <w:color w:val="auto"/>
              </w:rPr>
              <w:t>November 1 - 30, 2018</w:t>
            </w:r>
          </w:p>
        </w:tc>
        <w:tc>
          <w:tcPr>
            <w:tcW w:w="2320" w:type="dxa"/>
            <w:vAlign w:val="bottom"/>
          </w:tcPr>
          <w:p>
            <w:pPr>
              <w:jc w:val="right"/>
              <w:ind w:right="179"/>
              <w:spacing w:after="0"/>
              <w:rPr>
                <w:sz w:val="20"/>
                <w:szCs w:val="20"/>
                <w:color w:val="auto"/>
              </w:rPr>
            </w:pPr>
            <w:r>
              <w:rPr>
                <w:rFonts w:ascii="Arial" w:cs="Arial" w:eastAsia="Arial" w:hAnsi="Arial"/>
                <w:sz w:val="16"/>
                <w:szCs w:val="16"/>
                <w:color w:val="auto"/>
              </w:rPr>
              <w:t>121,630</w:t>
            </w:r>
          </w:p>
        </w:tc>
        <w:tc>
          <w:tcPr>
            <w:tcW w:w="340" w:type="dxa"/>
            <w:vAlign w:val="bottom"/>
          </w:tcPr>
          <w:p>
            <w:pPr>
              <w:spacing w:after="0"/>
              <w:rPr>
                <w:sz w:val="22"/>
                <w:szCs w:val="22"/>
                <w:color w:val="auto"/>
              </w:rPr>
            </w:pP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79.32</w:t>
            </w:r>
          </w:p>
        </w:tc>
        <w:tc>
          <w:tcPr>
            <w:tcW w:w="2460" w:type="dxa"/>
            <w:vAlign w:val="bottom"/>
          </w:tcPr>
          <w:p>
            <w:pPr>
              <w:jc w:val="right"/>
              <w:ind w:right="419"/>
              <w:spacing w:after="0"/>
              <w:rPr>
                <w:sz w:val="20"/>
                <w:szCs w:val="20"/>
                <w:color w:val="auto"/>
              </w:rPr>
            </w:pPr>
            <w:r>
              <w:rPr>
                <w:rFonts w:ascii="Arial" w:cs="Arial" w:eastAsia="Arial" w:hAnsi="Arial"/>
                <w:sz w:val="16"/>
                <w:szCs w:val="16"/>
                <w:color w:val="auto"/>
              </w:rPr>
              <w:t>121,500</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38,433,465</w:t>
            </w:r>
          </w:p>
        </w:tc>
      </w:tr>
      <w:tr>
        <w:trPr>
          <w:trHeight w:val="74"/>
        </w:trPr>
        <w:tc>
          <w:tcPr>
            <w:tcW w:w="2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64"/>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1 - 31, 2018</w:t>
            </w:r>
          </w:p>
        </w:tc>
        <w:tc>
          <w:tcPr>
            <w:tcW w:w="2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94,027</w:t>
            </w: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71.34</w:t>
            </w:r>
          </w:p>
        </w:tc>
        <w:tc>
          <w:tcPr>
            <w:tcW w:w="2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94,027</w:t>
            </w: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31,725,792</w:t>
            </w:r>
          </w:p>
        </w:tc>
      </w:tr>
      <w:tr>
        <w:trPr>
          <w:trHeight w:val="74"/>
        </w:trPr>
        <w:tc>
          <w:tcPr>
            <w:tcW w:w="2280" w:type="dxa"/>
            <w:vAlign w:val="bottom"/>
            <w:tcBorders>
              <w:bottom w:val="single" w:sz="8" w:color="auto"/>
            </w:tcBorders>
            <w:shd w:val="clear" w:color="auto" w:fill="CCEEFF"/>
          </w:tcPr>
          <w:p>
            <w:pPr>
              <w:spacing w:after="0"/>
              <w:rPr>
                <w:sz w:val="6"/>
                <w:szCs w:val="6"/>
                <w:color w:val="auto"/>
              </w:rPr>
            </w:pPr>
          </w:p>
        </w:tc>
        <w:tc>
          <w:tcPr>
            <w:tcW w:w="232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312"/>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Pr>
          <w:p>
            <w:pPr>
              <w:jc w:val="right"/>
              <w:ind w:right="179"/>
              <w:spacing w:after="0"/>
              <w:rPr>
                <w:sz w:val="20"/>
                <w:szCs w:val="20"/>
                <w:color w:val="auto"/>
              </w:rPr>
            </w:pPr>
            <w:r>
              <w:rPr>
                <w:rFonts w:ascii="Arial" w:cs="Arial" w:eastAsia="Arial" w:hAnsi="Arial"/>
                <w:sz w:val="16"/>
                <w:szCs w:val="16"/>
                <w:color w:val="auto"/>
              </w:rPr>
              <w:t>327,119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19"/>
              <w:spacing w:after="0"/>
              <w:rPr>
                <w:sz w:val="20"/>
                <w:szCs w:val="20"/>
                <w:color w:val="auto"/>
              </w:rPr>
            </w:pPr>
            <w:r>
              <w:rPr>
                <w:rFonts w:ascii="Arial" w:cs="Arial" w:eastAsia="Arial" w:hAnsi="Arial"/>
                <w:sz w:val="16"/>
                <w:szCs w:val="16"/>
                <w:color w:val="auto"/>
              </w:rPr>
              <w:t>76.65</w:t>
            </w:r>
          </w:p>
        </w:tc>
        <w:tc>
          <w:tcPr>
            <w:tcW w:w="2460" w:type="dxa"/>
            <w:vAlign w:val="bottom"/>
          </w:tcPr>
          <w:p>
            <w:pPr>
              <w:jc w:val="right"/>
              <w:ind w:right="419"/>
              <w:spacing w:after="0"/>
              <w:rPr>
                <w:sz w:val="20"/>
                <w:szCs w:val="20"/>
                <w:color w:val="auto"/>
              </w:rPr>
            </w:pPr>
            <w:r>
              <w:rPr>
                <w:rFonts w:ascii="Arial" w:cs="Arial" w:eastAsia="Arial" w:hAnsi="Arial"/>
                <w:sz w:val="16"/>
                <w:szCs w:val="16"/>
                <w:color w:val="auto"/>
              </w:rPr>
              <w:t>325,377</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320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6320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51" w:lineRule="exact"/>
        <w:rPr>
          <w:sz w:val="20"/>
          <w:szCs w:val="20"/>
          <w:color w:val="auto"/>
        </w:rPr>
      </w:pPr>
    </w:p>
    <w:p>
      <w:pPr>
        <w:ind w:left="80" w:right="100" w:hanging="72"/>
        <w:spacing w:after="0" w:line="264" w:lineRule="auto"/>
        <w:tabs>
          <w:tab w:leader="none" w:pos="66" w:val="left"/>
        </w:tabs>
        <w:numPr>
          <w:ilvl w:val="0"/>
          <w:numId w:val="3"/>
        </w:numPr>
        <w:rPr>
          <w:rFonts w:ascii="Arial" w:cs="Arial" w:eastAsia="Arial" w:hAnsi="Arial"/>
          <w:sz w:val="8"/>
          <w:szCs w:val="8"/>
          <w:color w:val="auto"/>
        </w:rPr>
      </w:pPr>
      <w:r>
        <w:rPr>
          <w:rFonts w:ascii="Arial" w:cs="Arial" w:eastAsia="Arial" w:hAnsi="Arial"/>
          <w:sz w:val="13"/>
          <w:szCs w:val="13"/>
          <w:color w:val="auto"/>
        </w:rPr>
        <w:t>During the fourth quarter of 2018, 1,742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 Act. The transaction did</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3"/>
          <w:szCs w:val="13"/>
          <w:color w:val="auto"/>
        </w:rPr>
        <w:t>not involve a public offering and occurred without general solicitation or advertising. The shares were purchased at the closing price of the Parent’s common stock on the dates of purchase.</w:t>
      </w:r>
    </w:p>
    <w:p>
      <w:pPr>
        <w:spacing w:after="0" w:line="13" w:lineRule="exact"/>
        <w:rPr>
          <w:sz w:val="20"/>
          <w:szCs w:val="20"/>
          <w:color w:val="auto"/>
        </w:rPr>
      </w:pPr>
    </w:p>
    <w:p>
      <w:pPr>
        <w:ind w:left="80" w:right="380" w:hanging="72"/>
        <w:spacing w:after="0" w:line="255" w:lineRule="auto"/>
        <w:tabs>
          <w:tab w:leader="none" w:pos="66" w:val="left"/>
        </w:tabs>
        <w:numPr>
          <w:ilvl w:val="0"/>
          <w:numId w:val="4"/>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graph shows the cumulative total return for the Parent’s common stock compared to the cumulative total returns for the Standard &amp; Poor’s (“S&amp;P”) 500 Index and the S&amp;P Banks Index. The graph assumes that $100 was invested on December 31, 2013 in the Parent’s common stock, the S&amp;P 500 Index, and the S&amp;P Banks Index. The cumulative total return on each investment is as of December 31 of each of the subsequent five years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264795</wp:posOffset>
            </wp:positionV>
            <wp:extent cx="5969000" cy="3430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90" w:type="dxa"/>
        <w:tblCellMar>
          <w:top w:w="0" w:type="dxa"/>
          <w:left w:w="0" w:type="dxa"/>
          <w:bottom w:w="0" w:type="dxa"/>
          <w:right w:w="0" w:type="dxa"/>
        </w:tblCellMar>
      </w:tblPr>
      <w:tr>
        <w:trPr>
          <w:trHeight w:val="251"/>
        </w:trPr>
        <w:tc>
          <w:tcPr>
            <w:tcW w:w="3180" w:type="dxa"/>
            <w:vAlign w:val="bottom"/>
            <w:tcBorders>
              <w:top w:val="single" w:sz="8" w:color="auto"/>
              <w:left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36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top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3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Bank of Hawaii Corporation</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$103</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$113</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$163</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$162</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$131</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S&amp;P 500 Index</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$114</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$115</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$129</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$157</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$150</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17"/>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S&amp;P Banks Index</w:t>
            </w:r>
          </w:p>
        </w:tc>
        <w:tc>
          <w:tcPr>
            <w:tcW w:w="136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$114</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$115</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6"/>
                <w:szCs w:val="16"/>
                <w:color w:val="auto"/>
              </w:rPr>
              <w:t>$142</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$174</w:t>
            </w:r>
          </w:p>
        </w:tc>
        <w:tc>
          <w:tcPr>
            <w:tcW w:w="1340" w:type="dxa"/>
            <w:vAlign w:val="bottom"/>
            <w:tcBorders>
              <w:right w:val="single" w:sz="8" w:color="auto"/>
            </w:tcBorders>
          </w:tcPr>
          <w:p>
            <w:pPr>
              <w:jc w:val="right"/>
              <w:ind w:right="439"/>
              <w:spacing w:after="0"/>
              <w:rPr>
                <w:sz w:val="20"/>
                <w:szCs w:val="20"/>
                <w:color w:val="auto"/>
              </w:rPr>
            </w:pPr>
            <w:r>
              <w:rPr>
                <w:rFonts w:ascii="Arial" w:cs="Arial" w:eastAsia="Arial" w:hAnsi="Arial"/>
                <w:sz w:val="16"/>
                <w:szCs w:val="16"/>
                <w:color w:val="auto"/>
              </w:rPr>
              <w:t>$145</w:t>
            </w:r>
          </w:p>
        </w:tc>
      </w:tr>
      <w:tr>
        <w:trPr>
          <w:trHeight w:val="3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8" w:name="page19"/>
    <w:bookmarkEnd w:id="18"/>
    <w:p>
      <w:pPr>
        <w:spacing w:after="0" w:line="4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91440</wp:posOffset>
            </wp:positionV>
            <wp:extent cx="7169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38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20"/>
                <w:szCs w:val="20"/>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 Results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457.2</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417.6</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379.7</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Provision for Credit Losses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Noninterest Income</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197.3</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Total Noninterest Expense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371.6</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357.7</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350.6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348.1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326.9</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181.5</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163.0</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Basic Earnings Per Share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5.26</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4.37</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Dividends Declared Per Share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24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Performance Ratios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 to Average Total Assets (ROA)</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Net Income to Average Shareholders’ Equity (ROE)</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17.63</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15.27</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15.79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14.82</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15.50</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57.01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59.99</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58.41</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2.93</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2.85</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44.37</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48.39</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48.52</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Average Shareholders’ Equity to Average Assets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7.34</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7.16</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24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Average Balances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Loans and Leases</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10,043.7</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9,346.8</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8,362.2</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7,423.6</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6,405.4</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Average Assets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16,971.0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16,749.2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15,825.4</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15,136.5</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14,317.5</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Average Deposits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14,757.7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14,505.4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13,619.5</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12,122.1</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Average Shareholders’ Equity</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1,245.7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1,209.1</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1,149.3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1,084.1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1,052.2</w:t>
            </w:r>
          </w:p>
        </w:tc>
        <w:tc>
          <w:tcPr>
            <w:tcW w:w="24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Basic Weighted Average Shares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41,714,770</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42,280,931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42,644,100</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43,217,818</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43,899,208</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Diluted Weighted Average Shares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41,999,399</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42,607,057</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42,879,783</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43,454,877</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44,125,456</w:t>
            </w:r>
          </w:p>
        </w:tc>
        <w:tc>
          <w:tcPr>
            <w:tcW w:w="24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30"/>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Totals</w:t>
            </w:r>
          </w:p>
        </w:tc>
        <w:tc>
          <w:tcPr>
            <w:tcW w:w="9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Loans and Leases</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10,448.8</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9,797.0</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8,949.8</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7,879.0</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6,897.6</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17,144.0</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17,089.1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16,492.4</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15,455.0</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14,787.2</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Total Deposits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15,027.2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14,884.0</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14,320.2</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13,251.1</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12,633.1</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Debt</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267.9</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173.9</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Total Shareholders’ Equity</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1,268.2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1,231.9</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1,161.5</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1,116.3</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1,055.1</w:t>
            </w:r>
          </w:p>
        </w:tc>
        <w:tc>
          <w:tcPr>
            <w:tcW w:w="24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Quality</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Allowance for Loan and Lease Losses</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104.3</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Non-Performing Assets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30.1</w:t>
            </w:r>
          </w:p>
        </w:tc>
        <w:tc>
          <w:tcPr>
            <w:tcW w:w="240" w:type="dxa"/>
            <w:vAlign w:val="bottom"/>
          </w:tcPr>
          <w:p>
            <w:pPr>
              <w:spacing w:after="0"/>
              <w:rPr>
                <w:sz w:val="22"/>
                <w:szCs w:val="22"/>
                <w:color w:val="auto"/>
              </w:rPr>
            </w:pPr>
          </w:p>
        </w:tc>
      </w:tr>
      <w:tr>
        <w:trPr>
          <w:trHeight w:val="222"/>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b w:val="1"/>
                <w:bCs w:val="1"/>
                <w:color w:val="auto"/>
              </w:rPr>
              <w:t>Financial Ratios</w:t>
            </w: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Allowance to Loans and Leases Outstanding</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Tier 1 Capital Ratio </w:t>
            </w:r>
            <w:r>
              <w:rPr>
                <w:rFonts w:ascii="Arial" w:cs="Arial" w:eastAsia="Arial" w:hAnsi="Arial"/>
                <w:sz w:val="8"/>
                <w:szCs w:val="8"/>
                <w:color w:val="auto"/>
              </w:rPr>
              <w:t>4</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13.07</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13.24</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13.97</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14.69</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Total Capital Ratio </w:t>
            </w:r>
            <w:r>
              <w:rPr>
                <w:rFonts w:ascii="Arial" w:cs="Arial" w:eastAsia="Arial" w:hAnsi="Arial"/>
                <w:sz w:val="8"/>
                <w:szCs w:val="8"/>
                <w:color w:val="auto"/>
              </w:rPr>
              <w:t>4</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14.49</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15.94</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Tier 1 Leverage Ratio </w:t>
            </w:r>
            <w:r>
              <w:rPr>
                <w:rFonts w:ascii="Arial" w:cs="Arial" w:eastAsia="Arial" w:hAnsi="Arial"/>
                <w:sz w:val="8"/>
                <w:szCs w:val="8"/>
                <w:color w:val="auto"/>
              </w:rPr>
              <w:t>4</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7.21</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7.26</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7.13</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Shareholders’ Equity to Total Assets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7.04</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7.14</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5</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7.23</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7.03</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6.94</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4, 5</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14.46</w:t>
            </w:r>
          </w:p>
        </w:tc>
        <w:tc>
          <w:tcPr>
            <w:tcW w:w="240" w:type="dxa"/>
            <w:vAlign w:val="bottom"/>
            <w:shd w:val="clear" w:color="auto" w:fill="CCEEFF"/>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70"/>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Non-Financial Data</w:t>
            </w:r>
          </w:p>
        </w:tc>
        <w:tc>
          <w:tcPr>
            <w:tcW w:w="9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Full-Time Equivalent Employees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2,132</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2,122</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2,164</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2,161</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Branches and Offices</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240" w:type="dxa"/>
            <w:vAlign w:val="bottom"/>
            <w:shd w:val="clear" w:color="auto" w:fill="CCEEFF"/>
          </w:tcPr>
          <w:p>
            <w:pPr>
              <w:spacing w:after="0"/>
              <w:rPr>
                <w:sz w:val="24"/>
                <w:szCs w:val="24"/>
                <w:color w:val="auto"/>
              </w:rPr>
            </w:pPr>
          </w:p>
        </w:tc>
      </w:tr>
      <w:tr>
        <w:trPr>
          <w:trHeight w:val="264"/>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ATMs</w:t>
            </w:r>
          </w:p>
        </w:tc>
        <w:tc>
          <w:tcPr>
            <w:tcW w:w="9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w:t>
            </w:r>
          </w:p>
        </w:tc>
        <w:tc>
          <w:tcPr>
            <w:tcW w:w="52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449</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w:t>
            </w:r>
          </w:p>
        </w:tc>
        <w:tc>
          <w:tcPr>
            <w:tcW w:w="4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459</w:t>
            </w:r>
          </w:p>
        </w:tc>
        <w:tc>
          <w:tcPr>
            <w:tcW w:w="240" w:type="dxa"/>
            <w:vAlign w:val="bottom"/>
          </w:tcPr>
          <w:p>
            <w:pPr>
              <w:spacing w:after="0"/>
              <w:rPr>
                <w:sz w:val="22"/>
                <w:szCs w:val="22"/>
                <w:color w:val="auto"/>
              </w:rPr>
            </w:pPr>
          </w:p>
        </w:tc>
      </w:tr>
      <w:tr>
        <w:trPr>
          <w:trHeight w:val="276"/>
        </w:trPr>
        <w:tc>
          <w:tcPr>
            <w:tcW w:w="3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Common Shareholders of Record</w:t>
            </w: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6,121</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6,421</w:t>
            </w:r>
          </w:p>
        </w:tc>
        <w:tc>
          <w:tcPr>
            <w:tcW w:w="240" w:type="dxa"/>
            <w:vAlign w:val="bottom"/>
            <w:shd w:val="clear" w:color="auto" w:fill="CCEEFF"/>
          </w:tcPr>
          <w:p>
            <w:pPr>
              <w:spacing w:after="0"/>
              <w:rPr>
                <w:sz w:val="24"/>
                <w:szCs w:val="24"/>
                <w:color w:val="auto"/>
              </w:rPr>
            </w:pPr>
          </w:p>
        </w:tc>
      </w:tr>
    </w:tbl>
    <w:p>
      <w:pPr>
        <w:ind w:left="180" w:hanging="172"/>
        <w:spacing w:after="0" w:line="199" w:lineRule="auto"/>
        <w:tabs>
          <w:tab w:leader="none" w:pos="1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Efficiency ratio is defined as noninterest expense divided by total revenue (net interest income and noninterest income).</w:t>
      </w:r>
    </w:p>
    <w:p>
      <w:pPr>
        <w:ind w:left="180" w:hanging="172"/>
        <w:spacing w:after="0" w:line="188" w:lineRule="auto"/>
        <w:tabs>
          <w:tab w:leader="none" w:pos="18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Net interest margin is defined as net interest income, on a taxable-equivalent basis, as a percentage of average earning assets.</w:t>
      </w:r>
    </w:p>
    <w:p>
      <w:pPr>
        <w:ind w:left="180" w:hanging="172"/>
        <w:spacing w:after="0" w:line="184"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Dividend payout ratio is defined as dividends declared per share divided by basic earnings per share.</w:t>
      </w:r>
    </w:p>
    <w:p>
      <w:pPr>
        <w:sectPr>
          <w:pgSz w:w="11900" w:h="16883" w:orient="portrait"/>
          <w:cols w:equalWidth="0" w:num="1">
            <w:col w:w="11360"/>
          </w:cols>
          <w:pgMar w:left="240" w:top="125" w:right="299" w:bottom="0" w:gutter="0" w:footer="0" w:header="0"/>
        </w:sectPr>
      </w:pPr>
    </w:p>
    <w:bookmarkStart w:id="19" w:name="page20"/>
    <w:bookmarkEnd w:id="19"/>
    <w:p>
      <w:pPr>
        <w:ind w:left="172" w:hanging="172"/>
        <w:spacing w:after="0"/>
        <w:tabs>
          <w:tab w:leader="none" w:pos="172"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December 31, 2018, 2017, 2016, and 2015 calculated under Basel III rules, which became effective January 1, 2015.</w:t>
      </w:r>
    </w:p>
    <w:p>
      <w:pPr>
        <w:ind w:left="172" w:hanging="172"/>
        <w:spacing w:after="0" w:line="183" w:lineRule="auto"/>
        <w:tabs>
          <w:tab w:leader="none" w:pos="172"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Tangible common equity to tangible assets and tangible common equity to risk-weighted assets are Non-GAAP financial measures. See the “Use of Non-GAAP Financial Measures” section below.</w:t>
      </w:r>
    </w:p>
    <w:p>
      <w:pPr>
        <w:spacing w:after="0" w:line="23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72"/>
          </w:cols>
          <w:pgMar w:left="248" w:top="43" w:right="8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company, they have limitations as analytical tools, and should not be considered in isolation, or as a substitute for analyses of results as reported under GAAP. The following table provides a reconciliation of these Non-GAAP financial measures with their most closely related GAAP measures.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2014</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1,268,200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1,231,868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1,161,537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1,116,260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1,055,086</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20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4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Common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1,236,683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1,200,351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1,130,020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1,084,743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1,023,569</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17,143,974</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17,089,052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16,492,367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15,455,016</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14,787,208</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2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20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4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17,112,457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17,057,535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16,460,850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15,423,499</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14,755,691</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4520" w:type="dxa"/>
            <w:vAlign w:val="bottom"/>
          </w:tcPr>
          <w:p>
            <w:pPr>
              <w:ind w:left="40"/>
              <w:spacing w:after="0"/>
              <w:rPr>
                <w:sz w:val="20"/>
                <w:szCs w:val="20"/>
                <w:color w:val="auto"/>
              </w:rPr>
            </w:pPr>
            <w:r>
              <w:rPr>
                <w:rFonts w:ascii="Arial" w:cs="Arial" w:eastAsia="Arial" w:hAnsi="Arial"/>
                <w:sz w:val="16"/>
                <w:szCs w:val="16"/>
                <w:color w:val="auto"/>
                <w:w w:val="96"/>
              </w:rPr>
              <w:t>Risk-Weighted Assets, determined in accordance with prescribed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9"/>
        </w:trPr>
        <w:tc>
          <w:tcPr>
            <w:tcW w:w="4520" w:type="dxa"/>
            <w:vAlign w:val="bottom"/>
            <w:tcBorders>
              <w:bottom w:val="single" w:sz="8" w:color="auto"/>
            </w:tcBorders>
          </w:tcPr>
          <w:p>
            <w:pPr>
              <w:ind w:left="280"/>
              <w:spacing w:after="0" w:line="239" w:lineRule="exact"/>
              <w:rPr>
                <w:sz w:val="20"/>
                <w:szCs w:val="20"/>
                <w:color w:val="auto"/>
              </w:rPr>
            </w:pPr>
            <w:r>
              <w:rPr>
                <w:rFonts w:ascii="Arial" w:cs="Arial" w:eastAsia="Arial" w:hAnsi="Arial"/>
                <w:sz w:val="16"/>
                <w:szCs w:val="16"/>
                <w:color w:val="auto"/>
              </w:rPr>
              <w:t xml:space="preserve">regulatory requirements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9,878,904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9,348,296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8,823,485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7,962,484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7,077,035</w:t>
            </w:r>
          </w:p>
        </w:tc>
      </w:tr>
      <w:tr>
        <w:trPr>
          <w:trHeight w:val="210"/>
        </w:trPr>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7.40%</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7.04%</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7.22%</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33"/>
        </w:trPr>
        <w:tc>
          <w:tcPr>
            <w:tcW w:w="4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Common Equity to</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Tangible Assets (Non-GAAP)</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r>
      <w:tr>
        <w:trPr>
          <w:trHeight w:val="270"/>
        </w:trPr>
        <w:tc>
          <w:tcPr>
            <w:tcW w:w="4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Tier 1 Capital Ratio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r>
      <w:tr>
        <w:trPr>
          <w:trHeight w:val="220"/>
        </w:trPr>
        <w:tc>
          <w:tcPr>
            <w:tcW w:w="4520" w:type="dxa"/>
            <w:vAlign w:val="bottom"/>
          </w:tcPr>
          <w:p>
            <w:pPr>
              <w:ind w:left="40"/>
              <w:spacing w:after="0"/>
              <w:rPr>
                <w:sz w:val="20"/>
                <w:szCs w:val="20"/>
                <w:color w:val="auto"/>
              </w:rPr>
            </w:pPr>
            <w:r>
              <w:rPr>
                <w:rFonts w:ascii="Arial" w:cs="Arial" w:eastAsia="Arial" w:hAnsi="Arial"/>
                <w:sz w:val="16"/>
                <w:szCs w:val="16"/>
                <w:color w:val="auto"/>
              </w:rPr>
              <w:t>Tangible Common Equity to</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1"/>
        </w:trPr>
        <w:tc>
          <w:tcPr>
            <w:tcW w:w="4520" w:type="dxa"/>
            <w:vAlign w:val="bottom"/>
          </w:tcPr>
          <w:p>
            <w:pPr>
              <w:ind w:left="280"/>
              <w:spacing w:after="0"/>
              <w:rPr>
                <w:sz w:val="20"/>
                <w:szCs w:val="20"/>
                <w:color w:val="auto"/>
              </w:rPr>
            </w:pPr>
            <w:r>
              <w:rPr>
                <w:rFonts w:ascii="Arial" w:cs="Arial" w:eastAsia="Arial" w:hAnsi="Arial"/>
                <w:sz w:val="16"/>
                <w:szCs w:val="16"/>
                <w:color w:val="auto"/>
              </w:rPr>
              <w:t xml:space="preserve">Risk-Weighted Assets (Non-GAAP)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12.52%</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12.84%</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13.62%</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14.46%</w:t>
            </w:r>
          </w:p>
        </w:tc>
      </w:tr>
    </w:tbl>
    <w:p>
      <w:pPr>
        <w:ind w:left="100" w:hanging="92"/>
        <w:spacing w:after="0" w:line="181" w:lineRule="auto"/>
        <w:tabs>
          <w:tab w:leader="none" w:pos="100" w:val="left"/>
        </w:tabs>
        <w:numPr>
          <w:ilvl w:val="0"/>
          <w:numId w:val="10"/>
        </w:numPr>
        <w:rPr>
          <w:rFonts w:ascii="Arial" w:cs="Arial" w:eastAsia="Arial" w:hAnsi="Arial"/>
          <w:sz w:val="20"/>
          <w:szCs w:val="20"/>
          <w:color w:val="auto"/>
          <w:vertAlign w:val="superscript"/>
        </w:rPr>
      </w:pPr>
      <w:r>
        <w:rPr>
          <w:rFonts w:ascii="Arial" w:cs="Arial" w:eastAsia="Arial" w:hAnsi="Arial"/>
          <w:sz w:val="13"/>
          <w:szCs w:val="13"/>
          <w:color w:val="auto"/>
        </w:rPr>
        <w:t>December 31, 2018, 2017, 2016, and 2015 calculated under Basel III rules, which became effective January 1, 2015.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Economic Growth, Regulatory Relief, and Consumer Protection Act of 2018;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w:t>
      </w:r>
    </w:p>
    <w:p>
      <w:pPr>
        <w:spacing w:after="0" w:line="1" w:lineRule="exact"/>
        <w:rPr>
          <w:sz w:val="20"/>
          <w:szCs w:val="20"/>
          <w:color w:val="auto"/>
        </w:rPr>
      </w:pPr>
    </w:p>
    <w:p>
      <w:pPr>
        <w:ind w:firstLine="8"/>
        <w:spacing w:after="0" w:line="267" w:lineRule="auto"/>
        <w:tabs>
          <w:tab w:leader="none" w:pos="2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 of this report.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Consolidated Financial Statements.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those that are related to the determination of the reserve for credit losses, fair value estimates, leased asset residual values, and income taxes.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consequence of lending activities is that we may incur credit losses. The amount of such losses will vary depending upon the risk characteristics of the loan and lease portfolio as affected by economic conditions such as rising interest rates and the financial performance of borrowers. The reserve for credit losses consists of the allowance for loan and lease losses (the “Allowance”) and the reserve for unfunded commitments (the “Unfunded Reserve”). The Allowance provides for probable and estimable losses inherent in our loan and lease portfolio. The Allowance is increased or decreased through the provisioning process. There is no exact method of predicting specific losses or amounts that ultimately may be charged-off on particular segments of the loan and lease portfolio. The Unfunded Reserve is a component of other liabilities and represents the estimate for probable credit losses inherent in unfunded commitments to extend credit. The level of the Unfunded Reserve is adjusted by recording an expense or recovery in other noninterest expense.</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Management’s evaluation of the adequacy of the reserve for credit losses is often the most critical of accounting estimates for a financial institution. Our determination of the amount of the reserve for credit losses is a critical accounting estimate as it requires significant reliance on the accuracy of credit risk ratings on individual borrowers, the use of estimates and significant judgment as to the amount and timing of expected future cash flows on impaired loans, significant reliance on estimated loss rates on homogenous portfolios, and consideration of our quantitative and qualitative evaluation of economic factors and trends. While our methodology in establishing the reserve for credit losses attributes portions of the Allowance and Unfunded Reserve to the commercial and consumer portfolio segments, the entire Allowance and Unfunded Reserve is available to absorb credit losses inherent in the total loan and lease portfolio and total amount of unfunded credit commitments, respectively.</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reserve for credit losses related to our commercial portfolio segment is generally most sensitive to the accuracy of credit risk ratings assigned to each borrower. Commercial loan risk ratings are evaluated based on each situation by experienced senior credit officers and are subject to periodic review by an independent internal team of credit specialists. The reserve for credit losses related to our consumer portfolio segment is generally most sensitive to economic assumptions and delinquency trends. The reserve for credit losses attributable to each portfolio segment also includes an amount for inherent risks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criticized and classified loans.</w:t>
      </w:r>
    </w:p>
    <w:p>
      <w:pPr>
        <w:spacing w:after="0" w:line="18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See Note 4 to the Consolidated Financial Statements and the “Corporate Risk Profile – Credit Risk” section in Management’s Discussion and Analysis of Financial Condition and Results of Operations (“MD&amp;A”) for more information on the Allowance and the Unfunded Reserve.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measurements, we maximize the use of observable inputs and minimize the use of unobservable inputs.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instruments traded in active markets. Level 2 valuations are those based on quoted prices for similar instruments in active markets, quoted prices for identical or similar instruments in markets that are not active, or model-based valuation techniques for which all significant assumptions are observable in the market. Level 3 valuations are based on model-based techniques that use at least one significant assumption not observable in the market, or significant management judgment or estimation, some of which may be internally developed.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Financial assets that are recorded at fair value on a recurring basis include available-for-sale investment securities, loans held for sale, mortgage servicing rights, investments related to deferred compensation arrangements, and derivative financial instruments. As of December 31, 2018 and 2017, $2.1 billion or 12% and $2.3 billion or 13%, respectively, of our total assets consisted of financial assets recorded at fair value on a recurring basis and most of these financial assets consisted of available-for-sale investment securities measured using information from a third-party pricing service. These investments in debt securities and mortgage-backed securities were all classified in either Levels 1 or 2 of the fair value hierarchy. Financial liabilities that are recorded at fair value on a recurring basis are comprised of derivative financial instruments. As of December 31, 2018 and 2017, $9.7 million or less than 1% of our total liabilities consisted of financial liabilities recorded at fair value on a recurring basis. As of December 31, 2018 and 2017, Level 3 financial assets recorded at fair value on a recurring basis were $15.1 million and $11.8 million, respectively, or less than 1% of our total assets, and were comprised of mortgage servicing rights and derivative financial instruments. As of December 31, 2018 and 2017, Level 3 financial liabilities recorded at fair value on a recurring basis were $9.4 million and $9.5 million, respectively, or less than 1% of our total liabilities, and were comprised of derivative financial instruments.</w:t>
      </w:r>
    </w:p>
    <w:p>
      <w:pPr>
        <w:spacing w:after="0" w:line="16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third-party pricing service makes no representations or warranties that the pricing data provided to us is complete or free from errors, omissions, or defects. As a result, we have processes in place to monitor and periodically review the information provided to us by our third-party pricing service such as:</w:t>
      </w:r>
    </w:p>
    <w:p>
      <w:pPr>
        <w:ind w:firstLine="8"/>
        <w:spacing w:after="0" w:line="285" w:lineRule="auto"/>
        <w:tabs>
          <w:tab w:leader="none" w:pos="1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third-party pricing service provides us with documentation by asset class of inputs and methodologies used to value securities. We review this documentation to evaluate the inputs and valuation methodologies used to place securities into the appropriate level of the fair value hierarchy. This documentation is periodically updated by our third-party pricing service. Accordingly, transfers of securities within the fair value hierarchy are made if deemed necessary. 2) On a quarterly basis, management also selects a sample of securities priced by the Company’s third-party pricing service and reviews the significant assumptions and valuation methodologies used by the pricing service with respect to those securities. The information provided is comprised of market reference data, which may include reported trades; bids, offers, or broker-dealer dealer quotes; benchmark yields and spreads; as well as other reference data as appropriate. Periodically, based on these reviews, management determines whether the current placement of the security in the fair value hierarchy is appropriate or whether transfers may be warranted. 3) On a quarterly basis, management reviews the pricing information received from our third-party pricing service. This review process includes a comparison to a second source. 4) Our third-party pricing service has also established processes for us to submit inquiries regarding quoted prices. Periodically, we will challenge the quoted prices provided by our third-party pricing service. Our third-party pricing service will review the inputs to the evaluation in light of the new market data presented by us. Our third-party pricing service may then affirm the original quoted price or may update the evaluation on a going forward basis. Generally, we do not adjust the price from the third-party service provider. 5) On an annual basis, we obtain and review the third-party’s most recently issued Service Organization Controls report. related to controls placed in operation and tests of operating effectiveness, to update our understanding of the third-party pricing service’s control environment.</w:t>
      </w:r>
    </w:p>
    <w:p>
      <w:pPr>
        <w:spacing w:after="0" w:line="16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Based on the composition of our investment securities portfolio, we believe that we have developed appropriate internal controls and performed appropriate due diligence procedures to prevent or detect material misstatements. See Note 21 to the Consolidated Financial Statements for more information on our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determine our liabilities for income taxes based on current tax regulations and interpretations in tax jurisdictions where our income is subject to taxation. Currently, we file tax returns in seven federal, state and local domestic jurisdictions, and four foreign jurisdictions. In estimating income taxes payable or receivable, we assess the relative merits and risks of the appropriate tax treatment considering statutory, judicial, and regulatory guidance in the context of each tax position. Accordingly, previously estimated liabilities are regularly reevaluated and adjusted through the provision for income taxes. Changes in the estimate of income taxes payable or receivable occur periodically due to changes in tax rates, interpretations of tax law, the status of examinations being conducted by various taxing authorities, and newly enacted statutory, judicial and regulatory guidance that impact the relative merits and risks of each tax position. These changes, when they occur, may affect the provision for income taxes as well as current and deferred income taxes, and may be significant to our statements of income and condition.</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Management's determination of the realization of net deferred tax assets is based upon management's judgment of various future events and uncertainties, including the timing and amount of future income, as well as the implementation of various tax planning strategies to maximize realization of the deferred tax assets. A valuation allowance is provided when it is more likely than not that some portion of the deferred tax asset will not be realized. As of December 31, 2018 and 2017, we carried a valuation allowance of $1.1 million and $1.0 million, respectively, related to our deferred tax assets established in connection with our low-income housing investments.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required to record a liability, referred to as an unrecognized tax benefit ("UTB"), for the entire amount of benefit taken in a prior or future income tax return when we determine that a tax position has a less than 50% likelihood of being accepted by the taxing authority. As of December 31, 2018 and 2017, our liabilities for UTBs were $5.5 million and $5.3 million, respectively.</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2018, the Company recognized federal and State of Hawaii investment tax credits from energy investments. The Company uses the deferral method of accounting for its investment tax credit with the benefit recognized in the provision for income taxes. These credits reduced the Company's provision for income taxes by $5.0 million, 5.4 million, and 4.7 million in 2018, 2017 and 2016, respectively.</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Public law No. 115-97, known as the Tax Cuts and Jobs Act (the "Tax Act"), which was enacted on December 22, 2017, reduced the U.S. federal corporate tax rate from 35% to 21% effective January 1, 2018. Also on December 22, 2017, the Securities and Exchange Commission issued Staff Accounting Bulletin No. 118 (“SAB 118”), which provides guidance on accounting for tax effects of the Tax Act. SAB 118 provides a measurement period of up to one year from the enactment date to complete the accounting. Any adjustments during this measurement period were included in net earnings from continuing operations as an adjustment to income tax expense in the reporting period when such adjustments were determined. Based on the information available and current interpretation of the rules, the Company calculated the impact of the reduction in the corporate tax rate and remeasurement of certain deferred tax assets and liabilities. The provisional amount recorded in the fourth quarter of 2017 related to the remeasurement of the Company's deferred tax balance resulted in additional income tax expense of $3.6 million. An additional $0.1 million was expensed in the first quarter of 2018 due to the remeasurement of the Company’s deferred tax balance. In addition, during the first quarter of 2018, the Company recorded a $2.0 million basis adjustment on its low income housing partnership investments, which consequently reduced income tax expense by the same amount. The remeasurement of the Company’s deferred tax balance in the third quarter of 2018 resulted in an income tax expense reduction of $0.3 million. The Company finalized the impact of the Tax Act in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regional financial services company serving businesses, consumers, and governments in Hawaii, Guam, and other Pacific Islands. Our principal operating subsidiary, the Bank, was founded in 1897 and is the largest independent financial institution in Hawaii.</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business strategy is to use our unique market knowledge, prudent management discipline and brand strength to deliver exceptional value to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stakeholders. Our business plan is balanced between growth and risk management while maintaining flexibility to adjust to economic changes.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will continue to focus on providing customers with best-in-class service and an innovative mix of products and services. We will also remain focused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continuing to deliver strong financial results while maintaining prudent risk and capital management strategies as well as our commitment to support our local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communities.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General economic conditions in Hawaii remained healthy during 2018, led by a strong tourism industry, relatively low unemployment, rising real estate prices, and an active construction industry. Total visitor arrivals increased 5.9% and visitor spending increased 6.8% during 2018 compared to 2017. The statewide seasonally-adjusted unemployment rate was 2.5% in December 2018 compared to 3.9% nationally. The volume of single-family home sales on Oahu decreased 7.7% in 2018 compared to 2017, while the volume of condominium sales on Oahu decreased 2.5% in 2018 compared to 2017. The median price of single-family home sales and condominium sales on Oahu increased 4.6% and 3.7%, respectively, in 2018 compared to 2017. As of December 31, 2018, months of inventory of single-family homes and condominiums on Oahu remained low at approximately 2.8 months and 2.9 months,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for 2018 was $219.6 million, an increase of $34.9 million or 19% compared to 2017. Diluted earnings per share were $5.23 in 2018, an increase of $0.90 or 21% compared to 2017. Our return on average assets was 1.29% in 2018, an increase of 19 basis points from 2017, and our return on average shareholders’ equity was 17.63% in 2018, an increase of 236 basis points from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higher net income in 2018 was primarily due to the following:</w:t>
      </w:r>
    </w:p>
    <w:p>
      <w:pPr>
        <w:spacing w:after="0" w:line="225" w:lineRule="exact"/>
        <w:rPr>
          <w:sz w:val="20"/>
          <w:szCs w:val="20"/>
          <w:color w:val="auto"/>
        </w:rPr>
      </w:pPr>
    </w:p>
    <w:p>
      <w:pPr>
        <w:ind w:left="340" w:right="20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provision for income taxes was $50.6 million in 2018, a decrease of $32.8 million or 39% compared to 2017 primarily due to the federal corporate tax rate changing from 35% to 21% as a result of the passage of the Tax Act. The effective tax rate was 18.73% in 2018 compared to 31.11% in 2017.</w:t>
      </w:r>
    </w:p>
    <w:p>
      <w:pPr>
        <w:spacing w:after="0" w:line="123" w:lineRule="exact"/>
        <w:rPr>
          <w:rFonts w:ascii="Arial" w:cs="Arial" w:eastAsia="Arial" w:hAnsi="Arial"/>
          <w:sz w:val="16"/>
          <w:szCs w:val="16"/>
          <w:color w:val="auto"/>
        </w:rPr>
      </w:pPr>
    </w:p>
    <w:p>
      <w:pPr>
        <w:ind w:left="340" w:right="20" w:hanging="332"/>
        <w:spacing w:after="0" w:line="272"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interest income was $486.4 million in 2018, an increase of $29.1 million or 6% compared to 2017. On a taxable-equivalent basis, net interest income was $491.5 million in 2018, an increase of $22.4 million or 5% compared to 2017. This increase was primarily due to a higher level of earning assets, including growth in both our commercial and consumer lending portfolios, and higher net interest margin. The higher level of earning assets was primarily funded by higher deposit balances. Net interest margin was 3.05% in 2018, a 12 basis point increase from 2017, primarily due to our loans, which generally have higher yields than our investment securities, comprising a larger percentage of our earning assets compared to 2017. In addition, yields increased for our commercial loans and investment portfolio. Yields on our loan portfolios increased primarily due to higher yields on floating rate loans. This was partially offset by an increase in rates offered on our deposit products.</w:t>
      </w:r>
    </w:p>
    <w:p>
      <w:pPr>
        <w:spacing w:after="0" w:line="177" w:lineRule="exact"/>
        <w:rPr>
          <w:rFonts w:ascii="Arial" w:cs="Arial" w:eastAsia="Arial" w:hAnsi="Arial"/>
          <w:sz w:val="17"/>
          <w:szCs w:val="17"/>
          <w:color w:val="auto"/>
        </w:rPr>
      </w:pPr>
    </w:p>
    <w:p>
      <w:pPr>
        <w:ind w:left="340" w:right="36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recorded a $13.4 million provision for credit losses in 2018 compared to a $16.9 million provision recorded in 2017. The provision recorded was based on our determination that the allowance for loan and lease losses should be $106.7 million as of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These items were partially offset by the following:</w:t>
      </w:r>
    </w:p>
    <w:p>
      <w:pPr>
        <w:spacing w:after="0" w:line="225" w:lineRule="exact"/>
        <w:rPr>
          <w:sz w:val="20"/>
          <w:szCs w:val="20"/>
          <w:color w:val="auto"/>
        </w:rPr>
      </w:pPr>
    </w:p>
    <w:p>
      <w:pPr>
        <w:ind w:left="340" w:right="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 securities gains (losses), net totaled $(3.9) million in 2018 compared to $10.4 million in 2017. The net losses in 2018 were due to fees paid to the counterparties of our prior Visa Class B share sale transactions combined with a $1.0 million payment related to a change in the Visa Class B share conversion ratio. The net gain in 2017 was primarily due the sale of 90,000 Visa Class B shares.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line="29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Salaries and benefits expense was $213.2 million in 2018, an increase of $9.5 million or 5% compared to 2017 primarily due to $9.8 million increase in merit and minimum wage increases. Medical, dental, and life insurance increased by $3.8 million primarily due to higher expenses related to our self-insured medical plans coupled with increased group medical insurance costs. These increases were partially offset by a $2.1 million decrease in incentive compensation. During the fourth quarter of 2017, the Company paid a $2.2 million bonus, inclusive of payroll taxes, partly due to anticipated future tax expense reductions resulting from the Tax Act. In addition, share-based compensation decreased by $2.1 million as a result of the Company’s lower share price. Commission expense also decreased by $2.1 million primarily due to a decrease in loan origination and refinancing activity.</w:t>
      </w:r>
    </w:p>
    <w:p>
      <w:pPr>
        <w:spacing w:after="0" w:line="164" w:lineRule="exact"/>
        <w:rPr>
          <w:rFonts w:ascii="Arial" w:cs="Arial" w:eastAsia="Arial" w:hAnsi="Arial"/>
          <w:sz w:val="16"/>
          <w:szCs w:val="16"/>
          <w:color w:val="auto"/>
        </w:rPr>
      </w:pPr>
    </w:p>
    <w:p>
      <w:pPr>
        <w:ind w:left="340" w:right="2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 banking income was $8.4 million in 2018, a decrease of $4.5 million or 35% compared to 2017. This decrease was primarily due to reduced sales and margins on sales of conforming saleable loans from current production and from our mortgage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maintained a strong balance sheet throughout 2018, with what we believe are adequate reserves for credit losses, and high levels of liquidity and capital.</w:t>
      </w:r>
    </w:p>
    <w:p>
      <w:pPr>
        <w:spacing w:after="0" w:line="248" w:lineRule="exact"/>
        <w:rPr>
          <w:sz w:val="20"/>
          <w:szCs w:val="20"/>
          <w:color w:val="auto"/>
        </w:rPr>
      </w:pPr>
    </w:p>
    <w:p>
      <w:pPr>
        <w:ind w:left="340" w:right="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loans and leases were $10.4 billion as of December 31, 2018, an increase of $0.7 billion or 7% from December 31, 2017 primarily due to growth in our consumer lending portfolios.</w:t>
      </w:r>
    </w:p>
    <w:p>
      <w:pPr>
        <w:spacing w:after="0" w:line="170"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$106.7 million as of December 31, 2018, a decrease of $0.7 million or 1% from December 31, 2017. The ratio of our Allowance to total loans and leases outstanding decreased to 1.02% as of December 31, 2018, compared to 1.10% as of December 31, 2017. The level of our Allowance was commensurate with the Company’s credit risk profile, loan portfolio growth and composition, and a healthy Hawaii economy.</w:t>
      </w:r>
    </w:p>
    <w:p>
      <w:pPr>
        <w:spacing w:after="0" w:line="186" w:lineRule="exact"/>
        <w:rPr>
          <w:rFonts w:ascii="Arial" w:cs="Arial" w:eastAsia="Arial" w:hAnsi="Arial"/>
          <w:sz w:val="18"/>
          <w:szCs w:val="18"/>
          <w:color w:val="auto"/>
        </w:rPr>
      </w:pPr>
    </w:p>
    <w:p>
      <w:pPr>
        <w:ind w:left="340" w:right="100" w:hanging="332"/>
        <w:spacing w:after="0" w:line="31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total carrying value of our investment securities portfolio was $5.5 billion as of December 31, 2018, a decrease of $671.1 million or 11% from December 31, 2017. In 2018, we reduced our positions primarily in mortgage-backed securities, municipal debt securities, and corporate debt securities. Government National Mortgage Corporation (“Ginnie Mae”) mortgage-backed securities continue to be our largest concentration in our portfolio.</w:t>
      </w:r>
    </w:p>
    <w:p>
      <w:pPr>
        <w:spacing w:after="0" w:line="146" w:lineRule="exact"/>
        <w:rPr>
          <w:rFonts w:ascii="Arial" w:cs="Arial" w:eastAsia="Arial" w:hAnsi="Arial"/>
          <w:sz w:val="16"/>
          <w:szCs w:val="16"/>
          <w:color w:val="auto"/>
        </w:rPr>
      </w:pPr>
    </w:p>
    <w:p>
      <w:pPr>
        <w:ind w:left="340" w:right="10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deposits were $15.0 billion as of December 31, 2018, an increase of $0.1 billion or 1% from December 31, 2017 primarily due to higher consumer core and time deposits. These increases were partially offset by a decrease in public and other deposits largely due to the strategic decision to reduce public time deposits.</w:t>
      </w:r>
    </w:p>
    <w:p>
      <w:pPr>
        <w:spacing w:after="0" w:line="181" w:lineRule="exact"/>
        <w:rPr>
          <w:rFonts w:ascii="Arial" w:cs="Arial" w:eastAsia="Arial" w:hAnsi="Arial"/>
          <w:sz w:val="18"/>
          <w:szCs w:val="18"/>
          <w:color w:val="auto"/>
        </w:rPr>
      </w:pPr>
    </w:p>
    <w:p>
      <w:pPr>
        <w:ind w:left="340" w:right="120" w:hanging="332"/>
        <w:spacing w:after="0" w:line="25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shareholders’ equity was $1.3 billion as of December 31, 2018, an increase of $36.3 million or 3% from December 31, 2017. We continued to return capital to our shareholders in the form of share repurchases and dividends. During 2018, we repurchased 1,120,755 shares of common stock at a total cost of $92.0 million under our share repurchase program and from employees and/or directors in connection with income tax withholdings related to the vesting of restricted stock, shares purchased for a deferred compensation plan, and stock swaps, less shares distributed from the deferred compensation plan. We also paid cash dividends of $98.5 million during 2018.</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7"/>
          </w:tcPr>
          <w:p>
            <w:pPr>
              <w:ind w:left="40"/>
              <w:spacing w:after="0"/>
              <w:rPr>
                <w:sz w:val="20"/>
                <w:szCs w:val="20"/>
                <w:color w:val="auto"/>
              </w:rPr>
            </w:pPr>
            <w:r>
              <w:rPr>
                <w:rFonts w:ascii="Arial" w:cs="Arial" w:eastAsia="Arial" w:hAnsi="Arial"/>
                <w:sz w:val="18"/>
                <w:szCs w:val="18"/>
                <w:b w:val="1"/>
                <w:bCs w:val="1"/>
                <w:color w:val="auto"/>
                <w:w w:val="89"/>
              </w:rPr>
              <w:t>Average Balances and Interest Rates – Taxable-Equivalent Basis</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Table 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Income/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w w:val="86"/>
              </w:rPr>
              <w:t>Income/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Expense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Expense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 Assets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Interest-Bearing Deposits in Other Banks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1.05</w:t>
            </w:r>
          </w:p>
        </w:tc>
        <w:tc>
          <w:tcPr>
            <w:tcW w:w="440" w:type="dxa"/>
            <w:vAlign w:val="bottom"/>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0.45</w:t>
            </w:r>
          </w:p>
        </w:tc>
        <w:tc>
          <w:tcPr>
            <w:tcW w:w="340" w:type="dxa"/>
            <w:vAlign w:val="bottom"/>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4.1</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0.22</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Funds Sold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380"/>
              <w:spacing w:after="0"/>
              <w:rPr>
                <w:sz w:val="20"/>
                <w:szCs w:val="20"/>
                <w:color w:val="auto"/>
              </w:rPr>
            </w:pPr>
            <w:r>
              <w:rPr>
                <w:rFonts w:ascii="Arial" w:cs="Arial" w:eastAsia="Arial" w:hAnsi="Arial"/>
                <w:sz w:val="14"/>
                <w:szCs w:val="14"/>
                <w:color w:val="auto"/>
              </w:rPr>
              <w:t>Taxable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1,537.7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37.6</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2.44</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1,659.3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33.1</w:t>
            </w:r>
          </w:p>
        </w:tc>
        <w:tc>
          <w:tcPr>
            <w:tcW w:w="780" w:type="dxa"/>
            <w:vAlign w:val="bottom"/>
          </w:tcPr>
          <w:p>
            <w:pPr>
              <w:jc w:val="right"/>
              <w:spacing w:after="0"/>
              <w:rPr>
                <w:sz w:val="20"/>
                <w:szCs w:val="20"/>
                <w:color w:val="auto"/>
              </w:rPr>
            </w:pPr>
            <w:r>
              <w:rPr>
                <w:rFonts w:ascii="Arial" w:cs="Arial" w:eastAsia="Arial" w:hAnsi="Arial"/>
                <w:sz w:val="14"/>
                <w:szCs w:val="14"/>
                <w:color w:val="auto"/>
              </w:rPr>
              <w:t>2.00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1,579.1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27.7</w:t>
            </w:r>
          </w:p>
        </w:tc>
        <w:tc>
          <w:tcPr>
            <w:tcW w:w="780" w:type="dxa"/>
            <w:vAlign w:val="bottom"/>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Non-Taxable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15.9</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643.7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Held-to-Maturity</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Taxable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3,468.4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78.4</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3,648.6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75.7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3,615.2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Non-Taxable</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236.5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7.5</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240.4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244.1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5,820.5</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139.4</w:t>
            </w:r>
          </w:p>
        </w:tc>
        <w:tc>
          <w:tcPr>
            <w:tcW w:w="3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4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6,192.0</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139.1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6,129.0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4.31</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0.9</w:t>
            </w:r>
          </w:p>
        </w:tc>
        <w:tc>
          <w:tcPr>
            <w:tcW w:w="780" w:type="dxa"/>
            <w:vAlign w:val="bottom"/>
          </w:tcPr>
          <w:p>
            <w:pPr>
              <w:jc w:val="right"/>
              <w:spacing w:after="0"/>
              <w:rPr>
                <w:sz w:val="20"/>
                <w:szCs w:val="20"/>
                <w:color w:val="auto"/>
              </w:rPr>
            </w:pPr>
            <w:r>
              <w:rPr>
                <w:rFonts w:ascii="Arial" w:cs="Arial" w:eastAsia="Arial" w:hAnsi="Arial"/>
                <w:sz w:val="14"/>
                <w:szCs w:val="14"/>
                <w:color w:val="auto"/>
              </w:rPr>
              <w:t>3.99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780" w:type="dxa"/>
            <w:vAlign w:val="bottom"/>
          </w:tcPr>
          <w:p>
            <w:pPr>
              <w:jc w:val="right"/>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Loans and Leases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1,304.8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51.9</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3.98</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1,262.8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44.5</w:t>
            </w:r>
          </w:p>
        </w:tc>
        <w:tc>
          <w:tcPr>
            <w:tcW w:w="780" w:type="dxa"/>
            <w:vAlign w:val="bottom"/>
          </w:tcPr>
          <w:p>
            <w:pPr>
              <w:jc w:val="right"/>
              <w:spacing w:after="0"/>
              <w:rPr>
                <w:sz w:val="20"/>
                <w:szCs w:val="20"/>
                <w:color w:val="auto"/>
              </w:rPr>
            </w:pPr>
            <w:r>
              <w:rPr>
                <w:rFonts w:ascii="Arial" w:cs="Arial" w:eastAsia="Arial" w:hAnsi="Arial"/>
                <w:sz w:val="14"/>
                <w:szCs w:val="14"/>
                <w:color w:val="auto"/>
              </w:rPr>
              <w:t>3.52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1,179.9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40.3</w:t>
            </w:r>
          </w:p>
        </w:tc>
        <w:tc>
          <w:tcPr>
            <w:tcW w:w="780" w:type="dxa"/>
            <w:vAlign w:val="bottom"/>
          </w:tcPr>
          <w:p>
            <w:pPr>
              <w:jc w:val="right"/>
              <w:spacing w:after="0"/>
              <w:rPr>
                <w:sz w:val="20"/>
                <w:szCs w:val="20"/>
                <w:color w:val="auto"/>
              </w:rPr>
            </w:pPr>
            <w:r>
              <w:rPr>
                <w:rFonts w:ascii="Arial" w:cs="Arial" w:eastAsia="Arial" w:hAnsi="Arial"/>
                <w:sz w:val="14"/>
                <w:szCs w:val="14"/>
                <w:color w:val="auto"/>
              </w:rPr>
              <w:t>3.42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2,164.6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89.7</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1,977.1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75.7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1,735.2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64.5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8.6</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4.68</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238.4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11.2</w:t>
            </w:r>
          </w:p>
        </w:tc>
        <w:tc>
          <w:tcPr>
            <w:tcW w:w="780" w:type="dxa"/>
            <w:vAlign w:val="bottom"/>
          </w:tcPr>
          <w:p>
            <w:pPr>
              <w:jc w:val="right"/>
              <w:spacing w:after="0"/>
              <w:rPr>
                <w:sz w:val="20"/>
                <w:szCs w:val="20"/>
                <w:color w:val="auto"/>
              </w:rPr>
            </w:pPr>
            <w:r>
              <w:rPr>
                <w:rFonts w:ascii="Arial" w:cs="Arial" w:eastAsia="Arial" w:hAnsi="Arial"/>
                <w:sz w:val="14"/>
                <w:szCs w:val="14"/>
                <w:color w:val="auto"/>
              </w:rPr>
              <w:t>4.69</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10.0</w:t>
            </w:r>
          </w:p>
        </w:tc>
        <w:tc>
          <w:tcPr>
            <w:tcW w:w="780" w:type="dxa"/>
            <w:vAlign w:val="bottom"/>
          </w:tcPr>
          <w:p>
            <w:pPr>
              <w:jc w:val="right"/>
              <w:spacing w:after="0"/>
              <w:rPr>
                <w:sz w:val="20"/>
                <w:szCs w:val="20"/>
                <w:color w:val="auto"/>
              </w:rPr>
            </w:pPr>
            <w:r>
              <w:rPr>
                <w:rFonts w:ascii="Arial" w:cs="Arial" w:eastAsia="Arial" w:hAnsi="Arial"/>
                <w:sz w:val="14"/>
                <w:szCs w:val="14"/>
                <w:color w:val="auto"/>
              </w:rPr>
              <w:t>4.43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Lease Financing</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3,546.5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136.0</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3.84</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3,307.6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126.4</w:t>
            </w:r>
          </w:p>
        </w:tc>
        <w:tc>
          <w:tcPr>
            <w:tcW w:w="780" w:type="dxa"/>
            <w:vAlign w:val="bottom"/>
          </w:tcPr>
          <w:p>
            <w:pPr>
              <w:jc w:val="right"/>
              <w:spacing w:after="0"/>
              <w:rPr>
                <w:sz w:val="20"/>
                <w:szCs w:val="20"/>
                <w:color w:val="auto"/>
              </w:rPr>
            </w:pPr>
            <w:r>
              <w:rPr>
                <w:rFonts w:ascii="Arial" w:cs="Arial" w:eastAsia="Arial" w:hAnsi="Arial"/>
                <w:sz w:val="14"/>
                <w:szCs w:val="14"/>
                <w:color w:val="auto"/>
              </w:rPr>
              <w:t>3.82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3,037.0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120.6</w:t>
            </w:r>
          </w:p>
        </w:tc>
        <w:tc>
          <w:tcPr>
            <w:tcW w:w="780" w:type="dxa"/>
            <w:vAlign w:val="bottom"/>
          </w:tcPr>
          <w:p>
            <w:pPr>
              <w:jc w:val="right"/>
              <w:spacing w:after="0"/>
              <w:rPr>
                <w:sz w:val="20"/>
                <w:szCs w:val="20"/>
                <w:color w:val="auto"/>
              </w:rPr>
            </w:pPr>
            <w:r>
              <w:rPr>
                <w:rFonts w:ascii="Arial" w:cs="Arial" w:eastAsia="Arial" w:hAnsi="Arial"/>
                <w:sz w:val="14"/>
                <w:szCs w:val="14"/>
                <w:color w:val="auto"/>
              </w:rPr>
              <w:t>3.97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1,620.9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61.1</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1,467.7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53.2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1,211.9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591.1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23.2</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3.92</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486.5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23.2</w:t>
            </w:r>
          </w:p>
        </w:tc>
        <w:tc>
          <w:tcPr>
            <w:tcW w:w="780" w:type="dxa"/>
            <w:vAlign w:val="bottom"/>
          </w:tcPr>
          <w:p>
            <w:pPr>
              <w:jc w:val="right"/>
              <w:spacing w:after="0"/>
              <w:rPr>
                <w:sz w:val="20"/>
                <w:szCs w:val="20"/>
                <w:color w:val="auto"/>
              </w:rPr>
            </w:pPr>
            <w:r>
              <w:rPr>
                <w:rFonts w:ascii="Arial" w:cs="Arial" w:eastAsia="Arial" w:hAnsi="Arial"/>
                <w:sz w:val="14"/>
                <w:szCs w:val="14"/>
                <w:color w:val="auto"/>
              </w:rPr>
              <w:t>4.78</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416.8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21.5</w:t>
            </w:r>
          </w:p>
        </w:tc>
        <w:tc>
          <w:tcPr>
            <w:tcW w:w="780" w:type="dxa"/>
            <w:vAlign w:val="bottom"/>
          </w:tcPr>
          <w:p>
            <w:pPr>
              <w:jc w:val="right"/>
              <w:spacing w:after="0"/>
              <w:rPr>
                <w:sz w:val="20"/>
                <w:szCs w:val="20"/>
                <w:color w:val="auto"/>
              </w:rPr>
            </w:pPr>
            <w:r>
              <w:rPr>
                <w:rFonts w:ascii="Arial" w:cs="Arial" w:eastAsia="Arial" w:hAnsi="Arial"/>
                <w:sz w:val="14"/>
                <w:szCs w:val="14"/>
                <w:color w:val="auto"/>
              </w:rPr>
              <w:t>5.16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2</w:t>
            </w: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454.1</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35.6</w:t>
            </w:r>
          </w:p>
        </w:tc>
        <w:tc>
          <w:tcPr>
            <w:tcW w:w="3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4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400.8</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3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358.6</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2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Loans and Leases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10,043.7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410.2</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9,346.8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370.8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8,362.2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333.1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4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0.9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0.8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Earning Assets </w:t>
            </w:r>
            <w:r>
              <w:rPr>
                <w:rFonts w:ascii="Arial" w:cs="Arial" w:eastAsia="Arial" w:hAnsi="Arial"/>
                <w:sz w:val="22"/>
                <w:szCs w:val="22"/>
                <w:b w:val="1"/>
                <w:bCs w:val="1"/>
                <w:color w:val="auto"/>
                <w:vertAlign w:val="superscript"/>
              </w:rPr>
              <w:t>3</w:t>
            </w: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16,120.4</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555.3</w:t>
            </w:r>
          </w:p>
        </w:tc>
        <w:tc>
          <w:tcPr>
            <w:tcW w:w="3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4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9"/>
              </w:rPr>
              <w:t>16,028.3</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515.6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15,162.7</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469.9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Due from Banks</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609.0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562.2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533.7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16,971.0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9"/>
              </w:rPr>
              <w:t>16,749.2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15,825.4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Interest-Bearing Liabilities</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Interest-Bearing Deposits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Demand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2,958.8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w:t>
            </w: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2,871.7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2,757.6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3"/>
        </w:trPr>
        <w:tc>
          <w:tcPr>
            <w:tcW w:w="2880" w:type="dxa"/>
            <w:vAlign w:val="bottom"/>
          </w:tcPr>
          <w:p>
            <w:pPr>
              <w:ind w:left="280"/>
              <w:spacing w:after="0"/>
              <w:rPr>
                <w:sz w:val="20"/>
                <w:szCs w:val="20"/>
                <w:color w:val="auto"/>
              </w:rPr>
            </w:pPr>
            <w:r>
              <w:rPr>
                <w:rFonts w:ascii="Arial" w:cs="Arial" w:eastAsia="Arial" w:hAnsi="Arial"/>
                <w:sz w:val="14"/>
                <w:szCs w:val="14"/>
                <w:color w:val="auto"/>
              </w:rPr>
              <w:t>Savings</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5,434.3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13.6</w:t>
            </w:r>
          </w:p>
        </w:tc>
        <w:tc>
          <w:tcPr>
            <w:tcW w:w="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0.25</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5,388.5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6.7</w:t>
            </w:r>
          </w:p>
        </w:tc>
        <w:tc>
          <w:tcPr>
            <w:tcW w:w="780" w:type="dxa"/>
            <w:vAlign w:val="bottom"/>
          </w:tcPr>
          <w:p>
            <w:pPr>
              <w:jc w:val="right"/>
              <w:spacing w:after="0"/>
              <w:rPr>
                <w:sz w:val="20"/>
                <w:szCs w:val="20"/>
                <w:color w:val="auto"/>
              </w:rPr>
            </w:pPr>
            <w:r>
              <w:rPr>
                <w:rFonts w:ascii="Arial" w:cs="Arial" w:eastAsia="Arial" w:hAnsi="Arial"/>
                <w:sz w:val="14"/>
                <w:szCs w:val="14"/>
                <w:color w:val="auto"/>
              </w:rPr>
              <w:t>0.12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5,217.9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4.6</w:t>
            </w: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Time</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1,725.9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22.8</w:t>
            </w:r>
          </w:p>
        </w:tc>
        <w:tc>
          <w:tcPr>
            <w:tcW w:w="3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1,589.4</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13.9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0.88</w:t>
            </w:r>
          </w:p>
        </w:tc>
        <w:tc>
          <w:tcPr>
            <w:tcW w:w="3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1,254.9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Interest-Bearing Deposits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10,119.0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41.1</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9,849.6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9,230.4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0.8</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880" w:type="dxa"/>
            <w:vAlign w:val="bottom"/>
          </w:tcPr>
          <w:p>
            <w:pPr>
              <w:ind w:left="40"/>
              <w:spacing w:after="0"/>
              <w:rPr>
                <w:sz w:val="20"/>
                <w:szCs w:val="20"/>
                <w:color w:val="auto"/>
              </w:rPr>
            </w:pPr>
            <w:r>
              <w:rPr>
                <w:rFonts w:ascii="Arial" w:cs="Arial" w:eastAsia="Arial" w:hAnsi="Arial"/>
                <w:sz w:val="14"/>
                <w:szCs w:val="14"/>
                <w:color w:val="auto"/>
              </w:rPr>
              <w:t>Securities Sold Under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260"/>
              <w:spacing w:after="0"/>
              <w:rPr>
                <w:sz w:val="20"/>
                <w:szCs w:val="20"/>
                <w:color w:val="auto"/>
              </w:rPr>
            </w:pPr>
            <w:r>
              <w:rPr>
                <w:rFonts w:ascii="Arial" w:cs="Arial" w:eastAsia="Arial" w:hAnsi="Arial"/>
                <w:sz w:val="14"/>
                <w:szCs w:val="14"/>
                <w:color w:val="auto"/>
              </w:rPr>
              <w:t>Agreements to Repurchase</w:t>
            </w: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504.7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18.5</w:t>
            </w: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3.67</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507.0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19.6</w:t>
            </w:r>
          </w:p>
        </w:tc>
        <w:tc>
          <w:tcPr>
            <w:tcW w:w="780" w:type="dxa"/>
            <w:vAlign w:val="bottom"/>
          </w:tcPr>
          <w:p>
            <w:pPr>
              <w:jc w:val="right"/>
              <w:spacing w:after="0"/>
              <w:rPr>
                <w:sz w:val="20"/>
                <w:szCs w:val="20"/>
                <w:color w:val="auto"/>
              </w:rPr>
            </w:pPr>
            <w:r>
              <w:rPr>
                <w:rFonts w:ascii="Arial" w:cs="Arial" w:eastAsia="Arial" w:hAnsi="Arial"/>
                <w:sz w:val="14"/>
                <w:szCs w:val="14"/>
                <w:color w:val="auto"/>
              </w:rPr>
              <w:t>3.86</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569.8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23.4</w:t>
            </w:r>
          </w:p>
        </w:tc>
        <w:tc>
          <w:tcPr>
            <w:tcW w:w="780" w:type="dxa"/>
            <w:vAlign w:val="bottom"/>
          </w:tcPr>
          <w:p>
            <w:pPr>
              <w:jc w:val="right"/>
              <w:spacing w:after="0"/>
              <w:rPr>
                <w:sz w:val="20"/>
                <w:szCs w:val="20"/>
                <w:color w:val="auto"/>
              </w:rPr>
            </w:pPr>
            <w:r>
              <w:rPr>
                <w:rFonts w:ascii="Arial" w:cs="Arial" w:eastAsia="Arial" w:hAnsi="Arial"/>
                <w:sz w:val="14"/>
                <w:szCs w:val="14"/>
                <w:color w:val="auto"/>
              </w:rPr>
              <w:t>4.11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211.3</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3.4</w:t>
            </w:r>
          </w:p>
        </w:tc>
        <w:tc>
          <w:tcPr>
            <w:tcW w:w="3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4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267.9</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3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248.8</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Interest-Bearing Liabilities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10,870.5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63.8</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9"/>
              </w:rPr>
              <w:t>10,642.2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46.5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10,057.4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491.5</w:t>
            </w:r>
          </w:p>
        </w:tc>
        <w:tc>
          <w:tcPr>
            <w:tcW w:w="3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469.1</w:t>
            </w: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429.6</w:t>
            </w: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Interest Rate Spread</w:t>
            </w: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2.85</w:t>
            </w:r>
          </w:p>
        </w:tc>
        <w:tc>
          <w:tcPr>
            <w:tcW w:w="440" w:type="dxa"/>
            <w:vAlign w:val="bottom"/>
            <w:tcBorders>
              <w:top w:val="single" w:sz="8" w:color="CCEEFF"/>
              <w:bottom w:val="single" w:sz="8" w:color="CCEEFF"/>
            </w:tcBorders>
            <w:vMerge w:val="restart"/>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2.78</w:t>
            </w:r>
          </w:p>
        </w:tc>
        <w:tc>
          <w:tcPr>
            <w:tcW w:w="340" w:type="dxa"/>
            <w:vAlign w:val="bottom"/>
            <w:tcBorders>
              <w:top w:val="single" w:sz="8" w:color="CCEEFF"/>
              <w:bottom w:val="single" w:sz="8" w:color="CCEEFF"/>
            </w:tcBorders>
            <w:vMerge w:val="restart"/>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line="20" w:lineRule="exact"/>
              <w:rPr>
                <w:sz w:val="1"/>
                <w:szCs w:val="1"/>
                <w:color w:val="auto"/>
              </w:rPr>
            </w:pPr>
          </w:p>
        </w:tc>
      </w:tr>
      <w:tr>
        <w:trPr>
          <w:trHeight w:val="244"/>
        </w:trPr>
        <w:tc>
          <w:tcPr>
            <w:tcW w:w="2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Margin</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Noninterest-Bearing Demand Deposits</w:t>
            </w:r>
          </w:p>
        </w:tc>
        <w:tc>
          <w:tcPr>
            <w:tcW w:w="1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4,638.7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4,655.8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4,389.1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Shareholders’ Equity</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1,245.7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1,209.1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1,149.3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Total Liabilities and Shareholders’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16,971.0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9"/>
              </w:rPr>
              <w:t>16,749.2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9"/>
              </w:rPr>
              <w:t>15,825.4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right="260" w:hanging="172"/>
        <w:spacing w:after="0" w:line="239" w:lineRule="auto"/>
        <w:tabs>
          <w:tab w:leader="none" w:pos="180" w:val="left"/>
        </w:tabs>
        <w:numPr>
          <w:ilvl w:val="0"/>
          <w:numId w:val="19"/>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for 2018 and 35% for 2017 and 2016, of $5.2 million for 2018, $11.8 million for 2017, and $12.0 million for 2016.</w:t>
      </w:r>
    </w:p>
    <w:p>
      <w:pPr>
        <w:sectPr>
          <w:pgSz w:w="11900" w:h="16838" w:orient="portrait"/>
          <w:cols w:equalWidth="0" w:num="1">
            <w:col w:w="11420"/>
          </w:cols>
          <w:pgMar w:left="240" w:top="125" w:right="239" w:bottom="12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25"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w w:val="91"/>
              </w:rPr>
              <w:t>Analysis of Change in Net Interest Income – Taxable-Equivalent Basis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Table 2</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2018 Compared to 2017</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Arial" w:cs="Arial" w:eastAsia="Arial" w:hAnsi="Arial"/>
                <w:sz w:val="16"/>
                <w:szCs w:val="16"/>
                <w:b w:val="1"/>
                <w:bCs w:val="1"/>
                <w:color w:val="auto"/>
              </w:rPr>
              <w:t>2017 Compared to 2016</w:t>
            </w:r>
          </w:p>
        </w:tc>
        <w:tc>
          <w:tcPr>
            <w:tcW w:w="64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(dollars in millions)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 xml:space="preserve">Volume </w:t>
            </w:r>
            <w:r>
              <w:rPr>
                <w:rFonts w:ascii="Arial" w:cs="Arial" w:eastAsia="Arial" w:hAnsi="Arial"/>
                <w:sz w:val="21"/>
                <w:szCs w:val="21"/>
                <w:b w:val="1"/>
                <w:bCs w:val="1"/>
                <w:color w:val="auto"/>
                <w:w w:val="99"/>
                <w:vertAlign w:val="superscript"/>
              </w:rPr>
              <w:t>1</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 xml:space="preserve">Volume </w:t>
            </w:r>
            <w:r>
              <w:rPr>
                <w:rFonts w:ascii="Arial" w:cs="Arial" w:eastAsia="Arial" w:hAnsi="Arial"/>
                <w:sz w:val="21"/>
                <w:szCs w:val="21"/>
                <w:b w:val="1"/>
                <w:bCs w:val="1"/>
                <w:color w:val="auto"/>
                <w:w w:val="99"/>
                <w:vertAlign w:val="superscript"/>
              </w:rPr>
              <w:t>1</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Available-for-Sale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Taxable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37"/>
        </w:trPr>
        <w:tc>
          <w:tcPr>
            <w:tcW w:w="4920" w:type="dxa"/>
            <w:vAlign w:val="bottom"/>
          </w:tcPr>
          <w:p>
            <w:pPr>
              <w:ind w:left="400"/>
              <w:spacing w:after="0"/>
              <w:rPr>
                <w:sz w:val="20"/>
                <w:szCs w:val="20"/>
                <w:color w:val="auto"/>
              </w:rPr>
            </w:pPr>
            <w:r>
              <w:rPr>
                <w:rFonts w:ascii="Arial" w:cs="Arial" w:eastAsia="Arial" w:hAnsi="Arial"/>
                <w:sz w:val="16"/>
                <w:szCs w:val="16"/>
                <w:color w:val="auto"/>
              </w:rPr>
              <w:t>Non-Taxable</w:t>
            </w: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Held-to-Maturity</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0"/>
              <w:spacing w:after="0"/>
              <w:rPr>
                <w:sz w:val="20"/>
                <w:szCs w:val="20"/>
                <w:color w:val="auto"/>
              </w:rPr>
            </w:pPr>
            <w:r>
              <w:rPr>
                <w:rFonts w:ascii="Arial" w:cs="Arial" w:eastAsia="Arial" w:hAnsi="Arial"/>
                <w:sz w:val="16"/>
                <w:szCs w:val="16"/>
                <w:color w:val="auto"/>
              </w:rPr>
              <w:t>Taxable</w:t>
            </w: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6.6</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Non-Taxable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8.8</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0.5</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Commercial Mortgage</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Commercial Lease Financing</w:t>
            </w: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w:t>
            </w: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4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0.4</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22.0</w:t>
            </w: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r>
      <w:tr>
        <w:trPr>
          <w:trHeight w:val="277"/>
        </w:trPr>
        <w:tc>
          <w:tcPr>
            <w:tcW w:w="4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Demand</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Savings</w:t>
            </w:r>
          </w:p>
        </w:tc>
        <w:tc>
          <w:tcPr>
            <w:tcW w:w="2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4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17.3</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7.2</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1"/>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0.8</w:t>
            </w: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16.5</w:t>
            </w: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interest income was $486.4 million in 2018, an increase of $29.1 million or 6% compared to 2017. On a taxable-equivalent basis, net interest income was $491.5 million in 2018, an increase of $22.4 million or 5% compared to 2017. This increase was primarily due to a higher level of earning assets, including growth in both our commercial and consumer lending portfolios, and higher net interest margin. The higher level of earning assets was primarily funded by higher deposit balances. Net interest margin was 3.05% in 2018, a 12 basis point increase from 2017, primarily due to our loans, which generally have higher yields than our investment securities, comprising a larger percentage of our earning assets compared to 2017. In addition, yields increased for our commercial loans and investment portfolio. Yields on our loan portfolios increased primarily due to higher yields on floating rate loans.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Yields on our earning assets increased by 22 basis points in 2018 compared to 2017 primarily due to the shift in the mix of our earning assets from investment securities to loans, which generally have higher yields. Yields on our commercial and industrial and commercial mortgage portfolios increased by 46 basis points and 31 basis points, respectively, primarily due to higher yields on floating rate loans. In addition, yields on our investment securities portfolio increased by 14 basis points primarily due to the higher interest rate environment and lower premium amortization. These yield increases were partially offset by an 86 basis point decrease in yield for our automobile loans portfolio.</w:t>
      </w:r>
    </w:p>
    <w:p>
      <w:pPr>
        <w:spacing w:after="0" w:line="1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Interest rates paid on our interest-bearing liabilities increased 15 basis points in 2018 compared to 2017. Increases to our funding costs were primarily due to higher rates paid on our interest-bearing deposits, a reflection of the higher rate environment. The increase in our funding costs was partially offset by a lower average balance of our public time deposits which decreased by $209.2 million. Interest rates paid on our securities sold under agreements to repurchase decreased by 19 basis points from 2017 primarily due to the restructuring of three repurchase agreements with private institutions with an aggregate total of $200.0 million. These repurchase agreements had a weighted-average interest rate of 3.94%. The restructuring of the agreements extended the maturity dates to June 2022 and lowered the weighted-average interest rate to 2.70% effective June 2017.</w:t>
      </w:r>
    </w:p>
    <w:p>
      <w:pPr>
        <w:spacing w:after="0" w:line="13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Average balances of our earning assets increased by $92.1 million or 1% in 2018 compared to 2017 primarily due to loan growth as the average balances of our loans and leases portfolio increased by $696.9 million. Offsetting this increase in the average balance of our loans and leases portfolio were a $371.5 million decrease in the average balance of investment securities and a $223.0 million decrease in the average balance of funds sold. The average balance of our residential mortgage portfolio increased by $238.9 million primarily due to a relatively constant level of loan originations combined with a slowdown in payoff activity. The average balance of our commercial mortgage portfolio increased by $187.5 million primarily due to continued demand from new and existing customers as a result of healthy Hawaii economy. The average balance of our home equity portfolio increased by $153.2 million as a result of continued loan demand in light of a healthy Hawaii economy and stable real estate market conditions. Additionally, utilization on new and existing home equity lines was strong during 2018.</w:t>
      </w:r>
    </w:p>
    <w:p>
      <w:pPr>
        <w:spacing w:after="0" w:line="13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Average balances of our interest-bearing liabilities increased by $228.3 million or 2% in 2018 compared to 2017 primarily due to growth in our consumer and commercial time deposits, along with continued growth in our relationship checking and savings products, offset by the aforementioned lower average balance in our public time deposits. Average balances in our time deposits and core deposits increased by $136.5 million and $132.9 million, respectively.</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interest income was $457.2 million in 2017, an increase of $39.7 million or 9% compared to 2016. On a taxable-equivalent basis, net interest income was $469.1 million in 2017, an increase of $39.5 million or 9% compared to 2016. This increase was primarily due to a higher level of earning assets, including growth in both our commercial and consumer lending portfolios, and higher net interest margin. The higher level of earning assets was primarily funded by higher deposit balances. Net interest margin was 2.93% in 2017, a 10 basis point increase from 2016, primarily due to our loans, which generally have higher yields than our investment securities, comprising a larger percentage of our earning assets compared to 2016. In addition, yields increased for our commercial loans and investment portfolio. Yields on our loan portfolios increased primarily due to higher yields on floating rate loans. This was partially offset by an increase in rates offered on our deposit products.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Yields on our earning assets increased by 12 basis points in 2017 compared to 2016 primarily due to the shift in the mix of our earning assets from funds sold to loans which generally have higher yields. Yields on our commercial and industrial and commercial mortgage portfolios increased by 10 basis points and 11 basis points, respectively, primarily due to higher yields on floating rate loans. In addition, yields on our investment securities portfolio increased by 10 basis points primarily due to the higher interest rate environment and lower premium amortization. These yield increases were partially offset by a 15 basis point yield decrease in our residential mortgage loan portfolio, primarily due to continued payoff activity of higher-rate mortgage loans and the addition of lower-rate mortgage loans to our portfolio.</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rates paid on our interest-bearing liabilities increased four basis points in 2017 compared to 2016. Interest rates paid on our time deposits increased by 31 basis points due to new public time deposits at higher rates. Interest rates paid on our securities sold under agreements to repurchase decreased by 25 basis points from 2016 due to the restructuring of three repurchase agreements with private institutions with an aggregate total of $200.0 million during the second quarter of 2017. These repurchase agreements were to mature in 2018 and had a weighted-average interest rate of 3.94%. The restructuring of the agreements extended the maturity dates to June 2022 and lowered the weighted-average interest rate to 2.70% effective June 2017. The remaining balance in our repurchase agreements consists mainly of those with private entities which have relatively longer terms at higher interest rates. The increases to our funding costs were largely offset by growth in our demand and savings deposits, which generally have lower rates than other funding sources. The average balance of these core deposits increased by $284.7 million or 4% in 2017 compared to 2016.</w:t>
      </w:r>
    </w:p>
    <w:p>
      <w:pPr>
        <w:spacing w:after="0" w:line="13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Average balances of our earning assets increased by $865.6 million or 6% in 2017 compared to 2016 primarily due to loan growth as the average balances of our loans and leases portfolio increased by $984.6 million. The average balance of our commercial and industrial portfolio increased by $82.9 million due to increase in corporate demand for funding. The average balance of our commercial mortgage portfolio increased by $241.9 million as a result of continued demand from new and existing customers as the Hawaii economy continued to be strong coupled with the transfer of construction loans into this loan portfolio upon project completion. The average balance of our residential mortgage portfolio increased by $270.6 million primarily due to a relatively constant level of loan originations combined with a slowdown in payoff activity. The average balance of our home equity portfolio increased by $255.8 million as a result of healthy loan demand in light of a strong Hawaii economy and improved real estate market conditions. Additionally, utilization on new and existing home equity lines remained steady during 2017. In addition to the increase in the average balances of our loan and lease portfolio, there was a $63.0 million increase in the average balance of our investment securities portfolio in 2017.</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Average balances of our interest-bearing liabilities increased by $584.8 million or 6% in 2017 compared to 2016 primarily due to growth in our time deposits, along with continued growth in our relationship checking and savings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provision for credit losses (the “Provision”) reflects our judgment of the expense or benefit necessary to achieve the appropriate amount of the Allowance. We maintain the Allowance at levels adequate to cover our estimate of probable credit losses as of the end of the reporting period. The Allowance is determined through detailed quarterly analyses of our loan and lease portfolio. The Allowance is based on our loss experience and changes in the economic environment, as well as an ongoing assessment of our credit quality. We recorded a Provision of $13.4 million in 2018, $16.9 million in 2017, and $4.8 million in 2016. For further discussion on the Allowance, see the “Corporate Risk Profile – Credit Risk” section in MD&amp;A.</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96"/>
        </w:trPr>
        <w:tc>
          <w:tcPr>
            <w:tcW w:w="3580" w:type="dxa"/>
            <w:vAlign w:val="bottom"/>
            <w:gridSpan w:val="2"/>
          </w:tcPr>
          <w:p>
            <w:pPr>
              <w:spacing w:after="0"/>
              <w:rPr>
                <w:sz w:val="20"/>
                <w:szCs w:val="20"/>
                <w:color w:val="auto"/>
              </w:rPr>
            </w:pPr>
            <w:r>
              <w:rPr>
                <w:rFonts w:ascii="Arial" w:cs="Arial" w:eastAsia="Arial" w:hAnsi="Arial"/>
                <w:sz w:val="18"/>
                <w:szCs w:val="18"/>
                <w:i w:val="1"/>
                <w:iCs w:val="1"/>
                <w:color w:val="auto"/>
              </w:rPr>
              <w:t>Noninterest Income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7040" w:type="dxa"/>
            <w:vAlign w:val="bottom"/>
            <w:gridSpan w:val="9"/>
          </w:tcPr>
          <w:p>
            <w:pPr>
              <w:spacing w:after="0"/>
              <w:rPr>
                <w:sz w:val="20"/>
                <w:szCs w:val="20"/>
                <w:color w:val="auto"/>
              </w:rPr>
            </w:pPr>
            <w:r>
              <w:rPr>
                <w:rFonts w:ascii="Arial" w:cs="Arial" w:eastAsia="Arial" w:hAnsi="Arial"/>
                <w:sz w:val="18"/>
                <w:szCs w:val="18"/>
                <w:color w:val="auto"/>
                <w:w w:val="99"/>
              </w:rPr>
              <w:t>Table 3 presents the major components of noninterest income for 2018, 2017, and 2016.</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Table 3</w:t>
            </w:r>
          </w:p>
        </w:tc>
      </w:tr>
      <w:tr>
        <w:trPr>
          <w:trHeight w:val="27"/>
        </w:trPr>
        <w:tc>
          <w:tcPr>
            <w:tcW w:w="1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4"/>
          </w:tcPr>
          <w:p>
            <w:pPr>
              <w:ind w:left="320"/>
              <w:spacing w:after="0"/>
              <w:rPr>
                <w:sz w:val="20"/>
                <w:szCs w:val="20"/>
                <w:color w:val="auto"/>
              </w:rPr>
            </w:pPr>
            <w:r>
              <w:rPr>
                <w:rFonts w:ascii="Arial" w:cs="Arial" w:eastAsia="Arial" w:hAnsi="Arial"/>
                <w:sz w:val="16"/>
                <w:szCs w:val="16"/>
                <w:b w:val="1"/>
                <w:bCs w:val="1"/>
                <w:color w:val="auto"/>
              </w:rPr>
              <w:t>Dollar Change</w:t>
            </w:r>
          </w:p>
        </w:tc>
        <w:tc>
          <w:tcPr>
            <w:tcW w:w="21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Percent Change</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1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r>
      <w:tr>
        <w:trPr>
          <w:trHeight w:val="237"/>
        </w:trPr>
        <w:tc>
          <w:tcPr>
            <w:tcW w:w="3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 2017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 2016</w:t>
            </w: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 2017</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 2016</w:t>
            </w: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Trust and Asset Management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43,877</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45,430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Mortgage Banking</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8,437</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12,949</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19,895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(4,512)</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(6,946)</w:t>
            </w:r>
          </w:p>
        </w:tc>
        <w:tc>
          <w:tcPr>
            <w:tcW w:w="10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(35)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Service Charges on Deposit Accounts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28,811</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32,575</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57,482</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54,845</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55,176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2,637</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Securities Gains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(3,938)</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10,430</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(14,368)</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(138)</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Annuity and Insurance</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5,822</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6,858</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(1,036)</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color w:val="auto"/>
              </w:rPr>
              <w:t>(15)</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33"/>
        </w:trPr>
        <w:tc>
          <w:tcPr>
            <w:tcW w:w="1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7,199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6,517</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10</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37"/>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21,233</w:t>
            </w: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15,813</w:t>
            </w:r>
          </w:p>
        </w:tc>
        <w:tc>
          <w:tcPr>
            <w:tcW w:w="4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18,634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5,420</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(2,821)</w:t>
            </w:r>
          </w:p>
        </w:tc>
        <w:tc>
          <w:tcPr>
            <w:tcW w:w="100" w:type="dxa"/>
            <w:vAlign w:val="bottom"/>
          </w:tcPr>
          <w:p>
            <w:pPr>
              <w:spacing w:after="0"/>
              <w:rPr>
                <w:sz w:val="20"/>
                <w:szCs w:val="20"/>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34</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33"/>
        </w:trPr>
        <w:tc>
          <w:tcPr>
            <w:tcW w:w="1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168,923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185,417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197,343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(16,494)</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(11,926)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that we manage and the fee rate charged to customers. Total trust assets under administration were $9.4 billion, $9.3 billion, and $8.8 billion as of December 31, 2018, 2017, and 2016, respectively. Trust and asset management income decreased by $1.6 million or 3% in 2018 compared to 2017 due to a decrease in special service fees ($0.6 million), employee benefit trust fees ($0.5 million), and other trust fees ($0.3 million) primarily due to a decline in the number of customer accounts under administration. Trust and asset management income decreased by $0.8 million or 2% in 2017 compared to 2016 primarily due to a $1.2 million decrease in special service fees mainly the result of a service fee received from the sale of real estate in second quarter of 2016. This increase was partially offset by a $0.7 million increase in agency fees primarily due to an increase in market value of accounts.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decreased by $4.5 million or 35% in 2018 compared to 2017. This decrease was primarily due to reduced sales of conforming saleable loans from current production. There were no sales from our mortgage loan portfolio in 2018. Mortgage banking income decreased by $6.9 million or 35% in 2017 compared to 2016. This decrease was primarily due to reduced sales and margins on sales of conforming saleable loans from current production and from our mortgage loan portfolio.</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Service charges on deposit accounts decreased by $3.8 million or 12% in 2018 compared to 2017. This decrease was primarily due to a $2.3 million decrease in account analysis fees and a $1.7 million decrease in overdraft fees, partially offset by an increase in other service and monthly fees. Service charges on deposit accounts decreased by $1.1 million or 3% in 2017 compared to 2016. This decrease was primarily due to a $0.8 million decrease in overdraft fees due in part to higher customer deposit balances and a $0.7 decrease in account analysis fees.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Fees, exchange, and other service charges are primarily comprised of debit and credit card income, fees from ATMs, merchant service activity, and other loan fees and special charges. Fees, exchange, and other service charges increased by $2.6 million or 5% primarily due to $2.3 million increase in merchant income, which was recorded as a reduction of other noninterest expense in 2017. This accounting change was related to the 2018 adoption of the new revenue recognition accounting guidance. Fees, exchange, and other service charges decreased $0.3 million or 1% in 2017 compared to 2016 primarily due to decreases in other loan fees ($0.8 million) and ATM fees ($0.5 million), largely offset by a $0.9 million increase in debit card fees primarily due to increased transaction volume.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8"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gains (losses) on sales of investment securities totaled $(3.9) million, $10.4 million, and $10.2 million, in 2018, 2017, and 2016, respectively. The net loss in 2018 was primarily due to fees paid to the counterparties of our prior Visa Class B share sale transactions. In addition, in June 2018, Visa announced a reduction of the conversion ratio of its Class B shares from 1.6483 to 1.6298 effective June 28, 2018. As a result, the Company recorded a $1.0 million liability in June 2018, which was paid to previous buyers of our Visa Class B shares in July 2018. The net gains in 2017 and 2016 were due to gains on the sale of 90,000 and 100,000 Visa Class B restricted shares in 2017 and 2016, respectively.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Concurrent with the sale of these Visa Class B shares, we entered into an agreement with the buyer that requires payment to the buyer in the event Visa further reduces the conversion ratio. Based on the existing transfer restriction and the uncertainty of the covered litigation, the remaining 83,014 Visa Class B shares (135,296 Class A equivalent shares) that we own are carried at a zero cost basis as of December 31, 2018. We also contributed to the Bank of Hawaii Foundation 3,600, 4,300, and 7,800, Visa Class B shares during 2018, 2017, and 2016, respectively.</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Annuity and insurance income decreased by $1.0 million or 15% in 2018 compared to 2017 primarily due to a $0.7 million decrease in income related to our annuity products. Annuity and insurance income decreased by $0.2 million or 2% in 2017 compared to 2016 primarily due to a decrease in income related to our annuity products.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Bank-owned life insurance increased by $0.7 million or 10% in 2018 compared to 2017 primarily due to death benefits received. Bank-owned life insurance remained relatively unchanged in 2017 compared to 2016.</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noninterest income increased by $5.4 million or 34% in 2018 compared to 2017 primarily due to a distribution received in the first quarter of 2018 from a low-income housing investment sale totaling $2.8 million combined with a $1.1 million increase in fees from our customer interest rate swap derivatives and a $0.8 million increase in net gain on sale of leased assets. Other noninterest income decreased by $2.8 million or 15% in 2017 compared to 2016. This decrease was primarily due to a $2.3 million decrease in fees from our customer interest rate swap derivatives, and a $0.9 million decrease in net gain on sale of leased assets.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96"/>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Noninterest Expense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6580" w:type="dxa"/>
            <w:vAlign w:val="bottom"/>
            <w:gridSpan w:val="7"/>
          </w:tcPr>
          <w:p>
            <w:pPr>
              <w:spacing w:after="0"/>
              <w:rPr>
                <w:sz w:val="20"/>
                <w:szCs w:val="20"/>
                <w:color w:val="auto"/>
              </w:rPr>
            </w:pPr>
            <w:r>
              <w:rPr>
                <w:rFonts w:ascii="Arial" w:cs="Arial" w:eastAsia="Arial" w:hAnsi="Arial"/>
                <w:sz w:val="18"/>
                <w:szCs w:val="18"/>
                <w:color w:val="auto"/>
                <w:w w:val="91"/>
              </w:rPr>
              <w:t>Table 4 presents the major components of noninterest expense for 2018, 2017, and 2016.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39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Noninterest Expense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07"/>
              <w:spacing w:after="0"/>
              <w:rPr>
                <w:sz w:val="20"/>
                <w:szCs w:val="20"/>
                <w:color w:val="auto"/>
              </w:rPr>
            </w:pPr>
            <w:r>
              <w:rPr>
                <w:rFonts w:ascii="Arial" w:cs="Arial" w:eastAsia="Arial" w:hAnsi="Arial"/>
                <w:sz w:val="18"/>
                <w:szCs w:val="18"/>
                <w:b w:val="1"/>
                <w:bCs w:val="1"/>
                <w:color w:val="auto"/>
              </w:rPr>
              <w:t>Table 4</w:t>
            </w:r>
          </w:p>
        </w:tc>
      </w:tr>
      <w:tr>
        <w:trPr>
          <w:trHeight w:val="27"/>
        </w:trPr>
        <w:tc>
          <w:tcPr>
            <w:tcW w:w="1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4"/>
          </w:tcPr>
          <w:p>
            <w:pPr>
              <w:ind w:left="260"/>
              <w:spacing w:after="0"/>
              <w:rPr>
                <w:sz w:val="20"/>
                <w:szCs w:val="20"/>
                <w:color w:val="auto"/>
              </w:rPr>
            </w:pPr>
            <w:r>
              <w:rPr>
                <w:rFonts w:ascii="Arial" w:cs="Arial" w:eastAsia="Arial" w:hAnsi="Arial"/>
                <w:sz w:val="16"/>
                <w:szCs w:val="16"/>
                <w:b w:val="1"/>
                <w:bCs w:val="1"/>
                <w:color w:val="auto"/>
              </w:rPr>
              <w:t>Dollar Change</w:t>
            </w:r>
          </w:p>
        </w:tc>
        <w:tc>
          <w:tcPr>
            <w:tcW w:w="2080" w:type="dxa"/>
            <w:vAlign w:val="bottom"/>
            <w:gridSpan w:val="2"/>
          </w:tcPr>
          <w:p>
            <w:pPr>
              <w:jc w:val="right"/>
              <w:ind w:right="407"/>
              <w:spacing w:after="0"/>
              <w:rPr>
                <w:sz w:val="20"/>
                <w:szCs w:val="20"/>
                <w:color w:val="auto"/>
              </w:rPr>
            </w:pPr>
            <w:r>
              <w:rPr>
                <w:rFonts w:ascii="Arial" w:cs="Arial" w:eastAsia="Arial" w:hAnsi="Arial"/>
                <w:sz w:val="16"/>
                <w:szCs w:val="16"/>
                <w:b w:val="1"/>
                <w:bCs w:val="1"/>
                <w:color w:val="auto"/>
              </w:rPr>
              <w:t>Percent Change</w:t>
            </w:r>
          </w:p>
        </w:tc>
      </w:tr>
      <w:tr>
        <w:trPr>
          <w:trHeight w:val="33"/>
        </w:trPr>
        <w:tc>
          <w:tcPr>
            <w:tcW w:w="1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1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700" w:type="dxa"/>
            <w:vAlign w:val="bottom"/>
          </w:tcPr>
          <w:p>
            <w:pPr>
              <w:jc w:val="right"/>
              <w:ind w:right="47"/>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140" w:type="dxa"/>
            <w:vAlign w:val="bottom"/>
          </w:tcPr>
          <w:p>
            <w:pPr>
              <w:jc w:val="right"/>
              <w:ind w:right="267"/>
              <w:spacing w:after="0"/>
              <w:rPr>
                <w:sz w:val="20"/>
                <w:szCs w:val="20"/>
                <w:color w:val="auto"/>
              </w:rPr>
            </w:pPr>
            <w:r>
              <w:rPr>
                <w:rFonts w:ascii="Arial" w:cs="Arial" w:eastAsia="Arial" w:hAnsi="Arial"/>
                <w:sz w:val="16"/>
                <w:szCs w:val="16"/>
                <w:b w:val="1"/>
                <w:bCs w:val="1"/>
                <w:color w:val="auto"/>
              </w:rPr>
              <w:t>2018</w:t>
            </w:r>
          </w:p>
        </w:tc>
        <w:tc>
          <w:tcPr>
            <w:tcW w:w="940" w:type="dxa"/>
            <w:vAlign w:val="bottom"/>
          </w:tcPr>
          <w:p>
            <w:pPr>
              <w:jc w:val="right"/>
              <w:ind w:right="107"/>
              <w:spacing w:after="0"/>
              <w:rPr>
                <w:sz w:val="20"/>
                <w:szCs w:val="20"/>
                <w:color w:val="auto"/>
              </w:rPr>
            </w:pPr>
            <w:r>
              <w:rPr>
                <w:rFonts w:ascii="Arial" w:cs="Arial" w:eastAsia="Arial" w:hAnsi="Arial"/>
                <w:sz w:val="16"/>
                <w:szCs w:val="16"/>
                <w:b w:val="1"/>
                <w:bCs w:val="1"/>
                <w:color w:val="auto"/>
              </w:rPr>
              <w:t>2017</w:t>
            </w:r>
          </w:p>
        </w:tc>
      </w:tr>
      <w:tr>
        <w:trPr>
          <w:trHeight w:val="237"/>
        </w:trPr>
        <w:tc>
          <w:tcPr>
            <w:tcW w:w="3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94"/>
              </w:rPr>
              <w:t>to 2017</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to 2016</w:t>
            </w:r>
          </w:p>
        </w:tc>
        <w:tc>
          <w:tcPr>
            <w:tcW w:w="11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to 2017</w:t>
            </w: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to 2016</w:t>
            </w:r>
          </w:p>
        </w:tc>
      </w:tr>
      <w:tr>
        <w:trPr>
          <w:trHeight w:val="270"/>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Salaries and Benefits:</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Salaries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132,884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122,334</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116,721</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10,550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5,613</w:t>
            </w:r>
          </w:p>
        </w:tc>
        <w:tc>
          <w:tcPr>
            <w:tcW w:w="10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Arial" w:cs="Arial" w:eastAsia="Arial" w:hAnsi="Arial"/>
                <w:sz w:val="14"/>
                <w:szCs w:val="14"/>
                <w:color w:val="auto"/>
              </w:rPr>
              <w:t>9 %</w:t>
            </w:r>
          </w:p>
        </w:tc>
        <w:tc>
          <w:tcPr>
            <w:tcW w:w="94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76"/>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Incentive Compensation</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20,687</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22,834</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23,409</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(2,147)</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4"/>
                <w:szCs w:val="14"/>
                <w:color w:val="auto"/>
              </w:rPr>
              <w:t>(9)</w:t>
            </w: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8,074</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10,184</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12,150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(2,110)</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22"/>
                <w:szCs w:val="22"/>
                <w:color w:val="auto"/>
              </w:rPr>
            </w:pPr>
          </w:p>
        </w:tc>
        <w:tc>
          <w:tcPr>
            <w:tcW w:w="1140" w:type="dxa"/>
            <w:vAlign w:val="bottom"/>
          </w:tcPr>
          <w:p>
            <w:pPr>
              <w:jc w:val="right"/>
              <w:ind w:right="227"/>
              <w:spacing w:after="0"/>
              <w:rPr>
                <w:sz w:val="20"/>
                <w:szCs w:val="20"/>
                <w:color w:val="auto"/>
              </w:rPr>
            </w:pPr>
            <w:r>
              <w:rPr>
                <w:rFonts w:ascii="Arial" w:cs="Arial" w:eastAsia="Arial" w:hAnsi="Arial"/>
                <w:sz w:val="14"/>
                <w:szCs w:val="14"/>
                <w:color w:val="auto"/>
              </w:rPr>
              <w:t>(21)</w:t>
            </w:r>
          </w:p>
        </w:tc>
        <w:tc>
          <w:tcPr>
            <w:tcW w:w="940" w:type="dxa"/>
            <w:vAlign w:val="bottom"/>
          </w:tcPr>
          <w:p>
            <w:pPr>
              <w:jc w:val="right"/>
              <w:ind w:right="67"/>
              <w:spacing w:after="0"/>
              <w:rPr>
                <w:sz w:val="20"/>
                <w:szCs w:val="20"/>
                <w:color w:val="auto"/>
              </w:rPr>
            </w:pPr>
            <w:r>
              <w:rPr>
                <w:rFonts w:ascii="Arial" w:cs="Arial" w:eastAsia="Arial" w:hAnsi="Arial"/>
                <w:sz w:val="14"/>
                <w:szCs w:val="14"/>
                <w:color w:val="auto"/>
              </w:rPr>
              <w:t>(16)</w:t>
            </w:r>
          </w:p>
        </w:tc>
      </w:tr>
      <w:tr>
        <w:trPr>
          <w:trHeight w:val="276"/>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Commission Expense</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4,418</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6,493</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7,514</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(2,075)</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4"/>
                <w:szCs w:val="14"/>
                <w:color w:val="auto"/>
              </w:rPr>
              <w:t>(32)</w:t>
            </w: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(14)</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 xml:space="preserve">Retirement and Other Benefits </w:t>
            </w:r>
            <w:r>
              <w:rPr>
                <w:rFonts w:ascii="Arial" w:cs="Arial" w:eastAsia="Arial" w:hAnsi="Arial"/>
                <w:sz w:val="8"/>
                <w:szCs w:val="8"/>
                <w:color w:val="auto"/>
              </w:rPr>
              <w:t>1</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17,313</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16,347</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15,465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966</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6</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6</w:t>
            </w:r>
          </w:p>
        </w:tc>
      </w:tr>
      <w:tr>
        <w:trPr>
          <w:trHeight w:val="276"/>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Payroll Taxes</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11,389</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11,025</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10,133</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364</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7"/>
              <w:spacing w:after="0"/>
              <w:rPr>
                <w:sz w:val="20"/>
                <w:szCs w:val="20"/>
                <w:color w:val="auto"/>
              </w:rPr>
            </w:pPr>
            <w:r>
              <w:rPr>
                <w:rFonts w:ascii="Arial" w:cs="Arial" w:eastAsia="Arial" w:hAnsi="Arial"/>
                <w:sz w:val="14"/>
                <w:szCs w:val="14"/>
                <w:color w:val="auto"/>
              </w:rPr>
              <w:t>3</w:t>
            </w:r>
          </w:p>
        </w:tc>
        <w:tc>
          <w:tcPr>
            <w:tcW w:w="94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9</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Medical, Dental, and Life Insurance</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16,134</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12,362</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13,038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3,772</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31</w:t>
            </w:r>
          </w:p>
        </w:tc>
        <w:tc>
          <w:tcPr>
            <w:tcW w:w="940" w:type="dxa"/>
            <w:vAlign w:val="bottom"/>
          </w:tcPr>
          <w:p>
            <w:pPr>
              <w:jc w:val="right"/>
              <w:ind w:right="67"/>
              <w:spacing w:after="0"/>
              <w:rPr>
                <w:sz w:val="20"/>
                <w:szCs w:val="20"/>
                <w:color w:val="auto"/>
              </w:rPr>
            </w:pPr>
            <w:r>
              <w:rPr>
                <w:rFonts w:ascii="Arial" w:cs="Arial" w:eastAsia="Arial" w:hAnsi="Arial"/>
                <w:sz w:val="14"/>
                <w:szCs w:val="14"/>
                <w:color w:val="auto"/>
              </w:rPr>
              <w:t>(5)</w:t>
            </w:r>
          </w:p>
        </w:tc>
      </w:tr>
      <w:tr>
        <w:trPr>
          <w:trHeight w:val="270"/>
        </w:trPr>
        <w:tc>
          <w:tcPr>
            <w:tcW w:w="39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Separation Expense</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2,309</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2,150</w:t>
            </w:r>
          </w:p>
        </w:tc>
        <w:tc>
          <w:tcPr>
            <w:tcW w:w="4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923</w:t>
            </w:r>
          </w:p>
        </w:tc>
        <w:tc>
          <w:tcPr>
            <w:tcW w:w="2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159</w:t>
            </w: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1,227</w:t>
            </w: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4"/>
                <w:szCs w:val="14"/>
                <w:color w:val="auto"/>
              </w:rPr>
              <w:t>7</w:t>
            </w:r>
          </w:p>
        </w:tc>
        <w:tc>
          <w:tcPr>
            <w:tcW w:w="94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133</w:t>
            </w:r>
          </w:p>
        </w:tc>
      </w:tr>
      <w:tr>
        <w:trPr>
          <w:trHeight w:val="264"/>
        </w:trPr>
        <w:tc>
          <w:tcPr>
            <w:tcW w:w="3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 Salaries and Benefits</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213,208</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203,729</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199,353</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9,479</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4,376</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w:t>
            </w:r>
          </w:p>
        </w:tc>
      </w:tr>
      <w:tr>
        <w:trPr>
          <w:trHeight w:val="270"/>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Occupancy</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34,742</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32,536</w:t>
            </w:r>
          </w:p>
        </w:tc>
        <w:tc>
          <w:tcPr>
            <w:tcW w:w="4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30,252</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2,206</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67"/>
              <w:spacing w:after="0"/>
              <w:rPr>
                <w:sz w:val="20"/>
                <w:szCs w:val="20"/>
                <w:color w:val="auto"/>
              </w:rPr>
            </w:pPr>
            <w:r>
              <w:rPr>
                <w:rFonts w:ascii="Arial" w:cs="Arial" w:eastAsia="Arial" w:hAnsi="Arial"/>
                <w:sz w:val="14"/>
                <w:szCs w:val="14"/>
                <w:color w:val="auto"/>
              </w:rPr>
              <w:t>7</w:t>
            </w:r>
          </w:p>
        </w:tc>
        <w:tc>
          <w:tcPr>
            <w:tcW w:w="94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8</w:t>
            </w:r>
          </w:p>
        </w:tc>
      </w:tr>
      <w:tr>
        <w:trPr>
          <w:trHeight w:val="264"/>
        </w:trPr>
        <w:tc>
          <w:tcPr>
            <w:tcW w:w="3980" w:type="dxa"/>
            <w:vAlign w:val="bottom"/>
            <w:gridSpan w:val="2"/>
          </w:tcPr>
          <w:p>
            <w:pPr>
              <w:ind w:left="40"/>
              <w:spacing w:after="0"/>
              <w:rPr>
                <w:sz w:val="20"/>
                <w:szCs w:val="20"/>
                <w:color w:val="auto"/>
              </w:rPr>
            </w:pPr>
            <w:r>
              <w:rPr>
                <w:rFonts w:ascii="Arial" w:cs="Arial" w:eastAsia="Arial" w:hAnsi="Arial"/>
                <w:sz w:val="14"/>
                <w:szCs w:val="14"/>
                <w:color w:val="auto"/>
              </w:rPr>
              <w:t>Net Equipment</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23,852</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22,078</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20,578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1,774</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8</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7</w:t>
            </w:r>
          </w:p>
        </w:tc>
      </w:tr>
      <w:tr>
        <w:trPr>
          <w:trHeight w:val="276"/>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Data Processing</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17,846</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15,483</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15,208</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2,363</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7"/>
              <w:spacing w:after="0"/>
              <w:rPr>
                <w:sz w:val="20"/>
                <w:szCs w:val="20"/>
                <w:color w:val="auto"/>
              </w:rPr>
            </w:pPr>
            <w:r>
              <w:rPr>
                <w:rFonts w:ascii="Arial" w:cs="Arial" w:eastAsia="Arial" w:hAnsi="Arial"/>
                <w:sz w:val="14"/>
                <w:szCs w:val="14"/>
                <w:color w:val="auto"/>
              </w:rPr>
              <w:t>15</w:t>
            </w:r>
          </w:p>
        </w:tc>
        <w:tc>
          <w:tcPr>
            <w:tcW w:w="94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w:t>
            </w:r>
          </w:p>
        </w:tc>
      </w:tr>
      <w:tr>
        <w:trPr>
          <w:trHeight w:val="264"/>
        </w:trPr>
        <w:tc>
          <w:tcPr>
            <w:tcW w:w="3980" w:type="dxa"/>
            <w:vAlign w:val="bottom"/>
            <w:gridSpan w:val="2"/>
          </w:tcPr>
          <w:p>
            <w:pPr>
              <w:ind w:left="40"/>
              <w:spacing w:after="0"/>
              <w:rPr>
                <w:sz w:val="20"/>
                <w:szCs w:val="20"/>
                <w:color w:val="auto"/>
              </w:rPr>
            </w:pPr>
            <w:r>
              <w:rPr>
                <w:rFonts w:ascii="Arial" w:cs="Arial" w:eastAsia="Arial" w:hAnsi="Arial"/>
                <w:sz w:val="14"/>
                <w:szCs w:val="14"/>
                <w:color w:val="auto"/>
              </w:rPr>
              <w:t>Professional Fees</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9,992</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11,681</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10,072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(1,689)</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22"/>
                <w:szCs w:val="22"/>
                <w:color w:val="auto"/>
              </w:rPr>
            </w:pPr>
          </w:p>
        </w:tc>
        <w:tc>
          <w:tcPr>
            <w:tcW w:w="1140" w:type="dxa"/>
            <w:vAlign w:val="bottom"/>
          </w:tcPr>
          <w:p>
            <w:pPr>
              <w:jc w:val="right"/>
              <w:ind w:right="227"/>
              <w:spacing w:after="0"/>
              <w:rPr>
                <w:sz w:val="20"/>
                <w:szCs w:val="20"/>
                <w:color w:val="auto"/>
              </w:rPr>
            </w:pPr>
            <w:r>
              <w:rPr>
                <w:rFonts w:ascii="Arial" w:cs="Arial" w:eastAsia="Arial" w:hAnsi="Arial"/>
                <w:sz w:val="14"/>
                <w:szCs w:val="14"/>
                <w:color w:val="auto"/>
              </w:rPr>
              <w:t>(14)</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16</w:t>
            </w:r>
          </w:p>
        </w:tc>
      </w:tr>
      <w:tr>
        <w:trPr>
          <w:trHeight w:val="276"/>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FDIC Insurance</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7,732</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8,666</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8,615</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(934)</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4"/>
                <w:szCs w:val="14"/>
                <w:color w:val="auto"/>
              </w:rPr>
              <w:t>(11)</w:t>
            </w:r>
          </w:p>
        </w:tc>
        <w:tc>
          <w:tcPr>
            <w:tcW w:w="94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w:t>
            </w:r>
          </w:p>
        </w:tc>
      </w:tr>
      <w:tr>
        <w:trPr>
          <w:trHeight w:val="264"/>
        </w:trPr>
        <w:tc>
          <w:tcPr>
            <w:tcW w:w="3980" w:type="dxa"/>
            <w:vAlign w:val="bottom"/>
            <w:gridSpan w:val="2"/>
          </w:tcPr>
          <w:p>
            <w:pPr>
              <w:ind w:left="40"/>
              <w:spacing w:after="0"/>
              <w:rPr>
                <w:sz w:val="20"/>
                <w:szCs w:val="20"/>
                <w:color w:val="auto"/>
              </w:rPr>
            </w:pPr>
            <w:r>
              <w:rPr>
                <w:rFonts w:ascii="Arial" w:cs="Arial" w:eastAsia="Arial" w:hAnsi="Arial"/>
                <w:sz w:val="14"/>
                <w:szCs w:val="14"/>
                <w:color w:val="auto"/>
              </w:rPr>
              <w:t>Other Expense:</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Delivery and Postage Services</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8,535</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8,963</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9,909</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(428)</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7"/>
              <w:spacing w:after="0"/>
              <w:rPr>
                <w:sz w:val="20"/>
                <w:szCs w:val="20"/>
                <w:color w:val="auto"/>
              </w:rPr>
            </w:pPr>
            <w:r>
              <w:rPr>
                <w:rFonts w:ascii="Arial" w:cs="Arial" w:eastAsia="Arial" w:hAnsi="Arial"/>
                <w:sz w:val="14"/>
                <w:szCs w:val="14"/>
                <w:color w:val="auto"/>
              </w:rPr>
              <w:t>(5)</w:t>
            </w: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Mileage Program Travel</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4,697</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4,822</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4,712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140" w:type="dxa"/>
            <w:vAlign w:val="bottom"/>
          </w:tcPr>
          <w:p>
            <w:pPr>
              <w:jc w:val="right"/>
              <w:ind w:right="227"/>
              <w:spacing w:after="0"/>
              <w:rPr>
                <w:sz w:val="20"/>
                <w:szCs w:val="20"/>
                <w:color w:val="auto"/>
              </w:rPr>
            </w:pPr>
            <w:r>
              <w:rPr>
                <w:rFonts w:ascii="Arial" w:cs="Arial" w:eastAsia="Arial" w:hAnsi="Arial"/>
                <w:sz w:val="14"/>
                <w:szCs w:val="14"/>
                <w:color w:val="auto"/>
              </w:rPr>
              <w:t>(3)</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2</w:t>
            </w:r>
          </w:p>
        </w:tc>
      </w:tr>
      <w:tr>
        <w:trPr>
          <w:trHeight w:val="276"/>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Merchant Transaction and Card Processing Fees</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5,247</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4,052</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4,344</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1,195</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7"/>
              <w:spacing w:after="0"/>
              <w:rPr>
                <w:sz w:val="20"/>
                <w:szCs w:val="20"/>
                <w:color w:val="auto"/>
              </w:rPr>
            </w:pPr>
            <w:r>
              <w:rPr>
                <w:rFonts w:ascii="Arial" w:cs="Arial" w:eastAsia="Arial" w:hAnsi="Arial"/>
                <w:sz w:val="14"/>
                <w:szCs w:val="14"/>
                <w:color w:val="auto"/>
              </w:rPr>
              <w:t>29</w:t>
            </w: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w:t>
            </w:r>
          </w:p>
        </w:tc>
      </w:tr>
      <w:tr>
        <w:trPr>
          <w:trHeight w:val="264"/>
        </w:trPr>
        <w:tc>
          <w:tcPr>
            <w:tcW w:w="3980" w:type="dxa"/>
            <w:vAlign w:val="bottom"/>
            <w:gridSpan w:val="2"/>
          </w:tcPr>
          <w:p>
            <w:pPr>
              <w:ind w:left="280"/>
              <w:spacing w:after="0"/>
              <w:rPr>
                <w:sz w:val="20"/>
                <w:szCs w:val="20"/>
                <w:color w:val="auto"/>
              </w:rPr>
            </w:pPr>
            <w:r>
              <w:rPr>
                <w:rFonts w:ascii="Arial" w:cs="Arial" w:eastAsia="Arial" w:hAnsi="Arial"/>
                <w:sz w:val="14"/>
                <w:szCs w:val="14"/>
                <w:color w:val="auto"/>
              </w:rPr>
              <w:t>Advertising</w:t>
            </w:r>
          </w:p>
        </w:tc>
        <w:tc>
          <w:tcPr>
            <w:tcW w:w="2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5,987</w:t>
            </w: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5,982</w:t>
            </w:r>
          </w:p>
        </w:tc>
        <w:tc>
          <w:tcPr>
            <w:tcW w:w="4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5,992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7"/>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140" w:type="dxa"/>
            <w:vAlign w:val="bottom"/>
          </w:tcPr>
          <w:p>
            <w:pPr>
              <w:jc w:val="right"/>
              <w:ind w:right="26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7"/>
              <w:spacing w:after="0"/>
              <w:rPr>
                <w:sz w:val="20"/>
                <w:szCs w:val="20"/>
                <w:color w:val="auto"/>
              </w:rPr>
            </w:pPr>
            <w:r>
              <w:rPr>
                <w:rFonts w:ascii="Arial" w:cs="Arial" w:eastAsia="Arial" w:hAnsi="Arial"/>
                <w:sz w:val="14"/>
                <w:szCs w:val="14"/>
                <w:color w:val="auto"/>
              </w:rPr>
              <w:t>—</w:t>
            </w:r>
          </w:p>
        </w:tc>
      </w:tr>
      <w:tr>
        <w:trPr>
          <w:trHeight w:val="276"/>
        </w:trPr>
        <w:tc>
          <w:tcPr>
            <w:tcW w:w="3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Amortization - Solar Energy Partnership Investments</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3,665</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3,311</w:t>
            </w: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4,072</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354</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7"/>
              <w:spacing w:after="0"/>
              <w:rPr>
                <w:sz w:val="20"/>
                <w:szCs w:val="20"/>
                <w:color w:val="auto"/>
              </w:rPr>
            </w:pPr>
            <w:r>
              <w:rPr>
                <w:rFonts w:ascii="Arial" w:cs="Arial" w:eastAsia="Arial" w:hAnsi="Arial"/>
                <w:sz w:val="14"/>
                <w:szCs w:val="14"/>
                <w:color w:val="auto"/>
              </w:rPr>
              <w:t>11</w:t>
            </w:r>
          </w:p>
        </w:tc>
        <w:tc>
          <w:tcPr>
            <w:tcW w:w="9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(19)</w:t>
            </w:r>
          </w:p>
        </w:tc>
      </w:tr>
      <w:tr>
        <w:trPr>
          <w:trHeight w:val="264"/>
        </w:trPr>
        <w:tc>
          <w:tcPr>
            <w:tcW w:w="3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36,121</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36,388</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37,471</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(267)</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w:t>
            </w:r>
          </w:p>
        </w:tc>
      </w:tr>
      <w:tr>
        <w:trPr>
          <w:trHeight w:val="264"/>
        </w:trPr>
        <w:tc>
          <w:tcPr>
            <w:tcW w:w="39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Other Expense</w:t>
            </w: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64,252</w:t>
            </w: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63,518</w:t>
            </w:r>
          </w:p>
        </w:tc>
        <w:tc>
          <w:tcPr>
            <w:tcW w:w="4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66,500</w:t>
            </w:r>
          </w:p>
        </w:tc>
        <w:tc>
          <w:tcPr>
            <w:tcW w:w="2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734</w:t>
            </w: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w:t>
            </w:r>
          </w:p>
        </w:tc>
      </w:tr>
      <w:tr>
        <w:trPr>
          <w:trHeight w:val="264"/>
        </w:trPr>
        <w:tc>
          <w:tcPr>
            <w:tcW w:w="3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Noninterest Expense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371,624</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357,691</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350,578</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13,933</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7,113</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4 %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right="140" w:firstLine="8"/>
        <w:spacing w:after="0" w:line="273" w:lineRule="auto"/>
        <w:tabs>
          <w:tab w:leader="none" w:pos="81" w:val="left"/>
        </w:tabs>
        <w:numPr>
          <w:ilvl w:val="0"/>
          <w:numId w:val="22"/>
        </w:numPr>
        <w:rPr>
          <w:rFonts w:ascii="Arial" w:cs="Arial" w:eastAsia="Arial" w:hAnsi="Arial"/>
          <w:sz w:val="9"/>
          <w:szCs w:val="9"/>
          <w:color w:val="auto"/>
        </w:rPr>
      </w:pPr>
      <w:r>
        <w:rPr>
          <w:rFonts w:ascii="Arial" w:cs="Arial" w:eastAsia="Arial" w:hAnsi="Arial"/>
          <w:sz w:val="14"/>
          <w:szCs w:val="14"/>
          <w:color w:val="auto"/>
        </w:rPr>
        <w:t>The Company adopted ASU No. 2017-07 and applied the guidance retrospectively. As such $1.8 million previously reported in retirement and other benefits were reclassified to other noninterest expense for the year ended December 31, 2017 and 2016.</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Total salaries and benefits increased by $9.5 million or 5% in 2018 compared to 2017 primarily due to $9.8 million in merit and minimum wage increases. Medical, dental, and life insurance increased by $3.8 million primarily due to higher expenses related to our self-insured medical plans coupled with increased group medical insurance costs. These increases were partially offset by a $2.1 million decrease in incentive compensation. During the fourth quarter of 2017, the Company paid a $2.2 million bonus, inclusive of payroll taxes, partly due to anticipated future tax expense reductions resulting from the Tax Act. In addition, share-based compensation decreased by $2.1 million as a result of the Company’s lower share price. Commission expense also decreased by $2.1 million primarily due to a decrease in loan origination and refinancing activity. Total salaries and benefits increased by $4.4 million or 2% in 2017 compared to 2016 due in part to the aforementioned $2.2 million bonus, paid in the fourth quarter 2017. In addition, separation expense increased by $1.2 million. These increases were partially offset by a $2.0 million decrease in share-based compensation. Commission expense also decreased by $1.0 million primarily due to a decrease in loan origination and refinancing activity.</w:t>
      </w:r>
    </w:p>
    <w:p>
      <w:pPr>
        <w:spacing w:after="0" w:line="18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Net occupancy expense increased by $2.2 million or 7% in 2018 compared to 2017 due to a $1.0 million increase in ATM lease space rental costs in 2018. These ATM lease space rental costs were recorded as a reduction of ATM fee income in 2017. This accounting change was related to the 2018 adoption of the new revenue recognition accounting guidance. In addition, this increase was due to the increases in utilities and depreciation expenses by $0.6 million and $0.3 million, respectively. Net occupancy expense increased by $2.3 million or 8% in compared to 2016 primarily due to a $3.4 million decrease in net gain on sale of real estate from $3.7 million in 2016 to $0.3 million in 2017. This increase was offset by a $0.9 million decrease in net rental expense.</w:t>
      </w:r>
    </w:p>
    <w:p>
      <w:pPr>
        <w:spacing w:after="0" w:line="15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Net equipment expense increased by $1.8 million or 8% 2018 compared to 2017 primarily due to a $1.1 million increase in depreciation expense. In addition, branches and information technology rent expense increased by $0.6 million. Net equipment expense increased by $1.5 million or 7% in 2017 compared to 2016 primarily due to a $0.8 million increase in software license fees and maintenance and a $0.5 million increase in depreciation expense.</w:t>
      </w:r>
    </w:p>
    <w:p>
      <w:pPr>
        <w:sectPr>
          <w:pgSz w:w="11900" w:h="16838" w:orient="portrait"/>
          <w:cols w:equalWidth="0" w:num="1">
            <w:col w:w="11420"/>
          </w:cols>
          <w:pgMar w:left="240" w:top="108"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08"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Data processing expense increased by $2.4 million or 15% in 2018 compared to 2017 due to ongoing information technology projects. Data processing expense remained relatively unchanged in 2017 compared to 2016.</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Professional fees decreased by $1.7 million or 14% in 2018 compared to 2017 primarily due to a decrease in professional services in our mortgage division. Professional fees increased by $1.6 million or 16% in 2017 compared to 2016 primarily due to a $0.9 million increase in legal fees and a $0.8 million increase in professional services primarily in our mortgage division.</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Other noninterest expense increased by $0.7 million or 1% in 2018 compared to 2017 due to $2.7 million in legal reserves recorded during 2018. Operating losses, which include losses as a result of bank error, fraud, items processing, or theft, increased by $1.2 million, partially offset by a decrease in business travel of $0.9 million, a $0.9 million decrease in credit card expense due to the completed sale of our MyBankoh Rewards Credit Card portfolio on November 1, 2018, and a decrease in temporary services of $0.7 million. Other noninterest expense decreased by $3.0 million or 5% in 2017 compared to 2016 due to a $0.9 million decrease in delivery and postage services and a $0.8 million decrease in solar energy tax credit partnership amortization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our provision for income taxes and effective tax rates for 2018,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2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5</w:t>
            </w:r>
          </w:p>
        </w:tc>
      </w:tr>
      <w:tr>
        <w:trPr>
          <w:trHeight w:val="33"/>
        </w:trPr>
        <w:tc>
          <w:tcPr>
            <w:tcW w:w="54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8"/>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1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Provision for Income Taxes</w:t>
            </w:r>
          </w:p>
        </w:tc>
        <w:tc>
          <w:tcPr>
            <w:tcW w:w="1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Effective Tax Rates</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8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50,624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2017</w:t>
            </w:r>
          </w:p>
        </w:tc>
        <w:tc>
          <w:tcPr>
            <w:tcW w:w="2840" w:type="dxa"/>
            <w:vAlign w:val="bottom"/>
          </w:tcPr>
          <w:p>
            <w:pPr>
              <w:spacing w:after="0"/>
              <w:rPr>
                <w:sz w:val="20"/>
                <w:szCs w:val="20"/>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83,392</w:t>
            </w:r>
          </w:p>
        </w:tc>
        <w:tc>
          <w:tcPr>
            <w:tcW w:w="1900" w:type="dxa"/>
            <w:vAlign w:val="bottom"/>
          </w:tcPr>
          <w:p>
            <w:pPr>
              <w:jc w:val="right"/>
              <w:spacing w:after="0"/>
              <w:rPr>
                <w:sz w:val="20"/>
                <w:szCs w:val="20"/>
                <w:color w:val="auto"/>
              </w:rPr>
            </w:pPr>
            <w:r>
              <w:rPr>
                <w:rFonts w:ascii="Arial" w:cs="Arial" w:eastAsia="Arial" w:hAnsi="Arial"/>
                <w:sz w:val="16"/>
                <w:szCs w:val="16"/>
                <w:color w:val="auto"/>
              </w:rPr>
              <w:t>31.11%</w:t>
            </w:r>
          </w:p>
        </w:tc>
      </w:tr>
      <w:tr>
        <w:trPr>
          <w:trHeight w:val="33"/>
        </w:trPr>
        <w:tc>
          <w:tcPr>
            <w:tcW w:w="5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8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78,133</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r>
      <w:tr>
        <w:trPr>
          <w:trHeight w:val="33"/>
        </w:trPr>
        <w:tc>
          <w:tcPr>
            <w:tcW w:w="54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provision for income taxes was $50.6 million in 2018, a decrease of $32.8 million or 39% compared to 2017. The effective tax rate was 18.73% in 2018 compared to 31.11% in 2017. The lower effective tax rate in 2018 compared to 2017 was due primarily to the Tax Act enacted into law on December 22, 2017. The Tax Act made changes to the U.S. tax code, including reducing the U.S. federal tax rate from 35% to 21% effective January 1, 2018.</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reduction in the corporate tax rate set forth in the Tax Act discussed above also affected the Company’s primary benefits received from low income housing investments. The impact of the change in tax rate on the Company’s accounting for such investments was reevaluated, resulting in a $2 million reduction in the amortization of the net investment, which also favorably impacted the effective tax rate in 2018. These items were partially offset by a $3.3 million decrease in the release of valuation allowances for low income housing investments in 2018 compared to 2017.</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provision for income taxes was $83.4 million in 2017, an increase of $5.3 million or 7% compared to 2016. The effective tax rate was 31.11% in 2017 compared to 30.10% in 2016. The higher effective tax rate in 2017 compared to 2016 was primarily due to a $3.6 million charge for the write down of net deferred tax assets as a result of the Tax Act discussed above. A $3.0 million state tax reserve release in 2016 due to the lapse in the statute of limitations related to prior tax years also favorably impacted the effective tax rate in 2016. These items were partially offset by a $2.5 million tax benefit from the exercise of stock options and the vesting of restricted stock in 2017 and a $2.1 million increase in the release of valuation allowances for low income housing investments in 2017 compared to 2016.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segments are Retail Banking, Commercial Banking, Investment Services and Private Banking, and Treasury and Other. Table 6 summarizes net income from our business segments for 2018, 2017, and 2016. Additional information about segment performance is presented in Note 13 to the Consolidated Financial Statements.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7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87,632</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80,723</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74,635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94,230</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76,862</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77,297</w:t>
            </w:r>
          </w:p>
        </w:tc>
      </w:tr>
      <w:tr>
        <w:trPr>
          <w:trHeight w:val="33"/>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22,661</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15,842</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14,081</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204,523</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173,427</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166,013</w:t>
            </w:r>
          </w:p>
        </w:tc>
      </w:tr>
      <w:tr>
        <w:trPr>
          <w:trHeight w:val="33"/>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15,079</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11,245</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15,448</w:t>
            </w:r>
          </w:p>
        </w:tc>
      </w:tr>
      <w:tr>
        <w:trPr>
          <w:trHeight w:val="231"/>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219,602</w:t>
            </w:r>
          </w:p>
        </w:tc>
        <w:tc>
          <w:tcPr>
            <w:tcW w:w="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184,672</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181,461</w:t>
            </w:r>
          </w:p>
        </w:tc>
      </w:tr>
      <w:tr>
        <w:trPr>
          <w:trHeight w:val="33"/>
        </w:trPr>
        <w:tc>
          <w:tcPr>
            <w:tcW w:w="7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income increased by $6.9 million or 9% in 2018 compared to 2017 primarily due to a decrease in the effective income tax rate used to allocate the provision for income taxes. This was partially offset by a decrease in noninterest income, an increase in noninterest expense, and an increase in the Provision. The decrease in noninterest income was primarily due to reduced sales of conforming saleable loans from our mortgage portfolio and lower margins on those sales. In addition, overdraft fees decreased. Noninterest expense increased primarily due to a $2.0 million increase in legal reserves recorded in the first quarter of 2018 and higher allocated technology, operations, and finance expense. This was partially offset by the reclassification of certain ATM and debit transaction processing fees, in 2018, as contra revenue, and decreases in professional fees and salaries and benefits. The increase in the Provision was primarily due to higher net charge-offs in our credit card portfolio, which was sold on November 1, 2018, our home equity portfolio due to lower recoveries, as well as overdrafts; this was partially offset by lower net charge-offs in our residential mortgage portfolio.</w:t>
      </w:r>
    </w:p>
    <w:p>
      <w:pPr>
        <w:spacing w:after="0" w:line="179"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Net income increased by $6.1 million or 8% in 2017 compared to 2016 primarily due to an increase in net interest income, partially offset by a decrease in noninterest income and an increase in the Provision. The increase in net interest income was primarily due to higher volume in both the lending and deposit portfolios as well as higher earnings credits on the segment’s deposit portfolio. The decrease in noninterest income is primarily due to lower mortgage loan sales and reduced margins on those sales. The increase in the Provision was primarily due to higher net charge-offs in our installment loan, credit card, auto loan, and mortgage loan portfolios, partially offset by lower net charge-offs in our home equity loan and personal credit line portfolios.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income increased by $17.4 million or 23% in 2018 compared to 2017 primarily due to increases in net interest income and noninterest income, and a decrease in the provision for income taxes. These were partially offset by an increase in noninterest expense. The increase in net interest income was primarily due to higher earnings credits on the segment’s deposit portfolio. The increase in noninterest income was primarily due to higher merchant income stemming from the adoption of ASU No. 2014-09 “Revenue from Contracts with Customers: (Topic 606), higher fees related to our customer interest rate swap derivative program, and to higher net gains on sale of leased equipment. This increase was partially offset by lower account analysis fees as a result of higher earnings credit rates on customer accounts. The decrease in the Provision was due to higher net recovery of loans and leases in 2018. The increase in noninterest expense was primarily due to higher salaries, operating and allocated expenses. The increase in operating expenses was due to the aforementioned adoption of ASU No. 2014-09s. The decrease in the provision for income taxes was due to the lower effective tax rate allocated to the segment.</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income decreased by $0.4 million or 1% in 2017 compared to 2016 primarily due to a decrease in noninterest income, and increases to the Provision and noninterest expense. This was partially offset by an increase in net interest income. The decrease in noninterest income was primarily due to lower net gains on sale of leased equipment, lower fees related to our customer interest rate swap derivatives and lower non-recurring loan fees. The increase in the Provision was due to lower net recoveries of loans and leases in 2017. The increase in noninterest expense was primarily due to higher salaries and benefits expense and to higher allocated expenses. The increase in net interest income was primarily due to higher volume in both the lending and deposit portfolios, and partially due to higher earnings credits on the segment’s deposit portfolio.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income increased by $6.8 million or 43% in 2018 compared to 2017 primarily due to an increase in net interest income, partially offset by an increase in noninterest expense and a decrease in noninterest revenue. The increase in net interest income was primarily driven by the transfer of deposits and loans from the Retail Banking segment and growth of the segment’s deposit portfolio. The increase in noninterest expense was primarily due to higher salaries and benefits expense, a one-time charge-off, and higher allocated expenses. The decrease in noninterest revenue was driven by lower annuity sales and lower trust service fees.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income increased by $1.8 million or 13% in 2017 compared to 2016 primarily due to an increase in net interest income, partially offset by increases in noninterest expense. The increase in net interest income was primarily driven by the transfer of deposits from the Retail Banking segment and growth of the segment’s deposit portfolio. The increase in noninterest expense was primarily due to higher salaries and benefits expense and an operational recovery in the second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Net income increased by $3.8 million or 34% in 2018 compared to 2017 primarily due to an increase in net interest income, a decrease in the provision for loan losses and an decrease in the provision for taxes. The increase in net interest income was primarily due to an increase in funding income related to lending activities and an increase interest income from investment securities and funds sold resulting from an increase in associated yields partially offset by higher deposit funding costs. The Provision in this business segment represents the residual provision for credit losses to arrive at the total Provision for the Company. The decrease in noninterest income was primarily due to the sale of 90,000 Visa Class B shares amounting to $12.5 million in the first quarter of 2017. Partially offsetting this was a $2.8 million distribution from a low-income housing partnership in the first quarter of 2018. The provision for income taxes in this business segment represents the residual amount to arrive at the total tax expense for the Company. The overall effective tax rate decreased to 18.73% in 2018 compared to 31.11% in 2017.</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income decreased by $4.2 million or 27% in 2017 compared to 2016 primarily due to a decrease in net interest income, an increase in the provision for loan losses, and an increase in the provision for taxes. The decrease in net interest income was primarily due to higher deposit funding costs, partially offset by an increase in interest income from investment securities and funds sold under agreements to repurchase resulting from an increase in associated yields and an increase in funding income related to lending activities. The Provision in this business segment represents the residual provision for credit losses to arrive at the total Provision for the Company. The provision for income taxes in this business segment represents the residual amount to arrive at the total tax expense for the Company. The overall effective tax rate increased to 31.11% in 2017 compared to 30.10% in 2016.</w:t>
      </w:r>
    </w:p>
    <w:p>
      <w:pPr>
        <w:spacing w:after="0" w:line="16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the maturity distribution at amortized cost, weighted-average yield to maturity, and fair value of our investment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Maturities and Average Yield on Securities</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6"/>
                <w:szCs w:val="16"/>
                <w:b w:val="1"/>
                <w:bCs w:val="1"/>
                <w:color w:val="auto"/>
              </w:rPr>
              <w:t>Table 7</w:t>
            </w:r>
          </w:p>
        </w:tc>
      </w:tr>
      <w:tr>
        <w:trPr>
          <w:trHeight w:val="33"/>
        </w:trPr>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47"/>
        </w:trPr>
        <w:tc>
          <w:tcPr>
            <w:tcW w:w="1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jc w:val="right"/>
              <w:ind w:right="202"/>
              <w:spacing w:after="0"/>
              <w:rPr>
                <w:sz w:val="20"/>
                <w:szCs w:val="20"/>
                <w:color w:val="auto"/>
              </w:rPr>
            </w:pPr>
            <w:r>
              <w:rPr>
                <w:rFonts w:ascii="Arial" w:cs="Arial" w:eastAsia="Arial" w:hAnsi="Arial"/>
                <w:sz w:val="12"/>
                <w:szCs w:val="12"/>
                <w:b w:val="1"/>
                <w:bCs w:val="1"/>
                <w:color w:val="auto"/>
              </w:rPr>
              <w:t>Weighted</w:t>
            </w:r>
          </w:p>
        </w:tc>
        <w:tc>
          <w:tcPr>
            <w:tcW w:w="800" w:type="dxa"/>
            <w:vAlign w:val="bottom"/>
          </w:tcPr>
          <w:p>
            <w:pPr>
              <w:jc w:val="right"/>
              <w:ind w:right="162"/>
              <w:spacing w:after="0"/>
              <w:rPr>
                <w:sz w:val="20"/>
                <w:szCs w:val="20"/>
                <w:color w:val="auto"/>
              </w:rPr>
            </w:pPr>
            <w:r>
              <w:rPr>
                <w:rFonts w:ascii="Arial" w:cs="Arial" w:eastAsia="Arial" w:hAnsi="Arial"/>
                <w:sz w:val="12"/>
                <w:szCs w:val="12"/>
                <w:b w:val="1"/>
                <w:bCs w:val="1"/>
                <w:color w:val="auto"/>
              </w:rPr>
              <w:t>After 1</w:t>
            </w:r>
          </w:p>
        </w:tc>
        <w:tc>
          <w:tcPr>
            <w:tcW w:w="860" w:type="dxa"/>
            <w:vAlign w:val="bottom"/>
          </w:tcPr>
          <w:p>
            <w:pPr>
              <w:jc w:val="right"/>
              <w:ind w:right="142"/>
              <w:spacing w:after="0"/>
              <w:rPr>
                <w:sz w:val="20"/>
                <w:szCs w:val="20"/>
                <w:color w:val="auto"/>
              </w:rPr>
            </w:pPr>
            <w:r>
              <w:rPr>
                <w:rFonts w:ascii="Arial" w:cs="Arial" w:eastAsia="Arial" w:hAnsi="Arial"/>
                <w:sz w:val="12"/>
                <w:szCs w:val="12"/>
                <w:b w:val="1"/>
                <w:bCs w:val="1"/>
                <w:color w:val="auto"/>
              </w:rPr>
              <w:t>Weighted</w:t>
            </w:r>
          </w:p>
        </w:tc>
        <w:tc>
          <w:tcPr>
            <w:tcW w:w="820" w:type="dxa"/>
            <w:vAlign w:val="bottom"/>
          </w:tcPr>
          <w:p>
            <w:pPr>
              <w:jc w:val="right"/>
              <w:ind w:right="162"/>
              <w:spacing w:after="0"/>
              <w:rPr>
                <w:sz w:val="20"/>
                <w:szCs w:val="20"/>
                <w:color w:val="auto"/>
              </w:rPr>
            </w:pPr>
            <w:r>
              <w:rPr>
                <w:rFonts w:ascii="Arial" w:cs="Arial" w:eastAsia="Arial" w:hAnsi="Arial"/>
                <w:sz w:val="12"/>
                <w:szCs w:val="12"/>
                <w:b w:val="1"/>
                <w:bCs w:val="1"/>
                <w:color w:val="auto"/>
              </w:rPr>
              <w:t>After 5</w:t>
            </w:r>
          </w:p>
        </w:tc>
        <w:tc>
          <w:tcPr>
            <w:tcW w:w="920" w:type="dxa"/>
            <w:vAlign w:val="bottom"/>
          </w:tcPr>
          <w:p>
            <w:pPr>
              <w:jc w:val="right"/>
              <w:ind w:right="182"/>
              <w:spacing w:after="0"/>
              <w:rPr>
                <w:sz w:val="20"/>
                <w:szCs w:val="20"/>
                <w:color w:val="auto"/>
              </w:rPr>
            </w:pPr>
            <w:r>
              <w:rPr>
                <w:rFonts w:ascii="Arial" w:cs="Arial" w:eastAsia="Arial" w:hAnsi="Arial"/>
                <w:sz w:val="12"/>
                <w:szCs w:val="12"/>
                <w:b w:val="1"/>
                <w:bCs w:val="1"/>
                <w:color w:val="auto"/>
              </w:rPr>
              <w:t>Weighted</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Over</w:t>
            </w:r>
          </w:p>
        </w:tc>
        <w:tc>
          <w:tcPr>
            <w:tcW w:w="980" w:type="dxa"/>
            <w:vAlign w:val="bottom"/>
          </w:tcPr>
          <w:p>
            <w:pPr>
              <w:jc w:val="right"/>
              <w:ind w:right="242"/>
              <w:spacing w:after="0"/>
              <w:rPr>
                <w:sz w:val="20"/>
                <w:szCs w:val="20"/>
                <w:color w:val="auto"/>
              </w:rPr>
            </w:pPr>
            <w:r>
              <w:rPr>
                <w:rFonts w:ascii="Arial" w:cs="Arial" w:eastAsia="Arial" w:hAnsi="Arial"/>
                <w:sz w:val="12"/>
                <w:szCs w:val="12"/>
                <w:b w:val="1"/>
                <w:bCs w:val="1"/>
                <w:color w:val="auto"/>
              </w:rPr>
              <w:t>Weighted</w:t>
            </w:r>
          </w:p>
        </w:tc>
        <w:tc>
          <w:tcPr>
            <w:tcW w:w="720" w:type="dxa"/>
            <w:vAlign w:val="bottom"/>
          </w:tcPr>
          <w:p>
            <w:pPr>
              <w:spacing w:after="0"/>
              <w:rPr>
                <w:sz w:val="12"/>
                <w:szCs w:val="12"/>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b w:val="1"/>
                <w:bCs w:val="1"/>
                <w:color w:val="auto"/>
              </w:rPr>
              <w:t>Weighted</w:t>
            </w:r>
          </w:p>
        </w:tc>
        <w:tc>
          <w:tcPr>
            <w:tcW w:w="820" w:type="dxa"/>
            <w:vAlign w:val="bottom"/>
          </w:tcPr>
          <w:p>
            <w:pPr>
              <w:spacing w:after="0"/>
              <w:rPr>
                <w:sz w:val="12"/>
                <w:szCs w:val="12"/>
                <w:color w:val="auto"/>
              </w:rPr>
            </w:pPr>
          </w:p>
        </w:tc>
      </w:tr>
      <w:tr>
        <w:trPr>
          <w:trHeight w:val="135"/>
        </w:trPr>
        <w:tc>
          <w:tcPr>
            <w:tcW w:w="1700" w:type="dxa"/>
            <w:vAlign w:val="bottom"/>
          </w:tcPr>
          <w:p>
            <w:pPr>
              <w:spacing w:after="0"/>
              <w:rPr>
                <w:sz w:val="11"/>
                <w:szCs w:val="11"/>
                <w:color w:val="auto"/>
              </w:rPr>
            </w:pPr>
          </w:p>
        </w:tc>
        <w:tc>
          <w:tcPr>
            <w:tcW w:w="14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1 Year</w:t>
            </w:r>
          </w:p>
        </w:tc>
        <w:tc>
          <w:tcPr>
            <w:tcW w:w="84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Average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Year-5</w:t>
            </w:r>
          </w:p>
        </w:tc>
        <w:tc>
          <w:tcPr>
            <w:tcW w:w="860" w:type="dxa"/>
            <w:vAlign w:val="bottom"/>
          </w:tcPr>
          <w:p>
            <w:pPr>
              <w:jc w:val="right"/>
              <w:ind w:right="142"/>
              <w:spacing w:after="0" w:line="135" w:lineRule="exact"/>
              <w:rPr>
                <w:sz w:val="20"/>
                <w:szCs w:val="20"/>
                <w:color w:val="auto"/>
              </w:rPr>
            </w:pPr>
            <w:r>
              <w:rPr>
                <w:rFonts w:ascii="Arial" w:cs="Arial" w:eastAsia="Arial" w:hAnsi="Arial"/>
                <w:sz w:val="12"/>
                <w:szCs w:val="12"/>
                <w:b w:val="1"/>
                <w:bCs w:val="1"/>
                <w:color w:val="auto"/>
              </w:rPr>
              <w:t>Average</w:t>
            </w:r>
          </w:p>
        </w:tc>
        <w:tc>
          <w:tcPr>
            <w:tcW w:w="82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Years-10</w:t>
            </w:r>
          </w:p>
        </w:tc>
        <w:tc>
          <w:tcPr>
            <w:tcW w:w="9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Average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10</w:t>
            </w:r>
          </w:p>
        </w:tc>
        <w:tc>
          <w:tcPr>
            <w:tcW w:w="98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auto"/>
              </w:rPr>
              <w:t>Average</w:t>
            </w:r>
          </w:p>
        </w:tc>
        <w:tc>
          <w:tcPr>
            <w:tcW w:w="720" w:type="dxa"/>
            <w:vAlign w:val="bottom"/>
          </w:tcPr>
          <w:p>
            <w:pPr>
              <w:spacing w:after="0"/>
              <w:rPr>
                <w:sz w:val="11"/>
                <w:szCs w:val="11"/>
                <w:color w:val="auto"/>
              </w:rPr>
            </w:pPr>
          </w:p>
        </w:tc>
        <w:tc>
          <w:tcPr>
            <w:tcW w:w="9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Average</w:t>
            </w:r>
          </w:p>
        </w:tc>
        <w:tc>
          <w:tcPr>
            <w:tcW w:w="820" w:type="dxa"/>
            <w:vAlign w:val="bottom"/>
          </w:tcPr>
          <w:p>
            <w:pPr>
              <w:jc w:val="right"/>
              <w:ind w:right="74"/>
              <w:spacing w:after="0" w:line="135" w:lineRule="exact"/>
              <w:rPr>
                <w:sz w:val="20"/>
                <w:szCs w:val="20"/>
                <w:color w:val="auto"/>
              </w:rPr>
            </w:pPr>
            <w:r>
              <w:rPr>
                <w:rFonts w:ascii="Arial" w:cs="Arial" w:eastAsia="Arial" w:hAnsi="Arial"/>
                <w:sz w:val="12"/>
                <w:szCs w:val="12"/>
                <w:b w:val="1"/>
                <w:bCs w:val="1"/>
                <w:color w:val="auto"/>
              </w:rPr>
              <w:t>Fair</w:t>
            </w:r>
          </w:p>
        </w:tc>
      </w:tr>
      <w:tr>
        <w:trPr>
          <w:trHeight w:val="150"/>
        </w:trPr>
        <w:tc>
          <w:tcPr>
            <w:tcW w:w="170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1400" w:type="dxa"/>
            <w:vAlign w:val="bottom"/>
          </w:tcPr>
          <w:p>
            <w:pPr>
              <w:ind w:left="720"/>
              <w:spacing w:after="0"/>
              <w:rPr>
                <w:sz w:val="20"/>
                <w:szCs w:val="20"/>
                <w:color w:val="auto"/>
              </w:rPr>
            </w:pPr>
            <w:r>
              <w:rPr>
                <w:rFonts w:ascii="Arial" w:cs="Arial" w:eastAsia="Arial" w:hAnsi="Arial"/>
                <w:sz w:val="12"/>
                <w:szCs w:val="12"/>
                <w:b w:val="1"/>
                <w:bCs w:val="1"/>
                <w:color w:val="auto"/>
              </w:rPr>
              <w:t>or Less</w:t>
            </w:r>
          </w:p>
        </w:tc>
        <w:tc>
          <w:tcPr>
            <w:tcW w:w="840" w:type="dxa"/>
            <w:vAlign w:val="bottom"/>
          </w:tcPr>
          <w:p>
            <w:pPr>
              <w:jc w:val="right"/>
              <w:ind w:right="182"/>
              <w:spacing w:after="0"/>
              <w:rPr>
                <w:sz w:val="20"/>
                <w:szCs w:val="20"/>
                <w:color w:val="auto"/>
              </w:rPr>
            </w:pPr>
            <w:r>
              <w:rPr>
                <w:rFonts w:ascii="Arial" w:cs="Arial" w:eastAsia="Arial" w:hAnsi="Arial"/>
                <w:sz w:val="12"/>
                <w:szCs w:val="12"/>
                <w:b w:val="1"/>
                <w:bCs w:val="1"/>
                <w:color w:val="auto"/>
              </w:rPr>
              <w:t>Yield</w:t>
            </w:r>
          </w:p>
        </w:tc>
        <w:tc>
          <w:tcPr>
            <w:tcW w:w="800" w:type="dxa"/>
            <w:vAlign w:val="bottom"/>
          </w:tcPr>
          <w:p>
            <w:pPr>
              <w:jc w:val="right"/>
              <w:ind w:right="142"/>
              <w:spacing w:after="0"/>
              <w:rPr>
                <w:sz w:val="20"/>
                <w:szCs w:val="20"/>
                <w:color w:val="auto"/>
              </w:rPr>
            </w:pPr>
            <w:r>
              <w:rPr>
                <w:rFonts w:ascii="Arial" w:cs="Arial" w:eastAsia="Arial" w:hAnsi="Arial"/>
                <w:sz w:val="12"/>
                <w:szCs w:val="12"/>
                <w:b w:val="1"/>
                <w:bCs w:val="1"/>
                <w:color w:val="auto"/>
              </w:rPr>
              <w:t>Years</w:t>
            </w:r>
          </w:p>
        </w:tc>
        <w:tc>
          <w:tcPr>
            <w:tcW w:w="860" w:type="dxa"/>
            <w:vAlign w:val="bottom"/>
          </w:tcPr>
          <w:p>
            <w:pPr>
              <w:jc w:val="right"/>
              <w:ind w:right="102"/>
              <w:spacing w:after="0"/>
              <w:rPr>
                <w:sz w:val="20"/>
                <w:szCs w:val="20"/>
                <w:color w:val="auto"/>
              </w:rPr>
            </w:pPr>
            <w:r>
              <w:rPr>
                <w:rFonts w:ascii="Arial" w:cs="Arial" w:eastAsia="Arial" w:hAnsi="Arial"/>
                <w:sz w:val="12"/>
                <w:szCs w:val="12"/>
                <w:b w:val="1"/>
                <w:bCs w:val="1"/>
                <w:color w:val="auto"/>
              </w:rPr>
              <w:t>Yield</w:t>
            </w:r>
          </w:p>
        </w:tc>
        <w:tc>
          <w:tcPr>
            <w:tcW w:w="820" w:type="dxa"/>
            <w:vAlign w:val="bottom"/>
          </w:tcPr>
          <w:p>
            <w:pPr>
              <w:jc w:val="right"/>
              <w:ind w:right="122"/>
              <w:spacing w:after="0"/>
              <w:rPr>
                <w:sz w:val="20"/>
                <w:szCs w:val="20"/>
                <w:color w:val="auto"/>
              </w:rPr>
            </w:pPr>
            <w:r>
              <w:rPr>
                <w:rFonts w:ascii="Arial" w:cs="Arial" w:eastAsia="Arial" w:hAnsi="Arial"/>
                <w:sz w:val="12"/>
                <w:szCs w:val="12"/>
                <w:b w:val="1"/>
                <w:bCs w:val="1"/>
                <w:color w:val="auto"/>
              </w:rPr>
              <w:t>Years</w:t>
            </w:r>
          </w:p>
        </w:tc>
        <w:tc>
          <w:tcPr>
            <w:tcW w:w="920" w:type="dxa"/>
            <w:vAlign w:val="bottom"/>
          </w:tcPr>
          <w:p>
            <w:pPr>
              <w:jc w:val="right"/>
              <w:ind w:right="162"/>
              <w:spacing w:after="0"/>
              <w:rPr>
                <w:sz w:val="20"/>
                <w:szCs w:val="20"/>
                <w:color w:val="auto"/>
              </w:rPr>
            </w:pPr>
            <w:r>
              <w:rPr>
                <w:rFonts w:ascii="Arial" w:cs="Arial" w:eastAsia="Arial" w:hAnsi="Arial"/>
                <w:sz w:val="12"/>
                <w:szCs w:val="12"/>
                <w:b w:val="1"/>
                <w:bCs w:val="1"/>
                <w:color w:val="auto"/>
              </w:rPr>
              <w:t>Yield</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Years</w:t>
            </w:r>
          </w:p>
        </w:tc>
        <w:tc>
          <w:tcPr>
            <w:tcW w:w="980" w:type="dxa"/>
            <w:vAlign w:val="bottom"/>
          </w:tcPr>
          <w:p>
            <w:pPr>
              <w:jc w:val="right"/>
              <w:ind w:right="222"/>
              <w:spacing w:after="0"/>
              <w:rPr>
                <w:sz w:val="20"/>
                <w:szCs w:val="20"/>
                <w:color w:val="auto"/>
              </w:rPr>
            </w:pPr>
            <w:r>
              <w:rPr>
                <w:rFonts w:ascii="Arial" w:cs="Arial" w:eastAsia="Arial" w:hAnsi="Arial"/>
                <w:sz w:val="12"/>
                <w:szCs w:val="12"/>
                <w:b w:val="1"/>
                <w:bCs w:val="1"/>
                <w:color w:val="auto"/>
              </w:rPr>
              <w:t>Yield</w:t>
            </w:r>
          </w:p>
        </w:tc>
        <w:tc>
          <w:tcPr>
            <w:tcW w:w="720" w:type="dxa"/>
            <w:vAlign w:val="bottom"/>
          </w:tcPr>
          <w:p>
            <w:pPr>
              <w:ind w:left="26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ind w:right="142"/>
              <w:spacing w:after="0"/>
              <w:rPr>
                <w:sz w:val="20"/>
                <w:szCs w:val="20"/>
                <w:color w:val="auto"/>
              </w:rPr>
            </w:pPr>
            <w:r>
              <w:rPr>
                <w:rFonts w:ascii="Arial" w:cs="Arial" w:eastAsia="Arial" w:hAnsi="Arial"/>
                <w:sz w:val="12"/>
                <w:szCs w:val="12"/>
                <w:b w:val="1"/>
                <w:bCs w:val="1"/>
                <w:color w:val="auto"/>
              </w:rPr>
              <w:t>Yield</w:t>
            </w:r>
          </w:p>
        </w:tc>
        <w:tc>
          <w:tcPr>
            <w:tcW w:w="820" w:type="dxa"/>
            <w:vAlign w:val="bottom"/>
          </w:tcPr>
          <w:p>
            <w:pPr>
              <w:jc w:val="right"/>
              <w:ind w:right="34"/>
              <w:spacing w:after="0"/>
              <w:rPr>
                <w:sz w:val="20"/>
                <w:szCs w:val="20"/>
                <w:color w:val="auto"/>
              </w:rPr>
            </w:pPr>
            <w:r>
              <w:rPr>
                <w:rFonts w:ascii="Arial" w:cs="Arial" w:eastAsia="Arial" w:hAnsi="Arial"/>
                <w:sz w:val="12"/>
                <w:szCs w:val="12"/>
                <w:b w:val="1"/>
                <w:bCs w:val="1"/>
                <w:color w:val="auto"/>
              </w:rPr>
              <w:t>Value</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As of December 31, 2018</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11420"/>
          </w:cols>
          <w:pgMar w:left="240" w:top="125" w:right="239" w:bottom="1041" w:gutter="0" w:footer="0" w:header="0"/>
        </w:sectPr>
      </w:pP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40" w:type="dxa"/>
            <w:vAlign w:val="bottom"/>
          </w:tcPr>
          <w:p>
            <w:pPr>
              <w:spacing w:after="0"/>
              <w:rPr>
                <w:sz w:val="20"/>
                <w:szCs w:val="20"/>
                <w:color w:val="auto"/>
              </w:rPr>
            </w:pPr>
            <w:r>
              <w:rPr>
                <w:rFonts w:ascii="Arial" w:cs="Arial" w:eastAsia="Arial" w:hAnsi="Arial"/>
                <w:sz w:val="13"/>
                <w:szCs w:val="13"/>
                <w:color w:val="auto"/>
                <w:w w:val="95"/>
              </w:rPr>
              <w:t>Debt Securities Issued by the U.S. Treasury</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40" w:type="dxa"/>
            <w:vAlign w:val="bottom"/>
          </w:tcPr>
          <w:p>
            <w:pPr>
              <w:ind w:left="100"/>
              <w:spacing w:after="0" w:line="123" w:lineRule="exact"/>
              <w:rPr>
                <w:sz w:val="20"/>
                <w:szCs w:val="20"/>
                <w:color w:val="auto"/>
              </w:rPr>
            </w:pPr>
            <w:r>
              <w:rPr>
                <w:rFonts w:ascii="Arial" w:cs="Arial" w:eastAsia="Arial" w:hAnsi="Arial"/>
                <w:sz w:val="13"/>
                <w:szCs w:val="13"/>
                <w:color w:val="auto"/>
              </w:rPr>
              <w:t xml:space="preserve">and Government Agencies </w:t>
            </w:r>
            <w:r>
              <w:rPr>
                <w:rFonts w:ascii="Arial" w:cs="Arial" w:eastAsia="Arial" w:hAnsi="Arial"/>
                <w:sz w:val="8"/>
                <w:szCs w:val="8"/>
                <w:color w:val="auto"/>
              </w:rPr>
              <w:t>2</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8"/>
        </w:trPr>
        <w:tc>
          <w:tcPr>
            <w:tcW w:w="2440" w:type="dxa"/>
            <w:vAlign w:val="bottom"/>
          </w:tcPr>
          <w:p>
            <w:pPr>
              <w:ind w:left="2300"/>
              <w:spacing w:after="0" w:line="148" w:lineRule="exact"/>
              <w:rPr>
                <w:sz w:val="20"/>
                <w:szCs w:val="20"/>
                <w:color w:val="auto"/>
              </w:rPr>
            </w:pPr>
            <w:r>
              <w:rPr>
                <w:rFonts w:ascii="Arial" w:cs="Arial" w:eastAsia="Arial" w:hAnsi="Arial"/>
                <w:sz w:val="13"/>
                <w:szCs w:val="13"/>
                <w:color w:val="auto"/>
              </w:rPr>
              <w:t>$</w:t>
            </w: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3"/>
                <w:szCs w:val="13"/>
                <w:color w:val="auto"/>
              </w:rPr>
              <w:t>Debt Securities Issued by States and</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60"/>
              <w:spacing w:after="0"/>
              <w:rPr>
                <w:sz w:val="20"/>
                <w:szCs w:val="20"/>
                <w:color w:val="auto"/>
              </w:rPr>
            </w:pPr>
            <w:r>
              <w:rPr>
                <w:rFonts w:ascii="Arial" w:cs="Arial" w:eastAsia="Arial" w:hAnsi="Arial"/>
                <w:sz w:val="13"/>
                <w:szCs w:val="13"/>
                <w:color w:val="auto"/>
              </w:rPr>
              <w:t xml:space="preserve">Political Subdivisions </w:t>
            </w:r>
            <w:r>
              <w:rPr>
                <w:rFonts w:ascii="Arial" w:cs="Arial" w:eastAsia="Arial" w:hAnsi="Arial"/>
                <w:sz w:val="8"/>
                <w:szCs w:val="8"/>
                <w:color w:val="auto"/>
              </w:rPr>
              <w:t>1</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440" w:type="dxa"/>
            <w:vAlign w:val="bottom"/>
          </w:tcPr>
          <w:p>
            <w:pPr>
              <w:spacing w:after="0"/>
              <w:rPr>
                <w:sz w:val="20"/>
                <w:szCs w:val="20"/>
                <w:color w:val="auto"/>
              </w:rPr>
            </w:pPr>
            <w:r>
              <w:rPr>
                <w:rFonts w:ascii="Arial" w:cs="Arial" w:eastAsia="Arial" w:hAnsi="Arial"/>
                <w:sz w:val="13"/>
                <w:szCs w:val="13"/>
                <w:color w:val="auto"/>
              </w:rPr>
              <w:t>Debt Securities Issued by U.S.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00"/>
              <w:spacing w:after="0"/>
              <w:rPr>
                <w:sz w:val="20"/>
                <w:szCs w:val="20"/>
                <w:color w:val="auto"/>
              </w:rPr>
            </w:pPr>
            <w:r>
              <w:rPr>
                <w:rFonts w:ascii="Arial" w:cs="Arial" w:eastAsia="Arial" w:hAnsi="Arial"/>
                <w:sz w:val="13"/>
                <w:szCs w:val="13"/>
                <w:color w:val="auto"/>
              </w:rPr>
              <w:t>Government-Sponsored Enterprises</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3"/>
                <w:szCs w:val="13"/>
                <w:color w:val="auto"/>
              </w:rPr>
              <w:t>Debt Securities Issued by Corporations</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 xml:space="preserve">Mortgage-Backed Securities </w:t>
            </w:r>
            <w:r>
              <w:rPr>
                <w:rFonts w:ascii="Arial" w:cs="Arial" w:eastAsia="Arial" w:hAnsi="Arial"/>
                <w:sz w:val="8"/>
                <w:szCs w:val="8"/>
                <w:color w:val="auto"/>
              </w:rPr>
              <w:t>2</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00" w:type="dxa"/>
            <w:vAlign w:val="bottom"/>
          </w:tcPr>
          <w:p>
            <w:pPr>
              <w:jc w:val="right"/>
              <w:ind w:right="38"/>
              <w:spacing w:after="0"/>
              <w:rPr>
                <w:sz w:val="20"/>
                <w:szCs w:val="20"/>
                <w:color w:val="auto"/>
              </w:rPr>
            </w:pPr>
            <w:r>
              <w:rPr>
                <w:rFonts w:ascii="Arial" w:cs="Arial" w:eastAsia="Arial" w:hAnsi="Arial"/>
                <w:sz w:val="13"/>
                <w:szCs w:val="13"/>
                <w:color w:val="auto"/>
              </w:rPr>
              <w:t>2.6%   $</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114.5</w:t>
            </w:r>
          </w:p>
        </w:tc>
        <w:tc>
          <w:tcPr>
            <w:tcW w:w="940" w:type="dxa"/>
            <w:vAlign w:val="bottom"/>
          </w:tcPr>
          <w:p>
            <w:pPr>
              <w:ind w:left="360"/>
              <w:spacing w:after="0"/>
              <w:rPr>
                <w:sz w:val="20"/>
                <w:szCs w:val="20"/>
                <w:color w:val="auto"/>
              </w:rPr>
            </w:pPr>
            <w:r>
              <w:rPr>
                <w:rFonts w:ascii="Arial" w:cs="Arial" w:eastAsia="Arial" w:hAnsi="Arial"/>
                <w:sz w:val="13"/>
                <w:szCs w:val="13"/>
                <w:color w:val="auto"/>
              </w:rPr>
              <w:t>3.9%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279.2</w:t>
            </w:r>
          </w:p>
        </w:tc>
        <w:tc>
          <w:tcPr>
            <w:tcW w:w="920" w:type="dxa"/>
            <w:vAlign w:val="bottom"/>
          </w:tcPr>
          <w:p>
            <w:pPr>
              <w:jc w:val="right"/>
              <w:spacing w:after="0"/>
              <w:rPr>
                <w:sz w:val="20"/>
                <w:szCs w:val="20"/>
                <w:color w:val="auto"/>
              </w:rPr>
            </w:pPr>
            <w:r>
              <w:rPr>
                <w:rFonts w:ascii="Arial" w:cs="Arial" w:eastAsia="Arial" w:hAnsi="Arial"/>
                <w:sz w:val="13"/>
                <w:szCs w:val="13"/>
                <w:color w:val="auto"/>
              </w:rPr>
              <w:t>2.7%   $</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394.5</w:t>
            </w:r>
          </w:p>
        </w:tc>
        <w:tc>
          <w:tcPr>
            <w:tcW w:w="1020" w:type="dxa"/>
            <w:vAlign w:val="bottom"/>
          </w:tcPr>
          <w:p>
            <w:pPr>
              <w:ind w:left="380"/>
              <w:spacing w:after="0"/>
              <w:rPr>
                <w:sz w:val="20"/>
                <w:szCs w:val="20"/>
                <w:color w:val="auto"/>
              </w:rPr>
            </w:pPr>
            <w:r>
              <w:rPr>
                <w:rFonts w:ascii="Arial" w:cs="Arial" w:eastAsia="Arial" w:hAnsi="Arial"/>
                <w:sz w:val="13"/>
                <w:szCs w:val="13"/>
                <w:color w:val="auto"/>
              </w:rPr>
              <w:t>3.1%   $</w:t>
            </w:r>
          </w:p>
        </w:tc>
        <w:tc>
          <w:tcPr>
            <w:tcW w:w="440" w:type="dxa"/>
            <w:vAlign w:val="bottom"/>
          </w:tcPr>
          <w:p>
            <w:pPr>
              <w:jc w:val="right"/>
              <w:spacing w:after="0"/>
              <w:rPr>
                <w:sz w:val="20"/>
                <w:szCs w:val="20"/>
                <w:color w:val="auto"/>
              </w:rPr>
            </w:pPr>
            <w:r>
              <w:rPr>
                <w:rFonts w:ascii="Arial" w:cs="Arial" w:eastAsia="Arial" w:hAnsi="Arial"/>
                <w:sz w:val="13"/>
                <w:szCs w:val="13"/>
                <w:color w:val="auto"/>
              </w:rPr>
              <w:t>392.4</w:t>
            </w:r>
          </w:p>
        </w:tc>
      </w:tr>
      <w:tr>
        <w:trPr>
          <w:trHeight w:val="405"/>
        </w:trPr>
        <w:tc>
          <w:tcPr>
            <w:tcW w:w="600" w:type="dxa"/>
            <w:vAlign w:val="bottom"/>
          </w:tcPr>
          <w:p>
            <w:pPr>
              <w:jc w:val="right"/>
              <w:ind w:right="398"/>
              <w:spacing w:after="0"/>
              <w:rPr>
                <w:sz w:val="20"/>
                <w:szCs w:val="20"/>
                <w:color w:val="auto"/>
              </w:rPr>
            </w:pPr>
            <w:r>
              <w:rPr>
                <w:rFonts w:ascii="Arial" w:cs="Arial" w:eastAsia="Arial" w:hAnsi="Arial"/>
                <w:sz w:val="12"/>
                <w:szCs w:val="12"/>
                <w:color w:val="auto"/>
                <w:w w:val="71"/>
              </w:rPr>
              <w:t>1.8</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387.9</w:t>
            </w:r>
          </w:p>
        </w:tc>
        <w:tc>
          <w:tcPr>
            <w:tcW w:w="940" w:type="dxa"/>
            <w:vAlign w:val="bottom"/>
          </w:tcPr>
          <w:p>
            <w:pPr>
              <w:ind w:left="360"/>
              <w:spacing w:after="0"/>
              <w:rPr>
                <w:sz w:val="20"/>
                <w:szCs w:val="20"/>
                <w:color w:val="auto"/>
              </w:rPr>
            </w:pPr>
            <w:r>
              <w:rPr>
                <w:rFonts w:ascii="Arial" w:cs="Arial" w:eastAsia="Arial" w:hAnsi="Arial"/>
                <w:sz w:val="13"/>
                <w:szCs w:val="13"/>
                <w:color w:val="auto"/>
              </w:rPr>
              <w:t>2.7</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92.3</w:t>
            </w:r>
          </w:p>
        </w:tc>
        <w:tc>
          <w:tcPr>
            <w:tcW w:w="920" w:type="dxa"/>
            <w:vAlign w:val="bottom"/>
          </w:tcPr>
          <w:p>
            <w:pPr>
              <w:jc w:val="right"/>
              <w:ind w:right="337"/>
              <w:spacing w:after="0"/>
              <w:rPr>
                <w:sz w:val="20"/>
                <w:szCs w:val="20"/>
                <w:color w:val="auto"/>
              </w:rPr>
            </w:pPr>
            <w:r>
              <w:rPr>
                <w:rFonts w:ascii="Arial" w:cs="Arial" w:eastAsia="Arial" w:hAnsi="Arial"/>
                <w:sz w:val="13"/>
                <w:szCs w:val="13"/>
                <w:color w:val="auto"/>
              </w:rPr>
              <w:t>4.6</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22.8</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5.1</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559.8</w:t>
            </w:r>
          </w:p>
        </w:tc>
        <w:tc>
          <w:tcPr>
            <w:tcW w:w="1020" w:type="dxa"/>
            <w:vAlign w:val="bottom"/>
          </w:tcPr>
          <w:p>
            <w:pPr>
              <w:ind w:left="380"/>
              <w:spacing w:after="0"/>
              <w:rPr>
                <w:sz w:val="20"/>
                <w:szCs w:val="20"/>
                <w:color w:val="auto"/>
              </w:rPr>
            </w:pPr>
            <w:r>
              <w:rPr>
                <w:rFonts w:ascii="Arial" w:cs="Arial" w:eastAsia="Arial" w:hAnsi="Arial"/>
                <w:sz w:val="13"/>
                <w:szCs w:val="13"/>
                <w:color w:val="auto"/>
              </w:rPr>
              <w:t>3.0</w:t>
            </w:r>
          </w:p>
        </w:tc>
        <w:tc>
          <w:tcPr>
            <w:tcW w:w="440" w:type="dxa"/>
            <w:vAlign w:val="bottom"/>
          </w:tcPr>
          <w:p>
            <w:pPr>
              <w:jc w:val="right"/>
              <w:spacing w:after="0"/>
              <w:rPr>
                <w:sz w:val="20"/>
                <w:szCs w:val="20"/>
                <w:color w:val="auto"/>
              </w:rPr>
            </w:pPr>
            <w:r>
              <w:rPr>
                <w:rFonts w:ascii="Arial" w:cs="Arial" w:eastAsia="Arial" w:hAnsi="Arial"/>
                <w:sz w:val="13"/>
                <w:szCs w:val="13"/>
                <w:color w:val="auto"/>
              </w:rPr>
              <w:t>564.0</w:t>
            </w:r>
          </w:p>
        </w:tc>
      </w:tr>
      <w:tr>
        <w:trPr>
          <w:trHeight w:val="405"/>
        </w:trPr>
        <w:tc>
          <w:tcPr>
            <w:tcW w:w="600" w:type="dxa"/>
            <w:vAlign w:val="bottom"/>
          </w:tcPr>
          <w:p>
            <w:pPr>
              <w:jc w:val="right"/>
              <w:ind w:right="398"/>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0.1</w:t>
            </w:r>
          </w:p>
        </w:tc>
        <w:tc>
          <w:tcPr>
            <w:tcW w:w="940" w:type="dxa"/>
            <w:vAlign w:val="bottom"/>
          </w:tcPr>
          <w:p>
            <w:pPr>
              <w:ind w:left="360"/>
              <w:spacing w:after="0"/>
              <w:rPr>
                <w:sz w:val="20"/>
                <w:szCs w:val="20"/>
                <w:color w:val="auto"/>
              </w:rPr>
            </w:pPr>
            <w:r>
              <w:rPr>
                <w:rFonts w:ascii="Arial" w:cs="Arial" w:eastAsia="Arial" w:hAnsi="Arial"/>
                <w:sz w:val="13"/>
                <w:szCs w:val="13"/>
                <w:color w:val="auto"/>
              </w:rPr>
              <w:t>2.8</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0.1</w:t>
            </w:r>
          </w:p>
        </w:tc>
        <w:tc>
          <w:tcPr>
            <w:tcW w:w="1020" w:type="dxa"/>
            <w:vAlign w:val="bottom"/>
          </w:tcPr>
          <w:p>
            <w:pPr>
              <w:ind w:left="380"/>
              <w:spacing w:after="0"/>
              <w:rPr>
                <w:sz w:val="20"/>
                <w:szCs w:val="20"/>
                <w:color w:val="auto"/>
              </w:rPr>
            </w:pPr>
            <w:r>
              <w:rPr>
                <w:rFonts w:ascii="Arial" w:cs="Arial" w:eastAsia="Arial" w:hAnsi="Arial"/>
                <w:sz w:val="13"/>
                <w:szCs w:val="13"/>
                <w:color w:val="auto"/>
              </w:rPr>
              <w:t>2.8</w:t>
            </w:r>
          </w:p>
        </w:tc>
        <w:tc>
          <w:tcPr>
            <w:tcW w:w="44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378"/>
        </w:trPr>
        <w:tc>
          <w:tcPr>
            <w:tcW w:w="600" w:type="dxa"/>
            <w:vAlign w:val="bottom"/>
          </w:tcPr>
          <w:p>
            <w:pPr>
              <w:jc w:val="right"/>
              <w:ind w:right="398"/>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225.0</w:t>
            </w:r>
          </w:p>
        </w:tc>
        <w:tc>
          <w:tcPr>
            <w:tcW w:w="940" w:type="dxa"/>
            <w:vAlign w:val="bottom"/>
          </w:tcPr>
          <w:p>
            <w:pPr>
              <w:ind w:left="360"/>
              <w:spacing w:after="0"/>
              <w:rPr>
                <w:sz w:val="20"/>
                <w:szCs w:val="20"/>
                <w:color w:val="auto"/>
              </w:rPr>
            </w:pPr>
            <w:r>
              <w:rPr>
                <w:rFonts w:ascii="Arial" w:cs="Arial" w:eastAsia="Arial" w:hAnsi="Arial"/>
                <w:sz w:val="13"/>
                <w:szCs w:val="13"/>
                <w:color w:val="auto"/>
              </w:rPr>
              <w:t>3.3</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225.0</w:t>
            </w:r>
          </w:p>
        </w:tc>
        <w:tc>
          <w:tcPr>
            <w:tcW w:w="1020" w:type="dxa"/>
            <w:vAlign w:val="bottom"/>
          </w:tcPr>
          <w:p>
            <w:pPr>
              <w:ind w:left="380"/>
              <w:spacing w:after="0"/>
              <w:rPr>
                <w:sz w:val="20"/>
                <w:szCs w:val="20"/>
                <w:color w:val="auto"/>
              </w:rPr>
            </w:pPr>
            <w:r>
              <w:rPr>
                <w:rFonts w:ascii="Arial" w:cs="Arial" w:eastAsia="Arial" w:hAnsi="Arial"/>
                <w:sz w:val="13"/>
                <w:szCs w:val="13"/>
                <w:color w:val="auto"/>
              </w:rPr>
              <w:t>3.3</w:t>
            </w:r>
          </w:p>
        </w:tc>
        <w:tc>
          <w:tcPr>
            <w:tcW w:w="440" w:type="dxa"/>
            <w:vAlign w:val="bottom"/>
          </w:tcPr>
          <w:p>
            <w:pPr>
              <w:jc w:val="right"/>
              <w:spacing w:after="0"/>
              <w:rPr>
                <w:sz w:val="20"/>
                <w:szCs w:val="20"/>
                <w:color w:val="auto"/>
              </w:rPr>
            </w:pPr>
            <w:r>
              <w:rPr>
                <w:rFonts w:ascii="Arial" w:cs="Arial" w:eastAsia="Arial" w:hAnsi="Arial"/>
                <w:sz w:val="13"/>
                <w:szCs w:val="13"/>
                <w:color w:val="auto"/>
              </w:rPr>
              <w:t>223.1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-486410</wp:posOffset>
            </wp:positionV>
            <wp:extent cx="72466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2">
            <w:col w:w="2840" w:space="720"/>
            <w:col w:w="7860"/>
          </w:cols>
          <w:pgMar w:left="240" w:top="125" w:right="239" w:bottom="1041"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480" w:type="dxa"/>
            <w:vAlign w:val="bottom"/>
            <w:gridSpan w:val="2"/>
          </w:tcPr>
          <w:p>
            <w:pPr>
              <w:ind w:left="160"/>
              <w:spacing w:after="0"/>
              <w:rPr>
                <w:sz w:val="20"/>
                <w:szCs w:val="20"/>
                <w:color w:val="auto"/>
              </w:rPr>
            </w:pPr>
            <w:r>
              <w:rPr>
                <w:rFonts w:ascii="Arial" w:cs="Arial" w:eastAsia="Arial" w:hAnsi="Arial"/>
                <w:sz w:val="13"/>
                <w:szCs w:val="13"/>
                <w:color w:val="auto"/>
              </w:rPr>
              <w:t>Residential - Government Agencies</w:t>
            </w:r>
          </w:p>
        </w:tc>
        <w:tc>
          <w:tcPr>
            <w:tcW w:w="42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3.1</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100.9</w:t>
            </w:r>
          </w:p>
        </w:tc>
        <w:tc>
          <w:tcPr>
            <w:tcW w:w="1020" w:type="dxa"/>
            <w:vAlign w:val="bottom"/>
          </w:tcPr>
          <w:p>
            <w:pPr>
              <w:ind w:left="620"/>
              <w:spacing w:after="0"/>
              <w:rPr>
                <w:sz w:val="20"/>
                <w:szCs w:val="20"/>
                <w:color w:val="auto"/>
              </w:rPr>
            </w:pPr>
            <w:r>
              <w:rPr>
                <w:rFonts w:ascii="Arial" w:cs="Arial" w:eastAsia="Arial" w:hAnsi="Arial"/>
                <w:sz w:val="13"/>
                <w:szCs w:val="13"/>
                <w:color w:val="auto"/>
              </w:rPr>
              <w:t>3.0</w:t>
            </w:r>
          </w:p>
        </w:tc>
        <w:tc>
          <w:tcPr>
            <w:tcW w:w="18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83.7</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3.3</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189.6</w:t>
            </w:r>
          </w:p>
        </w:tc>
        <w:tc>
          <w:tcPr>
            <w:tcW w:w="1020" w:type="dxa"/>
            <w:vAlign w:val="bottom"/>
          </w:tcPr>
          <w:p>
            <w:pPr>
              <w:ind w:left="620"/>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190.4</w:t>
            </w: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Residential - U.S. Government-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Sponsored Enterprises</w:t>
            </w:r>
          </w:p>
        </w:tc>
        <w:tc>
          <w:tcPr>
            <w:tcW w:w="4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213.0</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376.3</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2.6</w:t>
            </w: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589.3</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578.5</w:t>
            </w: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480" w:type="dxa"/>
            <w:vAlign w:val="bottom"/>
            <w:gridSpan w:val="2"/>
          </w:tcPr>
          <w:p>
            <w:pPr>
              <w:ind w:left="160"/>
              <w:spacing w:after="0"/>
              <w:rPr>
                <w:sz w:val="20"/>
                <w:szCs w:val="20"/>
                <w:color w:val="auto"/>
              </w:rPr>
            </w:pPr>
            <w:r>
              <w:rPr>
                <w:rFonts w:ascii="Arial" w:cs="Arial" w:eastAsia="Arial" w:hAnsi="Arial"/>
                <w:sz w:val="13"/>
                <w:szCs w:val="13"/>
                <w:color w:val="auto"/>
              </w:rPr>
              <w:t>Commercial - Government Agencies</w:t>
            </w:r>
          </w:p>
        </w:tc>
        <w:tc>
          <w:tcPr>
            <w:tcW w:w="4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63.9</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9"/>
                <w:szCs w:val="19"/>
                <w:color w:val="auto"/>
              </w:rPr>
            </w:pPr>
          </w:p>
        </w:tc>
        <w:tc>
          <w:tcPr>
            <w:tcW w:w="4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63.9</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9"/>
                <w:szCs w:val="19"/>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Mortgage-Backed Securities</w:t>
            </w:r>
          </w:p>
        </w:tc>
        <w:tc>
          <w:tcPr>
            <w:tcW w:w="4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3.1</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377.8</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2.4</w:t>
            </w:r>
          </w:p>
        </w:tc>
        <w:tc>
          <w:tcPr>
            <w:tcW w:w="180" w:type="dxa"/>
            <w:vAlign w:val="bottom"/>
            <w:shd w:val="clear" w:color="auto" w:fill="CCEEFF"/>
          </w:tcPr>
          <w:p>
            <w:pPr>
              <w:spacing w:after="0"/>
              <w:rPr>
                <w:sz w:val="19"/>
                <w:szCs w:val="19"/>
                <w:color w:val="auto"/>
              </w:rPr>
            </w:pPr>
          </w:p>
        </w:tc>
        <w:tc>
          <w:tcPr>
            <w:tcW w:w="4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460.0</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2.8</w:t>
            </w: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842.8</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2.6</w:t>
            </w:r>
          </w:p>
        </w:tc>
        <w:tc>
          <w:tcPr>
            <w:tcW w:w="20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828.3</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vMerge w:val="continue"/>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480" w:type="dxa"/>
            <w:vAlign w:val="bottom"/>
            <w:gridSpan w:val="2"/>
          </w:tcPr>
          <w:p>
            <w:pPr>
              <w:ind w:left="40"/>
              <w:spacing w:after="0"/>
              <w:rPr>
                <w:sz w:val="20"/>
                <w:szCs w:val="20"/>
                <w:color w:val="auto"/>
              </w:rPr>
            </w:pPr>
            <w:r>
              <w:rPr>
                <w:rFonts w:ascii="Arial" w:cs="Arial" w:eastAsia="Arial" w:hAnsi="Arial"/>
                <w:sz w:val="13"/>
                <w:szCs w:val="13"/>
                <w:color w:val="auto"/>
              </w:rPr>
              <w:t>Total</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57"/>
              <w:spacing w:after="0"/>
              <w:rPr>
                <w:sz w:val="20"/>
                <w:szCs w:val="20"/>
                <w:color w:val="auto"/>
              </w:rPr>
            </w:pPr>
            <w:r>
              <w:rPr>
                <w:rFonts w:ascii="Arial" w:cs="Arial" w:eastAsia="Arial" w:hAnsi="Arial"/>
                <w:sz w:val="13"/>
                <w:szCs w:val="13"/>
                <w:color w:val="auto"/>
              </w:rPr>
              <w:t>62.6</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  1,105.3</w:t>
            </w:r>
          </w:p>
        </w:tc>
        <w:tc>
          <w:tcPr>
            <w:tcW w:w="1200" w:type="dxa"/>
            <w:vAlign w:val="bottom"/>
            <w:gridSpan w:val="2"/>
          </w:tcPr>
          <w:p>
            <w:pPr>
              <w:ind w:left="620"/>
              <w:spacing w:after="0"/>
              <w:rPr>
                <w:sz w:val="20"/>
                <w:szCs w:val="20"/>
                <w:color w:val="auto"/>
              </w:rPr>
            </w:pPr>
            <w:r>
              <w:rPr>
                <w:rFonts w:ascii="Arial" w:cs="Arial" w:eastAsia="Arial" w:hAnsi="Arial"/>
                <w:sz w:val="13"/>
                <w:szCs w:val="13"/>
                <w:color w:val="auto"/>
              </w:rPr>
              <w:t>2.8%   $</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831.5</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  22.8</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  2,022.2</w:t>
            </w:r>
          </w:p>
        </w:tc>
        <w:tc>
          <w:tcPr>
            <w:tcW w:w="1220" w:type="dxa"/>
            <w:vAlign w:val="bottom"/>
            <w:gridSpan w:val="2"/>
          </w:tcPr>
          <w:p>
            <w:pPr>
              <w:ind w:left="620"/>
              <w:spacing w:after="0"/>
              <w:rPr>
                <w:sz w:val="20"/>
                <w:szCs w:val="20"/>
                <w:color w:val="auto"/>
              </w:rPr>
            </w:pPr>
            <w:r>
              <w:rPr>
                <w:rFonts w:ascii="Arial" w:cs="Arial" w:eastAsia="Arial" w:hAnsi="Arial"/>
                <w:sz w:val="13"/>
                <w:szCs w:val="13"/>
                <w:color w:val="auto"/>
              </w:rPr>
              <w:t>2.9%   $</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2,007.9</w:t>
            </w: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Held-to-Maturity</w:t>
      </w:r>
    </w:p>
    <w:p>
      <w:pPr>
        <w:sectPr>
          <w:pgSz w:w="11900" w:h="16838" w:orient="portrait"/>
          <w:cols w:equalWidth="0" w:num="1">
            <w:col w:w="11420"/>
          </w:cols>
          <w:pgMar w:left="240" w:top="125" w:right="239" w:bottom="1041" w:gutter="0" w:footer="0" w:header="0"/>
          <w:type w:val="continuous"/>
        </w:sectPr>
      </w:pPr>
    </w:p>
    <w:p>
      <w:pPr>
        <w:spacing w:after="0" w:line="179" w:lineRule="exact"/>
        <w:rPr>
          <w:sz w:val="20"/>
          <w:szCs w:val="20"/>
          <w:color w:val="auto"/>
        </w:rPr>
      </w:pPr>
    </w:p>
    <w:p>
      <w:pPr>
        <w:ind w:left="140" w:hanging="107"/>
        <w:spacing w:after="0" w:line="273" w:lineRule="auto"/>
        <w:rPr>
          <w:sz w:val="20"/>
          <w:szCs w:val="20"/>
          <w:color w:val="auto"/>
        </w:rPr>
      </w:pPr>
      <w:r>
        <w:rPr>
          <w:rFonts w:ascii="Arial" w:cs="Arial" w:eastAsia="Arial" w:hAnsi="Arial"/>
          <w:sz w:val="12"/>
          <w:szCs w:val="12"/>
          <w:color w:val="auto"/>
        </w:rPr>
        <w:t xml:space="preserve">Debt Securities Issued by the U.S. Treasury and Government Agencies </w:t>
      </w:r>
      <w:r>
        <w:rPr>
          <w:rFonts w:ascii="Arial" w:cs="Arial" w:eastAsia="Arial" w:hAnsi="Arial"/>
          <w:sz w:val="7"/>
          <w:szCs w:val="7"/>
          <w:color w:val="auto"/>
        </w:rPr>
        <w:t>2</w:t>
      </w:r>
    </w:p>
    <w:p>
      <w:pPr>
        <w:spacing w:after="0" w:line="91" w:lineRule="exact"/>
        <w:rPr>
          <w:sz w:val="20"/>
          <w:szCs w:val="20"/>
          <w:color w:val="auto"/>
        </w:rPr>
      </w:pPr>
    </w:p>
    <w:p>
      <w:pPr>
        <w:ind w:left="200" w:right="380" w:hanging="161"/>
        <w:spacing w:after="0" w:line="273" w:lineRule="auto"/>
        <w:rPr>
          <w:sz w:val="20"/>
          <w:szCs w:val="20"/>
          <w:color w:val="auto"/>
        </w:rPr>
      </w:pPr>
      <w:r>
        <w:rPr>
          <w:rFonts w:ascii="Arial" w:cs="Arial" w:eastAsia="Arial" w:hAnsi="Arial"/>
          <w:sz w:val="12"/>
          <w:szCs w:val="12"/>
          <w:color w:val="auto"/>
        </w:rPr>
        <w:t xml:space="preserve">Debt Securities Issued by States and Political Subdivisions </w:t>
      </w:r>
      <w:r>
        <w:rPr>
          <w:rFonts w:ascii="Arial" w:cs="Arial" w:eastAsia="Arial" w:hAnsi="Arial"/>
          <w:sz w:val="7"/>
          <w:szCs w:val="7"/>
          <w:color w:val="auto"/>
        </w:rPr>
        <w:t>1</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Debt Securities Issued by Corporations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Mortgage-Backed Securities </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left="169" w:hanging="169"/>
        <w:spacing w:after="0"/>
        <w:tabs>
          <w:tab w:leader="none" w:pos="169" w:val="left"/>
        </w:tabs>
        <w:numPr>
          <w:ilvl w:val="0"/>
          <w:numId w:val="23"/>
        </w:numPr>
        <w:rPr>
          <w:rFonts w:ascii="Arial" w:cs="Arial" w:eastAsia="Arial" w:hAnsi="Arial"/>
          <w:sz w:val="11"/>
          <w:szCs w:val="11"/>
          <w:color w:val="auto"/>
        </w:rPr>
      </w:pPr>
      <w:r>
        <w:rPr>
          <w:rFonts w:ascii="Arial" w:cs="Arial" w:eastAsia="Arial" w:hAnsi="Arial"/>
          <w:sz w:val="11"/>
          <w:szCs w:val="11"/>
          <w:color w:val="auto"/>
        </w:rPr>
        <w:t>154.7</w:t>
      </w:r>
    </w:p>
    <w:p>
      <w:pPr>
        <w:spacing w:after="0" w:line="278" w:lineRule="exact"/>
        <w:rPr>
          <w:rFonts w:ascii="Arial" w:cs="Arial" w:eastAsia="Arial" w:hAnsi="Arial"/>
          <w:sz w:val="11"/>
          <w:szCs w:val="11"/>
          <w:color w:val="auto"/>
        </w:rPr>
      </w:pPr>
    </w:p>
    <w:p>
      <w:pPr>
        <w:ind w:left="229"/>
        <w:spacing w:after="0"/>
        <w:rPr>
          <w:rFonts w:ascii="Arial" w:cs="Arial" w:eastAsia="Arial" w:hAnsi="Arial"/>
          <w:sz w:val="11"/>
          <w:szCs w:val="11"/>
          <w:color w:val="auto"/>
        </w:rPr>
      </w:pPr>
      <w:r>
        <w:rPr>
          <w:rFonts w:ascii="Arial" w:cs="Arial" w:eastAsia="Arial" w:hAnsi="Arial"/>
          <w:sz w:val="11"/>
          <w:szCs w:val="11"/>
          <w:color w:val="auto"/>
        </w:rPr>
        <w:t>10.2</w:t>
      </w:r>
    </w:p>
    <w:p>
      <w:pPr>
        <w:spacing w:after="0" w:line="251" w:lineRule="exact"/>
        <w:rPr>
          <w:rFonts w:ascii="Arial" w:cs="Arial" w:eastAsia="Arial" w:hAnsi="Arial"/>
          <w:sz w:val="11"/>
          <w:szCs w:val="11"/>
          <w:color w:val="auto"/>
        </w:rPr>
      </w:pPr>
    </w:p>
    <w:p>
      <w:pPr>
        <w:ind w:left="329"/>
        <w:spacing w:after="0"/>
        <w:rPr>
          <w:rFonts w:ascii="Arial" w:cs="Arial" w:eastAsia="Arial" w:hAnsi="Arial"/>
          <w:sz w:val="11"/>
          <w:szCs w:val="11"/>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00" w:type="dxa"/>
            <w:vAlign w:val="bottom"/>
          </w:tcPr>
          <w:p>
            <w:pPr>
              <w:jc w:val="right"/>
              <w:ind w:right="39"/>
              <w:spacing w:after="0"/>
              <w:rPr>
                <w:sz w:val="20"/>
                <w:szCs w:val="20"/>
                <w:color w:val="auto"/>
              </w:rPr>
            </w:pPr>
            <w:r>
              <w:rPr>
                <w:rFonts w:ascii="Arial" w:cs="Arial" w:eastAsia="Arial" w:hAnsi="Arial"/>
                <w:sz w:val="13"/>
                <w:szCs w:val="13"/>
                <w:color w:val="auto"/>
              </w:rPr>
              <w:t>1.9%   $</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198.4</w:t>
            </w:r>
          </w:p>
        </w:tc>
        <w:tc>
          <w:tcPr>
            <w:tcW w:w="940" w:type="dxa"/>
            <w:vAlign w:val="bottom"/>
          </w:tcPr>
          <w:p>
            <w:pPr>
              <w:ind w:left="360"/>
              <w:spacing w:after="0"/>
              <w:rPr>
                <w:sz w:val="20"/>
                <w:szCs w:val="20"/>
                <w:color w:val="auto"/>
              </w:rPr>
            </w:pPr>
            <w:r>
              <w:rPr>
                <w:rFonts w:ascii="Arial" w:cs="Arial" w:eastAsia="Arial" w:hAnsi="Arial"/>
                <w:sz w:val="13"/>
                <w:szCs w:val="13"/>
                <w:color w:val="auto"/>
              </w:rPr>
              <w:t>2.3%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   $</w:t>
            </w:r>
          </w:p>
        </w:tc>
        <w:tc>
          <w:tcPr>
            <w:tcW w:w="6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   $</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353.1</w:t>
            </w:r>
          </w:p>
        </w:tc>
        <w:tc>
          <w:tcPr>
            <w:tcW w:w="1020" w:type="dxa"/>
            <w:vAlign w:val="bottom"/>
          </w:tcPr>
          <w:p>
            <w:pPr>
              <w:ind w:left="380"/>
              <w:spacing w:after="0"/>
              <w:rPr>
                <w:sz w:val="20"/>
                <w:szCs w:val="20"/>
                <w:color w:val="auto"/>
              </w:rPr>
            </w:pPr>
            <w:r>
              <w:rPr>
                <w:rFonts w:ascii="Arial" w:cs="Arial" w:eastAsia="Arial" w:hAnsi="Arial"/>
                <w:sz w:val="13"/>
                <w:szCs w:val="13"/>
                <w:color w:val="auto"/>
              </w:rPr>
              <w:t>2.1%   $</w:t>
            </w:r>
          </w:p>
        </w:tc>
        <w:tc>
          <w:tcPr>
            <w:tcW w:w="440" w:type="dxa"/>
            <w:vAlign w:val="bottom"/>
          </w:tcPr>
          <w:p>
            <w:pPr>
              <w:jc w:val="right"/>
              <w:spacing w:after="0"/>
              <w:rPr>
                <w:sz w:val="20"/>
                <w:szCs w:val="20"/>
                <w:color w:val="auto"/>
              </w:rPr>
            </w:pPr>
            <w:r>
              <w:rPr>
                <w:rFonts w:ascii="Arial" w:cs="Arial" w:eastAsia="Arial" w:hAnsi="Arial"/>
                <w:sz w:val="13"/>
                <w:szCs w:val="13"/>
                <w:color w:val="auto"/>
              </w:rPr>
              <w:t>352.2</w:t>
            </w:r>
          </w:p>
        </w:tc>
      </w:tr>
      <w:tr>
        <w:trPr>
          <w:trHeight w:val="405"/>
        </w:trPr>
        <w:tc>
          <w:tcPr>
            <w:tcW w:w="600" w:type="dxa"/>
            <w:vAlign w:val="bottom"/>
          </w:tcPr>
          <w:p>
            <w:pPr>
              <w:jc w:val="right"/>
              <w:ind w:right="399"/>
              <w:spacing w:after="0"/>
              <w:rPr>
                <w:sz w:val="20"/>
                <w:szCs w:val="20"/>
                <w:color w:val="auto"/>
              </w:rPr>
            </w:pPr>
            <w:r>
              <w:rPr>
                <w:rFonts w:ascii="Arial" w:cs="Arial" w:eastAsia="Arial" w:hAnsi="Arial"/>
                <w:sz w:val="12"/>
                <w:szCs w:val="12"/>
                <w:color w:val="auto"/>
                <w:w w:val="71"/>
              </w:rPr>
              <w:t>2.4</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110.7</w:t>
            </w:r>
          </w:p>
        </w:tc>
        <w:tc>
          <w:tcPr>
            <w:tcW w:w="940" w:type="dxa"/>
            <w:vAlign w:val="bottom"/>
          </w:tcPr>
          <w:p>
            <w:pPr>
              <w:ind w:left="360"/>
              <w:spacing w:after="0"/>
              <w:rPr>
                <w:sz w:val="20"/>
                <w:szCs w:val="20"/>
                <w:color w:val="auto"/>
              </w:rPr>
            </w:pPr>
            <w:r>
              <w:rPr>
                <w:rFonts w:ascii="Arial" w:cs="Arial" w:eastAsia="Arial" w:hAnsi="Arial"/>
                <w:sz w:val="13"/>
                <w:szCs w:val="13"/>
                <w:color w:val="auto"/>
              </w:rPr>
              <w:t>3.4</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106.0</w:t>
            </w:r>
          </w:p>
        </w:tc>
        <w:tc>
          <w:tcPr>
            <w:tcW w:w="960" w:type="dxa"/>
            <w:vAlign w:val="bottom"/>
          </w:tcPr>
          <w:p>
            <w:pPr>
              <w:jc w:val="right"/>
              <w:ind w:right="377"/>
              <w:spacing w:after="0"/>
              <w:rPr>
                <w:sz w:val="20"/>
                <w:szCs w:val="20"/>
                <w:color w:val="auto"/>
              </w:rPr>
            </w:pPr>
            <w:r>
              <w:rPr>
                <w:rFonts w:ascii="Arial" w:cs="Arial" w:eastAsia="Arial" w:hAnsi="Arial"/>
                <w:sz w:val="13"/>
                <w:szCs w:val="13"/>
                <w:color w:val="auto"/>
              </w:rPr>
              <w:t>5.0</w:t>
            </w:r>
          </w:p>
        </w:tc>
        <w:tc>
          <w:tcPr>
            <w:tcW w:w="620" w:type="dxa"/>
            <w:vAlign w:val="bottom"/>
          </w:tcPr>
          <w:p>
            <w:pPr>
              <w:jc w:val="right"/>
              <w:ind w:right="297"/>
              <w:spacing w:after="0"/>
              <w:rPr>
                <w:sz w:val="20"/>
                <w:szCs w:val="20"/>
                <w:color w:val="auto"/>
              </w:rPr>
            </w:pPr>
            <w:r>
              <w:rPr>
                <w:rFonts w:ascii="Arial" w:cs="Arial" w:eastAsia="Arial" w:hAnsi="Arial"/>
                <w:sz w:val="13"/>
                <w:szCs w:val="13"/>
                <w:color w:val="auto"/>
              </w:rPr>
              <w:t>7.7</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5.2</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234.6</w:t>
            </w:r>
          </w:p>
        </w:tc>
        <w:tc>
          <w:tcPr>
            <w:tcW w:w="1020" w:type="dxa"/>
            <w:vAlign w:val="bottom"/>
          </w:tcPr>
          <w:p>
            <w:pPr>
              <w:ind w:left="380"/>
              <w:spacing w:after="0"/>
              <w:rPr>
                <w:sz w:val="20"/>
                <w:szCs w:val="20"/>
                <w:color w:val="auto"/>
              </w:rPr>
            </w:pPr>
            <w:r>
              <w:rPr>
                <w:rFonts w:ascii="Arial" w:cs="Arial" w:eastAsia="Arial" w:hAnsi="Arial"/>
                <w:sz w:val="13"/>
                <w:szCs w:val="13"/>
                <w:color w:val="auto"/>
              </w:rPr>
              <w:t>4.1</w:t>
            </w:r>
          </w:p>
        </w:tc>
        <w:tc>
          <w:tcPr>
            <w:tcW w:w="440" w:type="dxa"/>
            <w:vAlign w:val="bottom"/>
          </w:tcPr>
          <w:p>
            <w:pPr>
              <w:jc w:val="right"/>
              <w:spacing w:after="0"/>
              <w:rPr>
                <w:sz w:val="20"/>
                <w:szCs w:val="20"/>
                <w:color w:val="auto"/>
              </w:rPr>
            </w:pPr>
            <w:r>
              <w:rPr>
                <w:rFonts w:ascii="Arial" w:cs="Arial" w:eastAsia="Arial" w:hAnsi="Arial"/>
                <w:sz w:val="13"/>
                <w:szCs w:val="13"/>
                <w:color w:val="auto"/>
              </w:rPr>
              <w:t>240.8</w:t>
            </w:r>
          </w:p>
        </w:tc>
      </w:tr>
      <w:tr>
        <w:trPr>
          <w:trHeight w:val="378"/>
        </w:trPr>
        <w:tc>
          <w:tcPr>
            <w:tcW w:w="600" w:type="dxa"/>
            <w:vAlign w:val="bottom"/>
          </w:tcPr>
          <w:p>
            <w:pPr>
              <w:jc w:val="right"/>
              <w:ind w:right="399"/>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ind w:right="317"/>
              <w:spacing w:after="0"/>
              <w:rPr>
                <w:sz w:val="20"/>
                <w:szCs w:val="20"/>
                <w:color w:val="auto"/>
              </w:rPr>
            </w:pPr>
            <w:r>
              <w:rPr>
                <w:rFonts w:ascii="Arial" w:cs="Arial" w:eastAsia="Arial" w:hAnsi="Arial"/>
                <w:sz w:val="13"/>
                <w:szCs w:val="13"/>
                <w:color w:val="auto"/>
              </w:rPr>
              <w:t>1.9</w:t>
            </w:r>
          </w:p>
        </w:tc>
        <w:tc>
          <w:tcPr>
            <w:tcW w:w="940" w:type="dxa"/>
            <w:vAlign w:val="bottom"/>
          </w:tcPr>
          <w:p>
            <w:pPr>
              <w:ind w:left="360"/>
              <w:spacing w:after="0"/>
              <w:rPr>
                <w:sz w:val="20"/>
                <w:szCs w:val="20"/>
                <w:color w:val="auto"/>
              </w:rPr>
            </w:pPr>
            <w:r>
              <w:rPr>
                <w:rFonts w:ascii="Arial" w:cs="Arial" w:eastAsia="Arial" w:hAnsi="Arial"/>
                <w:sz w:val="13"/>
                <w:szCs w:val="13"/>
                <w:color w:val="auto"/>
              </w:rPr>
              <w:t>2.5</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95.4</w:t>
            </w:r>
          </w:p>
        </w:tc>
        <w:tc>
          <w:tcPr>
            <w:tcW w:w="960" w:type="dxa"/>
            <w:vAlign w:val="bottom"/>
          </w:tcPr>
          <w:p>
            <w:pPr>
              <w:jc w:val="right"/>
              <w:ind w:right="377"/>
              <w:spacing w:after="0"/>
              <w:rPr>
                <w:sz w:val="20"/>
                <w:szCs w:val="20"/>
                <w:color w:val="auto"/>
              </w:rPr>
            </w:pPr>
            <w:r>
              <w:rPr>
                <w:rFonts w:ascii="Arial" w:cs="Arial" w:eastAsia="Arial" w:hAnsi="Arial"/>
                <w:sz w:val="13"/>
                <w:szCs w:val="13"/>
                <w:color w:val="auto"/>
              </w:rPr>
              <w:t>2.1</w:t>
            </w:r>
          </w:p>
        </w:tc>
        <w:tc>
          <w:tcPr>
            <w:tcW w:w="62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7"/>
              <w:spacing w:after="0"/>
              <w:rPr>
                <w:sz w:val="20"/>
                <w:szCs w:val="20"/>
                <w:color w:val="auto"/>
              </w:rPr>
            </w:pPr>
            <w:r>
              <w:rPr>
                <w:rFonts w:ascii="Arial" w:cs="Arial" w:eastAsia="Arial" w:hAnsi="Arial"/>
                <w:sz w:val="13"/>
                <w:szCs w:val="13"/>
                <w:color w:val="auto"/>
              </w:rPr>
              <w:t>97.3</w:t>
            </w:r>
          </w:p>
        </w:tc>
        <w:tc>
          <w:tcPr>
            <w:tcW w:w="1020" w:type="dxa"/>
            <w:vAlign w:val="bottom"/>
          </w:tcPr>
          <w:p>
            <w:pPr>
              <w:ind w:left="380"/>
              <w:spacing w:after="0"/>
              <w:rPr>
                <w:sz w:val="20"/>
                <w:szCs w:val="20"/>
                <w:color w:val="auto"/>
              </w:rPr>
            </w:pPr>
            <w:r>
              <w:rPr>
                <w:rFonts w:ascii="Arial" w:cs="Arial" w:eastAsia="Arial" w:hAnsi="Arial"/>
                <w:sz w:val="13"/>
                <w:szCs w:val="13"/>
                <w:color w:val="auto"/>
              </w:rPr>
              <w:t>2.1</w:t>
            </w:r>
          </w:p>
        </w:tc>
        <w:tc>
          <w:tcPr>
            <w:tcW w:w="440" w:type="dxa"/>
            <w:vAlign w:val="bottom"/>
          </w:tcPr>
          <w:p>
            <w:pPr>
              <w:jc w:val="right"/>
              <w:spacing w:after="0"/>
              <w:rPr>
                <w:sz w:val="20"/>
                <w:szCs w:val="20"/>
                <w:color w:val="auto"/>
              </w:rPr>
            </w:pPr>
            <w:r>
              <w:rPr>
                <w:rFonts w:ascii="Arial" w:cs="Arial" w:eastAsia="Arial" w:hAnsi="Arial"/>
                <w:sz w:val="13"/>
                <w:szCs w:val="13"/>
                <w:color w:val="auto"/>
              </w:rPr>
              <w:t>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-486410</wp:posOffset>
            </wp:positionV>
            <wp:extent cx="72466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3">
            <w:col w:w="2240" w:space="91"/>
            <w:col w:w="509" w:space="720"/>
            <w:col w:w="7860"/>
          </w:cols>
          <w:pgMar w:left="240" w:top="125" w:right="239" w:bottom="1041"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440" w:type="dxa"/>
            <w:vAlign w:val="bottom"/>
            <w:gridSpan w:val="2"/>
          </w:tcPr>
          <w:p>
            <w:pPr>
              <w:ind w:left="160"/>
              <w:spacing w:after="0"/>
              <w:rPr>
                <w:sz w:val="20"/>
                <w:szCs w:val="20"/>
                <w:color w:val="auto"/>
              </w:rPr>
            </w:pPr>
            <w:r>
              <w:rPr>
                <w:rFonts w:ascii="Arial" w:cs="Arial" w:eastAsia="Arial" w:hAnsi="Arial"/>
                <w:sz w:val="13"/>
                <w:szCs w:val="13"/>
                <w:color w:val="auto"/>
              </w:rPr>
              <w:t>Residential - Government Agencies</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1,138.7</w:t>
            </w:r>
          </w:p>
        </w:tc>
        <w:tc>
          <w:tcPr>
            <w:tcW w:w="1020" w:type="dxa"/>
            <w:vAlign w:val="bottom"/>
          </w:tcPr>
          <w:p>
            <w:pPr>
              <w:ind w:left="620"/>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710.5</w:t>
            </w:r>
          </w:p>
        </w:tc>
        <w:tc>
          <w:tcPr>
            <w:tcW w:w="1020" w:type="dxa"/>
            <w:vAlign w:val="bottom"/>
          </w:tcPr>
          <w:p>
            <w:pPr>
              <w:ind w:left="620"/>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1,861.9</w:t>
            </w:r>
          </w:p>
        </w:tc>
        <w:tc>
          <w:tcPr>
            <w:tcW w:w="1020" w:type="dxa"/>
            <w:vAlign w:val="bottom"/>
          </w:tcPr>
          <w:p>
            <w:pPr>
              <w:ind w:left="620"/>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1,814.0</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Residential - U.S. Government-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Sponsored Enterprises</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295.9</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462.9</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758.8</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740.2</w:t>
            </w: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440" w:type="dxa"/>
            <w:vAlign w:val="bottom"/>
            <w:gridSpan w:val="2"/>
          </w:tcPr>
          <w:p>
            <w:pPr>
              <w:ind w:left="160"/>
              <w:spacing w:after="0"/>
              <w:rPr>
                <w:sz w:val="20"/>
                <w:szCs w:val="20"/>
                <w:color w:val="auto"/>
              </w:rPr>
            </w:pPr>
            <w:r>
              <w:rPr>
                <w:rFonts w:ascii="Arial" w:cs="Arial" w:eastAsia="Arial" w:hAnsi="Arial"/>
                <w:sz w:val="13"/>
                <w:szCs w:val="13"/>
                <w:color w:val="auto"/>
              </w:rPr>
              <w:t>Commercial - Government Agencies</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8.2</w:t>
            </w:r>
          </w:p>
        </w:tc>
        <w:tc>
          <w:tcPr>
            <w:tcW w:w="1080" w:type="dxa"/>
            <w:vAlign w:val="bottom"/>
            <w:vMerge w:val="restart"/>
          </w:tcPr>
          <w:p>
            <w:pPr>
              <w:jc w:val="right"/>
              <w:ind w:right="217"/>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9"/>
                <w:szCs w:val="1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161.9</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9"/>
                <w:szCs w:val="19"/>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6.3</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9"/>
                <w:szCs w:val="19"/>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176.4</w:t>
            </w:r>
          </w:p>
        </w:tc>
        <w:tc>
          <w:tcPr>
            <w:tcW w:w="1020" w:type="dxa"/>
            <w:vAlign w:val="bottom"/>
            <w:vMerge w:val="restart"/>
          </w:tcPr>
          <w:p>
            <w:pPr>
              <w:ind w:left="620"/>
              <w:spacing w:after="0"/>
              <w:rPr>
                <w:sz w:val="20"/>
                <w:szCs w:val="20"/>
                <w:color w:val="auto"/>
              </w:rPr>
            </w:pPr>
            <w:r>
              <w:rPr>
                <w:rFonts w:ascii="Arial" w:cs="Arial" w:eastAsia="Arial" w:hAnsi="Arial"/>
                <w:sz w:val="13"/>
                <w:szCs w:val="13"/>
                <w:color w:val="auto"/>
              </w:rPr>
              <w:t>2.9</w:t>
            </w:r>
          </w:p>
        </w:tc>
        <w:tc>
          <w:tcPr>
            <w:tcW w:w="200" w:type="dxa"/>
            <w:vAlign w:val="bottom"/>
          </w:tcPr>
          <w:p>
            <w:pPr>
              <w:spacing w:after="0"/>
              <w:rPr>
                <w:sz w:val="19"/>
                <w:szCs w:val="19"/>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171.4</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Mortgage-Backed Securities</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20.9</w:t>
            </w:r>
          </w:p>
        </w:tc>
        <w:tc>
          <w:tcPr>
            <w:tcW w:w="108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1,596.5</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92"/>
              </w:rPr>
              <w:t>1,179.7</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2,797.1</w:t>
            </w:r>
          </w:p>
        </w:tc>
        <w:tc>
          <w:tcPr>
            <w:tcW w:w="102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2,725.6</w:t>
            </w:r>
          </w:p>
        </w:tc>
        <w:tc>
          <w:tcPr>
            <w:tcW w:w="0" w:type="dxa"/>
            <w:vAlign w:val="bottom"/>
          </w:tcPr>
          <w:p>
            <w:pPr>
              <w:spacing w:after="0"/>
              <w:rPr>
                <w:sz w:val="1"/>
                <w:szCs w:val="1"/>
                <w:color w:val="auto"/>
              </w:rPr>
            </w:pPr>
          </w:p>
        </w:tc>
      </w:tr>
      <w:tr>
        <w:trPr>
          <w:trHeight w:val="145"/>
        </w:trPr>
        <w:tc>
          <w:tcPr>
            <w:tcW w:w="23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gridSpan w:val="2"/>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440" w:type="dxa"/>
            <w:vAlign w:val="bottom"/>
            <w:gridSpan w:val="2"/>
          </w:tcPr>
          <w:p>
            <w:pPr>
              <w:ind w:left="40"/>
              <w:spacing w:after="0"/>
              <w:rPr>
                <w:sz w:val="20"/>
                <w:szCs w:val="20"/>
                <w:color w:val="auto"/>
              </w:rPr>
            </w:pPr>
            <w:r>
              <w:rPr>
                <w:rFonts w:ascii="Arial" w:cs="Arial" w:eastAsia="Arial" w:hAnsi="Arial"/>
                <w:sz w:val="13"/>
                <w:szCs w:val="13"/>
                <w:color w:val="auto"/>
              </w:rPr>
              <w:t>Total</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185.8</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1,907.5</w:t>
            </w:r>
          </w:p>
        </w:tc>
        <w:tc>
          <w:tcPr>
            <w:tcW w:w="1160" w:type="dxa"/>
            <w:vAlign w:val="bottom"/>
            <w:gridSpan w:val="2"/>
          </w:tcPr>
          <w:p>
            <w:pPr>
              <w:ind w:left="620"/>
              <w:spacing w:after="0"/>
              <w:rPr>
                <w:sz w:val="20"/>
                <w:szCs w:val="20"/>
                <w:color w:val="auto"/>
              </w:rPr>
            </w:pPr>
            <w:r>
              <w:rPr>
                <w:rFonts w:ascii="Arial" w:cs="Arial" w:eastAsia="Arial" w:hAnsi="Arial"/>
                <w:sz w:val="13"/>
                <w:szCs w:val="13"/>
                <w:color w:val="auto"/>
              </w:rPr>
              <w:t>2.3%   $</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92"/>
              </w:rPr>
              <w:t>1,381.1</w:t>
            </w:r>
          </w:p>
        </w:tc>
        <w:tc>
          <w:tcPr>
            <w:tcW w:w="1180" w:type="dxa"/>
            <w:vAlign w:val="bottom"/>
            <w:gridSpan w:val="2"/>
          </w:tcPr>
          <w:p>
            <w:pPr>
              <w:ind w:left="620"/>
              <w:spacing w:after="0"/>
              <w:rPr>
                <w:sz w:val="20"/>
                <w:szCs w:val="20"/>
                <w:color w:val="auto"/>
              </w:rPr>
            </w:pPr>
            <w:r>
              <w:rPr>
                <w:rFonts w:ascii="Arial" w:cs="Arial" w:eastAsia="Arial" w:hAnsi="Arial"/>
                <w:sz w:val="13"/>
                <w:szCs w:val="13"/>
                <w:color w:val="auto"/>
              </w:rPr>
              <w:t>2.9%   $</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7.7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5.2%   $</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3,482.1</w:t>
            </w:r>
          </w:p>
        </w:tc>
        <w:tc>
          <w:tcPr>
            <w:tcW w:w="1220" w:type="dxa"/>
            <w:vAlign w:val="bottom"/>
            <w:gridSpan w:val="2"/>
          </w:tcPr>
          <w:p>
            <w:pPr>
              <w:ind w:left="620"/>
              <w:spacing w:after="0"/>
              <w:rPr>
                <w:sz w:val="20"/>
                <w:szCs w:val="20"/>
                <w:color w:val="auto"/>
              </w:rPr>
            </w:pPr>
            <w:r>
              <w:rPr>
                <w:rFonts w:ascii="Arial" w:cs="Arial" w:eastAsia="Arial" w:hAnsi="Arial"/>
                <w:sz w:val="13"/>
                <w:szCs w:val="13"/>
                <w:color w:val="auto"/>
              </w:rPr>
              <w:t>2.6%   $</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3,414.1</w:t>
            </w:r>
          </w:p>
        </w:tc>
        <w:tc>
          <w:tcPr>
            <w:tcW w:w="0" w:type="dxa"/>
            <w:vAlign w:val="bottom"/>
          </w:tcPr>
          <w:p>
            <w:pPr>
              <w:spacing w:after="0"/>
              <w:rPr>
                <w:sz w:val="1"/>
                <w:szCs w:val="1"/>
                <w:color w:val="auto"/>
              </w:rPr>
            </w:pPr>
          </w:p>
        </w:tc>
      </w:tr>
      <w:tr>
        <w:trPr>
          <w:trHeight w:val="21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Investment Securities</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40" w:type="dxa"/>
            <w:vAlign w:val="bottom"/>
            <w:gridSpan w:val="2"/>
          </w:tcPr>
          <w:p>
            <w:pPr>
              <w:ind w:left="40"/>
              <w:spacing w:after="0"/>
              <w:rPr>
                <w:sz w:val="20"/>
                <w:szCs w:val="20"/>
                <w:color w:val="auto"/>
              </w:rPr>
            </w:pPr>
            <w:r>
              <w:rPr>
                <w:rFonts w:ascii="Arial" w:cs="Arial" w:eastAsia="Arial" w:hAnsi="Arial"/>
                <w:sz w:val="13"/>
                <w:szCs w:val="13"/>
                <w:color w:val="auto"/>
              </w:rPr>
              <w:t>As of December 31, 2018</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w w:val="98"/>
              </w:rPr>
              <w:t>248.4</w:t>
            </w:r>
          </w:p>
        </w:tc>
        <w:tc>
          <w:tcPr>
            <w:tcW w:w="10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3,012.8</w:t>
            </w:r>
          </w:p>
        </w:tc>
        <w:tc>
          <w:tcPr>
            <w:tcW w:w="1020" w:type="dxa"/>
            <w:vAlign w:val="bottom"/>
            <w:vMerge w:val="restart"/>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w w:val="92"/>
              </w:rPr>
              <w:t>2,212.6</w:t>
            </w:r>
          </w:p>
        </w:tc>
        <w:tc>
          <w:tcPr>
            <w:tcW w:w="1020" w:type="dxa"/>
            <w:vAlign w:val="bottom"/>
            <w:vMerge w:val="restart"/>
          </w:tcPr>
          <w:p>
            <w:pPr>
              <w:spacing w:after="0"/>
              <w:rPr>
                <w:sz w:val="16"/>
                <w:szCs w:val="16"/>
                <w:color w:val="auto"/>
              </w:rPr>
            </w:pP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30.5</w:t>
            </w:r>
          </w:p>
        </w:tc>
        <w:tc>
          <w:tcPr>
            <w:tcW w:w="102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92"/>
              </w:rPr>
              <w:t>5,504.3</w:t>
            </w:r>
          </w:p>
        </w:tc>
        <w:tc>
          <w:tcPr>
            <w:tcW w:w="1020" w:type="dxa"/>
            <w:vAlign w:val="bottom"/>
            <w:vMerge w:val="restart"/>
          </w:tcPr>
          <w:p>
            <w:pPr>
              <w:spacing w:after="0"/>
              <w:rPr>
                <w:sz w:val="16"/>
                <w:szCs w:val="16"/>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5,422.0</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As of December 31, 2017</w:t>
            </w:r>
          </w:p>
        </w:tc>
        <w:tc>
          <w:tcPr>
            <w:tcW w:w="4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8"/>
              </w:rPr>
              <w:t>384.3</w:t>
            </w:r>
          </w:p>
        </w:tc>
        <w:tc>
          <w:tcPr>
            <w:tcW w:w="10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3,655.1</w:t>
            </w:r>
          </w:p>
        </w:tc>
        <w:tc>
          <w:tcPr>
            <w:tcW w:w="1160" w:type="dxa"/>
            <w:vAlign w:val="bottom"/>
            <w:gridSpan w:val="2"/>
            <w:vMerge w:val="restart"/>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92"/>
              </w:rPr>
              <w:t>2,074.3</w:t>
            </w:r>
          </w:p>
        </w:tc>
        <w:tc>
          <w:tcPr>
            <w:tcW w:w="1180" w:type="dxa"/>
            <w:vAlign w:val="bottom"/>
            <w:gridSpan w:val="2"/>
            <w:vMerge w:val="restart"/>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50.6</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92"/>
              </w:rPr>
              <w:t>6,164.3</w:t>
            </w:r>
          </w:p>
        </w:tc>
        <w:tc>
          <w:tcPr>
            <w:tcW w:w="1220" w:type="dxa"/>
            <w:vAlign w:val="bottom"/>
            <w:gridSpan w:val="2"/>
            <w:vMerge w:val="restart"/>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6,127.1</w:t>
            </w:r>
          </w:p>
        </w:tc>
        <w:tc>
          <w:tcPr>
            <w:tcW w:w="0" w:type="dxa"/>
            <w:vAlign w:val="bottom"/>
          </w:tcPr>
          <w:p>
            <w:pPr>
              <w:spacing w:after="0"/>
              <w:rPr>
                <w:sz w:val="1"/>
                <w:szCs w:val="1"/>
                <w:color w:val="auto"/>
              </w:rPr>
            </w:pPr>
          </w:p>
        </w:tc>
      </w:tr>
      <w:tr>
        <w:trPr>
          <w:trHeight w:val="169"/>
        </w:trPr>
        <w:tc>
          <w:tcPr>
            <w:tcW w:w="2440" w:type="dxa"/>
            <w:vAlign w:val="bottom"/>
            <w:gridSpan w:val="2"/>
            <w:shd w:val="clear" w:color="auto" w:fill="CCEEFF"/>
          </w:tcPr>
          <w:p>
            <w:pPr>
              <w:ind w:left="2340"/>
              <w:spacing w:after="0"/>
              <w:rPr>
                <w:sz w:val="20"/>
                <w:szCs w:val="20"/>
                <w:color w:val="auto"/>
              </w:rPr>
            </w:pPr>
            <w:r>
              <w:rPr>
                <w:rFonts w:ascii="Arial" w:cs="Arial" w:eastAsia="Arial" w:hAnsi="Arial"/>
                <w:sz w:val="13"/>
                <w:szCs w:val="13"/>
                <w:color w:val="auto"/>
              </w:rPr>
              <w:t>$</w:t>
            </w:r>
          </w:p>
        </w:tc>
        <w:tc>
          <w:tcPr>
            <w:tcW w:w="460" w:type="dxa"/>
            <w:vAlign w:val="bottom"/>
            <w:vMerge w:val="continue"/>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Weighted-average yields on obligations of states and political subdivisions are generally tax-exempt and are computed on a taxable-equivalent basis using a federal statutory tax rate of 21%.</w:t>
      </w:r>
    </w:p>
    <w:p>
      <w:pPr>
        <w:ind w:left="180" w:hanging="172"/>
        <w:spacing w:after="0" w:line="181" w:lineRule="auto"/>
        <w:tabs>
          <w:tab w:leader="none" w:pos="180" w:val="left"/>
        </w:tabs>
        <w:numPr>
          <w:ilvl w:val="0"/>
          <w:numId w:val="25"/>
        </w:numPr>
        <w:rPr>
          <w:rFonts w:ascii="Arial" w:cs="Arial" w:eastAsia="Arial" w:hAnsi="Arial"/>
          <w:sz w:val="17"/>
          <w:szCs w:val="17"/>
          <w:color w:val="auto"/>
          <w:vertAlign w:val="superscript"/>
        </w:rPr>
      </w:pPr>
      <w:r>
        <w:rPr>
          <w:rFonts w:ascii="Arial" w:cs="Arial" w:eastAsia="Arial" w:hAnsi="Arial"/>
          <w:sz w:val="11"/>
          <w:szCs w:val="11"/>
          <w:color w:val="auto"/>
        </w:rPr>
        <w:t>Maturities for Small Business Administration debt securities and mortgage-backed securities anticipate future prepayments.</w:t>
      </w:r>
    </w:p>
    <w:p>
      <w:pPr>
        <w:spacing w:after="0" w:line="195"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The carrying value of our investment securities portfolio was $5.5 billion as of December 31, 2018, a decrease of $671.1 million or 11% compared to December 31, 2017. As of December 31, 2018, our investment securities portfolio was comprised of securities with an average base duration of approximately 3.4 years.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ectPr>
          <w:pgSz w:w="11900" w:h="16838" w:orient="portrait"/>
          <w:cols w:equalWidth="0" w:num="1">
            <w:col w:w="11420"/>
          </w:cols>
          <w:pgMar w:left="240" w:top="125" w:right="239" w:bottom="1041"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041"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 2018, we reduced our positions primarily in mortgage-backed securities, municipal debt securities, and corporate debt securities. We re-invested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proceeds primarily into higher yielding loan products. Ginnie Mae mortgage-backed securities continue to be the largest concentration in our portfolio.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our portfolio of Ginnie Mae mortgage-backed securities was primarily comprised of securities issued in 2008 or later.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these mortgage-backed securities were all AAA-rated, with a low probability of a change in their credit ratings in the near future.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our available-for-sale investment securities portfolio was comprised of securities with an average base duration of approximately 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Gross unrealized gains in our investment securities portfolio were $21.2 million as of December 31, 2018 and $36.6 million as of December 31, 2017. Gross unrealized losses on our temporarily impaired investment securities were $103.5 million as of December 31, 2018 and $73.9 million as of December 31, 2017. The gross unrealized loss positions were primarily related to mortgage-backed securities issued by Ginnie Mae, Fannie Mae and Freddie Mac, and corporate debt securities. See Note 3 to the Consolidated Financial Statements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included in our investment securities portfolio were debt securities issued by political subdivisions within the State of Hawaii of</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$451.1 million, representing 56% of the total fair value of the Company’s municipal debt securities. Of the entire Hawaii municipal bond portfolio, 96% were credit-rated Aa2 or better by Moody’s while the remaining Hawaii municipal bonds were credit-rated A1 or better by at least one nationally recognized statistical rating organization. Also, approximately 79% of the Company’s Hawaii municipal bond holdings were general obligation issuances. As of December 31, 2018, there were no other holdings of municipal debt securities that were issued by a single state or political subdivision which comprised more than 10% of the total fair value of the Company’s municipal debt securities.</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corporate bond holdings as of December 31, 2018 had a fair value of $318.7 million. Of this total, $95.5 million or 30% was fully guaranteed by the Export-Import Bank of the United States, an agency of the U.S. government. Of the remaining $223.2 million of corporate bonds, 49% were credit-rated A or better by Standard &amp; Poor’s while all of the remaining corporate bonds were credit-rated A- or better by at least one nationally recognized statistical rating organization.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Loans and Leases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December 31,</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1,331,149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1,279,347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1,249,791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1,115,168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1,055,243</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2,302,356</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2,103,967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1,889,551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1,677,147</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1,437,513</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170,061</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202,253</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270,018</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156,660</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109,183</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176,226</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180,931</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208,332</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204,877</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226,189</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3,979,792</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3,766,498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3,617,692</w:t>
            </w: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3,153,852</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2,828,128</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3,673,796</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3,466,773</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3,163,073</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2,925,605</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2,571,090</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1,681,442</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1,585,455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1,334,163</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1,069,400</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866,688</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658,133</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528,474</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454,333</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381,735</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323,848</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00" w:type="dxa"/>
            <w:vAlign w:val="bottom"/>
            <w:tcBorders>
              <w:bottom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455,611</w:t>
            </w: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449,747</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380,524</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348,393</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307,835</w:t>
            </w: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2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6,468,982</w:t>
            </w:r>
          </w:p>
        </w:tc>
        <w:tc>
          <w:tcPr>
            <w:tcW w:w="4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6,030,449</w:t>
            </w:r>
          </w:p>
        </w:tc>
        <w:tc>
          <w:tcPr>
            <w:tcW w:w="2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5,332,093</w:t>
            </w:r>
          </w:p>
        </w:tc>
        <w:tc>
          <w:tcPr>
            <w:tcW w:w="3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4,725,133</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4,069,461</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10,448,774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9,796,947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8,949,785</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7,878,985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6,897,589</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loans and leases were $10.4 billion as of December 31, 2018. This represents a $0.7 billion or 7% increase from December 31, 2017 primarily due to growth in our consumer lending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commercial loan and lease portfolio is comprised of commercial and industrial loans, commercial mortgages, construction loans, and lease financing. Commercial and industrial loans are made primarily to corporations, middle market, and small businesses for the purpose of financing equipment acquisition, expansion, working capital, and other general business purposes. Commercial mortgages and construction loans are offered to real estate investors, developers, and builders primarily domiciled in Hawaii. Commercial mortgages are secured by first mortgages on commercial real estate at loan-to-value ratios generally not exceeding 75%. The commercial properties are predominantly developments such as retail centers, apartments, industrial properties, and to a lesser extent, specialized properties such as hotels. The primary source of repayment for investor property is cash flow from the property and for owner-occupied property is the operating cash flow from the business. Construction loans are for the purchase or construction of a property for which repayment will be generated by the property. We classify loans as construction until the completion of the construction phase. Following construction, if a loan is retained, the loan is reclassified to the commercial mortgage category. Lease financing consists of direct financing leases and leveraged leases and are used by commercial customers to finance capital purchases. Although our primary market is Hawaii, the commercial portfolio contains loans to some borrowers based on the U.S. Mainland, including some Shared National Credits.</w:t>
      </w:r>
    </w:p>
    <w:p>
      <w:pPr>
        <w:spacing w:after="0" w:line="18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Commercial loans and leases were $4.0 billion as of December 31, 2018, an increase of $213.3 million or 6% from December 31, 2017. Commercial and industrial loans increased by $51.8 million or 4% from December 31, 2017. Commercial mortgage loans increased by $198.4 million or 9% from December 31, 2017 primarily due to continued demand from new and existing customers as the Hawaii economy continues to be strong. Construction loans decreased by $32.2 million or 16% from December 31, 2017 primarily due to paydowns and successful completion of construction projects such as condominiums and low-income housing, partially offset by increased activity in our portfolio.</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consumer loan and lease portfolio is comprised of residential mortgage loans, home equity lines and loans, indirect auto loans and leases, and other consumer loans including personal credit lines, direct installment loans, and rewards-based consumer credit cards. These products are generally offered in the geographic markets we serve. Although we offer a variety of products, our residential mortgage loan portfolio is primarily comprised of fixed-rate loans concentrated in Hawaii. We also offer a variety of home equity lines and loans, usually secured by second mortgages on residential property of the borrower. Automobile lending activities include loans and leases secured by new or used automobiles. We originate automobile loans and leases on an indirect basis through selected dealerships. Direct installment loans are generally unsecured and are often used for personal expenses or for debt consolidation.</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 loans and leases were $6.5 billion as of December 31, 2018, an increase of $438.5 million or 7% from December 31, 2017. Residential mortgage loans increased by $207.0 million or 6% from December 31, 2017 primarily due to a relatively constant level of loan originations combined with a slowdown in payoff activity. Automobile loans increased by $129.7 million or 25% from December 31, 2017 primarily driven by steady automobile loan demand and competitive loan programs. Home equity lines and loans increased by $96.0 million or 6% from December 31, 2017 as a result of continued loan demand in light of a healthy Hawaii economy and stable real estate market conditions. Additionally, utilization on new and existing home equity lines was strong during 2018.</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4 to the Consolidated Financial Statements and the “Corporate Risk Profile – Credit Risk” section of MD&amp;A for more information on our loan and lease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Table 9 presents the geographic distribution of our loan and lease portfolio.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gridSpan w:val="3"/>
          </w:tcPr>
          <w:p>
            <w:pPr>
              <w:ind w:left="40"/>
              <w:spacing w:after="0"/>
              <w:rPr>
                <w:sz w:val="20"/>
                <w:szCs w:val="20"/>
                <w:color w:val="auto"/>
              </w:rPr>
            </w:pPr>
            <w:r>
              <w:rPr>
                <w:rFonts w:ascii="Arial" w:cs="Arial" w:eastAsia="Arial" w:hAnsi="Arial"/>
                <w:sz w:val="16"/>
                <w:szCs w:val="16"/>
                <w:b w:val="1"/>
                <w:bCs w:val="1"/>
                <w:color w:val="auto"/>
              </w:rPr>
              <w:t>Geographic Distribution of Loan and Lease Portfolio</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9</w:t>
            </w:r>
          </w:p>
        </w:tc>
      </w:tr>
      <w:tr>
        <w:trPr>
          <w:trHeight w:val="33"/>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gridSpan w:val="3"/>
          </w:tcPr>
          <w:p>
            <w:pPr>
              <w:jc w:val="right"/>
              <w:ind w:right="718"/>
              <w:spacing w:after="0"/>
              <w:rPr>
                <w:sz w:val="20"/>
                <w:szCs w:val="20"/>
                <w:color w:val="auto"/>
              </w:rPr>
            </w:pPr>
            <w:r>
              <w:rPr>
                <w:rFonts w:ascii="Arial" w:cs="Arial" w:eastAsia="Arial" w:hAnsi="Arial"/>
                <w:sz w:val="16"/>
                <w:szCs w:val="16"/>
                <w:b w:val="1"/>
                <w:bCs w:val="1"/>
                <w:color w:val="auto"/>
              </w:rPr>
              <w:t>December 31, 2018</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38"/>
              <w:spacing w:after="0"/>
              <w:rPr>
                <w:sz w:val="20"/>
                <w:szCs w:val="20"/>
                <w:color w:val="auto"/>
              </w:rPr>
            </w:pPr>
            <w:r>
              <w:rPr>
                <w:rFonts w:ascii="Arial" w:cs="Arial" w:eastAsia="Arial" w:hAnsi="Arial"/>
                <w:sz w:val="16"/>
                <w:szCs w:val="16"/>
                <w:b w:val="1"/>
                <w:bCs w:val="1"/>
                <w:color w:val="auto"/>
              </w:rPr>
              <w:t>U.S.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Pacific</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Hawaii</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 xml:space="preserve">Mainland </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Guam</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Islands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8"/>
              </w:rPr>
              <w:t xml:space="preserve">Foreign </w:t>
            </w:r>
            <w:r>
              <w:rPr>
                <w:rFonts w:ascii="Arial" w:cs="Arial" w:eastAsia="Arial" w:hAnsi="Arial"/>
                <w:sz w:val="21"/>
                <w:szCs w:val="21"/>
                <w:b w:val="1"/>
                <w:bCs w:val="1"/>
                <w:color w:val="auto"/>
                <w:w w:val="98"/>
                <w:vertAlign w:val="superscript"/>
              </w:rPr>
              <w:t>2</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1,142,172</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100,786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86,763</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1,277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151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1,331,149</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1,926,172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115,209</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260,501</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474</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2,302,356</w:t>
            </w: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170,061</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170,061</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61,813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109,933</w:t>
            </w: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786</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3,694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176,226</w:t>
            </w:r>
          </w:p>
        </w:tc>
      </w:tr>
      <w:tr>
        <w:trPr>
          <w:trHeight w:val="23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3,300,218</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325,928</w:t>
            </w: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348,050</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1,751</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3,845</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3,979,792</w:t>
            </w:r>
          </w:p>
        </w:tc>
      </w:tr>
      <w:tr>
        <w:trPr>
          <w:trHeight w:val="33"/>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3,596,908</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75,373</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1,515</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3,673,796</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1,643,529</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161</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36,571</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1,181</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1,681,442</w:t>
            </w: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513,836</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131,967</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12,330</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658,133</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372,767</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53,992</w:t>
            </w: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28,852</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455,611</w:t>
            </w:r>
          </w:p>
        </w:tc>
      </w:tr>
      <w:tr>
        <w:trPr>
          <w:trHeight w:val="231"/>
        </w:trPr>
        <w:tc>
          <w:tcPr>
            <w:tcW w:w="31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280" w:type="dxa"/>
            <w:vAlign w:val="bottom"/>
          </w:tcPr>
          <w:p>
            <w:pPr>
              <w:spacing w:after="0"/>
              <w:rPr>
                <w:sz w:val="20"/>
                <w:szCs w:val="20"/>
                <w:color w:val="auto"/>
              </w:rPr>
            </w:pPr>
          </w:p>
        </w:tc>
        <w:tc>
          <w:tcPr>
            <w:tcW w:w="1120" w:type="dxa"/>
            <w:vAlign w:val="bottom"/>
          </w:tcPr>
          <w:p>
            <w:pPr>
              <w:jc w:val="right"/>
              <w:ind w:right="218"/>
              <w:spacing w:after="0"/>
              <w:rPr>
                <w:sz w:val="20"/>
                <w:szCs w:val="20"/>
                <w:color w:val="auto"/>
              </w:rPr>
            </w:pPr>
            <w:r>
              <w:rPr>
                <w:rFonts w:ascii="Arial" w:cs="Arial" w:eastAsia="Arial" w:hAnsi="Arial"/>
                <w:sz w:val="16"/>
                <w:szCs w:val="16"/>
                <w:color w:val="auto"/>
              </w:rPr>
              <w:t>6,127,040</w:t>
            </w:r>
          </w:p>
        </w:tc>
        <w:tc>
          <w:tcPr>
            <w:tcW w:w="340" w:type="dxa"/>
            <w:vAlign w:val="bottom"/>
          </w:tcPr>
          <w:p>
            <w:pPr>
              <w:spacing w:after="0"/>
              <w:rPr>
                <w:sz w:val="20"/>
                <w:szCs w:val="20"/>
                <w:color w:val="auto"/>
              </w:rPr>
            </w:pPr>
          </w:p>
        </w:tc>
        <w:tc>
          <w:tcPr>
            <w:tcW w:w="1180" w:type="dxa"/>
            <w:vAlign w:val="bottom"/>
          </w:tcPr>
          <w:p>
            <w:pPr>
              <w:jc w:val="right"/>
              <w:ind w:right="198"/>
              <w:spacing w:after="0"/>
              <w:rPr>
                <w:sz w:val="20"/>
                <w:szCs w:val="20"/>
                <w:color w:val="auto"/>
              </w:rPr>
            </w:pPr>
            <w:r>
              <w:rPr>
                <w:rFonts w:ascii="Arial" w:cs="Arial" w:eastAsia="Arial" w:hAnsi="Arial"/>
                <w:sz w:val="16"/>
                <w:szCs w:val="16"/>
                <w:color w:val="auto"/>
              </w:rPr>
              <w:t>161</w:t>
            </w:r>
          </w:p>
        </w:tc>
        <w:tc>
          <w:tcPr>
            <w:tcW w:w="360" w:type="dxa"/>
            <w:vAlign w:val="bottom"/>
          </w:tcPr>
          <w:p>
            <w:pPr>
              <w:spacing w:after="0"/>
              <w:rPr>
                <w:sz w:val="20"/>
                <w:szCs w:val="20"/>
                <w:color w:val="auto"/>
              </w:rPr>
            </w:pPr>
          </w:p>
        </w:tc>
        <w:tc>
          <w:tcPr>
            <w:tcW w:w="940" w:type="dxa"/>
            <w:vAlign w:val="bottom"/>
          </w:tcPr>
          <w:p>
            <w:pPr>
              <w:jc w:val="right"/>
              <w:ind w:right="198"/>
              <w:spacing w:after="0"/>
              <w:rPr>
                <w:sz w:val="20"/>
                <w:szCs w:val="20"/>
                <w:color w:val="auto"/>
              </w:rPr>
            </w:pPr>
            <w:r>
              <w:rPr>
                <w:rFonts w:ascii="Arial" w:cs="Arial" w:eastAsia="Arial" w:hAnsi="Arial"/>
                <w:sz w:val="16"/>
                <w:szCs w:val="16"/>
                <w:color w:val="auto"/>
              </w:rPr>
              <w:t>297,903</w:t>
            </w:r>
          </w:p>
        </w:tc>
        <w:tc>
          <w:tcPr>
            <w:tcW w:w="40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6"/>
                <w:szCs w:val="16"/>
                <w:color w:val="auto"/>
              </w:rPr>
              <w:t>43,878</w:t>
            </w:r>
          </w:p>
        </w:tc>
        <w:tc>
          <w:tcPr>
            <w:tcW w:w="300" w:type="dxa"/>
            <w:vAlign w:val="bottom"/>
          </w:tcPr>
          <w:p>
            <w:pPr>
              <w:spacing w:after="0"/>
              <w:rPr>
                <w:sz w:val="20"/>
                <w:szCs w:val="20"/>
                <w:color w:val="auto"/>
              </w:rPr>
            </w:pPr>
          </w:p>
        </w:tc>
        <w:tc>
          <w:tcPr>
            <w:tcW w:w="100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6,468,982</w:t>
            </w:r>
          </w:p>
        </w:tc>
      </w:tr>
      <w:tr>
        <w:trPr>
          <w:trHeight w:val="33"/>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9,427,258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326,089</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645,953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45,629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3,845</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10,448,774</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Percentage of Total Loans and Leases</w:t>
            </w:r>
          </w:p>
        </w:tc>
        <w:tc>
          <w:tcPr>
            <w:tcW w:w="28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9"/>
                <w:szCs w:val="19"/>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
        </w:trPr>
        <w:tc>
          <w:tcPr>
            <w:tcW w:w="3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8"/>
          <w:szCs w:val="8"/>
          <w:color w:val="auto"/>
        </w:rPr>
      </w:pPr>
      <w:r>
        <w:rPr>
          <w:rFonts w:ascii="Arial" w:cs="Arial" w:eastAsia="Arial" w:hAnsi="Arial"/>
          <w:sz w:val="12"/>
          <w:szCs w:val="12"/>
          <w:color w:val="auto"/>
        </w:rPr>
        <w:t>For secured loans and leases, classification as U.S. Mainland is made based on where the collateral is located. For unsecured loans and leases, classification as U.S. Mainland is made based on the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9"/>
          <w:szCs w:val="9"/>
          <w:color w:val="auto"/>
        </w:rPr>
      </w:pPr>
      <w:r>
        <w:rPr>
          <w:rFonts w:ascii="Arial" w:cs="Arial" w:eastAsia="Arial" w:hAnsi="Arial"/>
          <w:sz w:val="14"/>
          <w:szCs w:val="14"/>
          <w:color w:val="auto"/>
        </w:rPr>
        <w:t>Loans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$499.5 million or 6% from December 31, 2017, reflective of a healthy Hawaii economy.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a maturity distribution for selected loan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Maturities for Selected Loan Categories </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b w:val="1"/>
                <w:bCs w:val="1"/>
                <w:color w:val="auto"/>
              </w:rPr>
              <w:t>Due in</w:t>
            </w:r>
          </w:p>
        </w:tc>
        <w:tc>
          <w:tcPr>
            <w:tcW w:w="3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After One</w:t>
            </w:r>
          </w:p>
        </w:tc>
        <w:tc>
          <w:tcPr>
            <w:tcW w:w="3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After</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One Year or Less</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to Five Years </w:t>
            </w:r>
            <w:r>
              <w:rPr>
                <w:rFonts w:ascii="Arial" w:cs="Arial" w:eastAsia="Arial" w:hAnsi="Arial"/>
                <w:sz w:val="21"/>
                <w:szCs w:val="21"/>
                <w:b w:val="1"/>
                <w:bCs w:val="1"/>
                <w:color w:val="auto"/>
                <w:vertAlign w:val="superscript"/>
              </w:rPr>
              <w:t>2</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 xml:space="preserve">Five Years </w:t>
            </w:r>
            <w:r>
              <w:rPr>
                <w:rFonts w:ascii="Arial" w:cs="Arial" w:eastAsia="Arial" w:hAnsi="Arial"/>
                <w:sz w:val="21"/>
                <w:szCs w:val="21"/>
                <w:b w:val="1"/>
                <w:bCs w:val="1"/>
                <w:color w:val="auto"/>
                <w:w w:val="93"/>
                <w:vertAlign w:val="superscript"/>
              </w:rPr>
              <w:t>2</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348,595</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476,451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506,103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1,331,149</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45,589</w:t>
            </w:r>
          </w:p>
        </w:tc>
        <w:tc>
          <w:tcPr>
            <w:tcW w:w="38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51,798</w:t>
            </w:r>
          </w:p>
        </w:tc>
        <w:tc>
          <w:tcPr>
            <w:tcW w:w="3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72,674</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394,184</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528,249</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578,777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1,501,210</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80" w:hanging="72"/>
        <w:spacing w:after="0"/>
        <w:tabs>
          <w:tab w:leader="none" w:pos="80" w:val="left"/>
        </w:tabs>
        <w:numPr>
          <w:ilvl w:val="0"/>
          <w:numId w:val="30"/>
        </w:numPr>
        <w:rPr>
          <w:rFonts w:ascii="Arial" w:cs="Arial" w:eastAsia="Arial" w:hAnsi="Arial"/>
          <w:sz w:val="9"/>
          <w:szCs w:val="9"/>
          <w:color w:val="auto"/>
        </w:rPr>
      </w:pPr>
      <w:r>
        <w:rPr>
          <w:rFonts w:ascii="Arial" w:cs="Arial" w:eastAsia="Arial" w:hAnsi="Arial"/>
          <w:sz w:val="14"/>
          <w:szCs w:val="14"/>
          <w:color w:val="auto"/>
        </w:rPr>
        <w:t>Based on contractual maturities.</w:t>
      </w:r>
    </w:p>
    <w:p>
      <w:pPr>
        <w:spacing w:after="0" w:line="13" w:lineRule="exact"/>
        <w:rPr>
          <w:sz w:val="20"/>
          <w:szCs w:val="20"/>
          <w:color w:val="auto"/>
        </w:rPr>
      </w:pPr>
    </w:p>
    <w:p>
      <w:pPr>
        <w:ind w:left="80" w:hanging="72"/>
        <w:spacing w:after="0"/>
        <w:tabs>
          <w:tab w:leader="none" w:pos="80" w:val="left"/>
        </w:tabs>
        <w:numPr>
          <w:ilvl w:val="0"/>
          <w:numId w:val="31"/>
        </w:numPr>
        <w:rPr>
          <w:rFonts w:ascii="Arial" w:cs="Arial" w:eastAsia="Arial" w:hAnsi="Arial"/>
          <w:sz w:val="9"/>
          <w:szCs w:val="9"/>
          <w:color w:val="auto"/>
        </w:rPr>
      </w:pPr>
      <w:r>
        <w:rPr>
          <w:rFonts w:ascii="Arial" w:cs="Arial" w:eastAsia="Arial" w:hAnsi="Arial"/>
          <w:sz w:val="14"/>
          <w:szCs w:val="14"/>
          <w:color w:val="auto"/>
        </w:rPr>
        <w:t>As of December 31, 2018, loans maturing after one year consisted of $633.2 million in variable rate loans and $473.8 million in fixed rate loans.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Goodwill was $31.5 million as of December 31, 2018 and 2017. As of December 31, 2018, based on our qualitative assessment, there were no reporting units where we believed it was more likely than not that the fair value of a reporting unit was less than its carrying amount, including goodwill. As a result, we had no reporting units where there was a reasonable possibility of failing Step 1 of the goodwill impairment test. See Note 1 to the Consolidated Financial Statements for more information on our goodwill impairment policy.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Other assets were $230.9 million as of December 31, 2018, a decrease of $21.7 million or 9% from December 31, 2017. This decrease was primarily due to a $30.3 million decrease in accounts receivable, which was primarily due to a $20.0 million decrease related to the settlement of a matured security coupled with a $16.4 million early buy-out on an equipment lease in the first quarter of 2018. These decreases were partially offset by a $7.8 million increase in other assets. The fair value of our interest rate swap agreements increased by $3.6 million, which is affected by prevailing interest rates. In addition, dealer advances increased by $3.3 million. See Note 7 to the Consolidated Financial Statements for more information on the composition of our other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components of our deposits by major customer categories as of December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7,726,731</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7,478,228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6,098,186</w:t>
            </w: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5,973,763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1,202,325</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1,431,977</w:t>
            </w:r>
          </w:p>
        </w:tc>
      </w:tr>
      <w:tr>
        <w:trPr>
          <w:trHeight w:val="231"/>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15,027,242</w:t>
            </w:r>
          </w:p>
        </w:tc>
        <w:tc>
          <w:tcPr>
            <w:tcW w:w="5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14,883,968</w:t>
            </w:r>
          </w:p>
        </w:tc>
      </w:tr>
      <w:tr>
        <w:trPr>
          <w:trHeight w:val="33"/>
        </w:trPr>
        <w:tc>
          <w:tcPr>
            <w:tcW w:w="8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Total deposits were $15.0 billion as of December 31, 2018, a $143.3 million or 1% increase from December 31, 2017. This increase was primarily due to a $248.5 million increase in consumer deposits due to an increase in time deposits and core deposits of $237.3 million and $11.2 million respectively. In addition, commercial deposits increased by $124.4 million primarily due to a $95.1 million increase in core deposits and a $29.3 million increase in time deposits. These increases were partially offset by a $230.0 million decrease in public and other deposits largely due to the strategic decision to reduce public time deposits.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components of our savings deposits as of December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8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1,973,979</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1,827,090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3,565,220</w:t>
            </w:r>
          </w:p>
        </w:tc>
        <w:tc>
          <w:tcPr>
            <w:tcW w:w="6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3,561,923</w:t>
            </w:r>
          </w:p>
        </w:tc>
      </w:tr>
      <w:tr>
        <w:trPr>
          <w:trHeight w:val="33"/>
        </w:trPr>
        <w:tc>
          <w:tcPr>
            <w:tcW w:w="8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5,539,199</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5,389,013</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8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6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6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5,293</w:t>
            </w:r>
          </w:p>
        </w:tc>
      </w:tr>
      <w:tr>
        <w:trPr>
          <w:trHeight w:val="33"/>
        </w:trPr>
        <w:tc>
          <w:tcPr>
            <w:tcW w:w="8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504,296</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Securities sold under agreements to repurchase as of December 31, 2018 remained relatively unchanged from December 31, 2017. As of December 31, 2018, the weighted-average maturity was 133 days for our repurchase agreements with government entities and 2.6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2.0 years. As of December 31, 2018 and 2017, the weighted-average interest rate for repurchase agreements with government entities was 1.19% and 0.61%, respectively, while the weighted-average interest rate for repurchase agreements with private institutions as of December 31, 2018 and 2017 was 3.64%, with all rates being fixed. Each of our repurchase agreements is accounted for as collateralized financing arrangements (i.e., a secured borrowing) and not as a sale and subsequent repurchase of securities. See Note 9 and 19 to the Consolidated Financial Statements for more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debt was $135.6 million as of December 31, 2018, a decrease of $125.1 million or 48% from December 31, 2017. This decrease was primarily due to seven FHLB advances totaling $175.0 million which matured during 2018. As of December 31, 2018, this balance was mainly comprised of $125.0 million in FHLB advances with a weighted-average interest rate of 1.93% and maturity dates ranging from 2019 to 2020. These advances were primarily for asset/liability management purposes. As of December 31, 2018, our remaining line of credit with the FHLB was $2.2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Plan Obligations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Retirement benefits payable were $40.5 million as of December 31, 2018, an $3.2 million or 9% increase from December 31, 2017. Our pension and postretirement benefit obligations and net periodic benefit cost are actuarially determined based on a number of key assumptions, including the discount rate, the expected return on plan assets, and the health-care cost trend rate. The accounting for pension and postretirement benefit plans reflect the long-term nature of the obligations and the investment horizon of the plan assets. The increase in retirement benefits payable was primarily due to a net investment loss on assets during the year.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discount rate is used to determine the present value of future benefit obligations and the net periodic benefit cost. The discount rate used to value the present value of future benefit obligations as of each year-end is the rate used to estimate the net periodic benefit cost for the following year. Table 14 presents a sensitivity analysis of a 25 basis point change in discount rates to the pension and postretirement benefit plan’s net periodic benefit cost and benefit obligations: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Discount Rate Sensitivity Analysis</w:t>
            </w: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b w:val="1"/>
                <w:bCs w:val="1"/>
                <w:color w:val="auto"/>
                <w:w w:val="88"/>
              </w:rPr>
              <w:t>Table 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Impact of</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Arial" w:cs="Arial" w:eastAsia="Arial" w:hAnsi="Arial"/>
                <w:sz w:val="16"/>
                <w:szCs w:val="16"/>
                <w:b w:val="1"/>
                <w:bCs w:val="1"/>
                <w:color w:val="auto"/>
              </w:rPr>
              <w:t>Discount Rate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2"/>
          </w:tcPr>
          <w:p>
            <w:pPr>
              <w:jc w:val="right"/>
              <w:ind w:right="57"/>
              <w:spacing w:after="0"/>
              <w:rPr>
                <w:sz w:val="20"/>
                <w:szCs w:val="20"/>
                <w:color w:val="auto"/>
              </w:rPr>
            </w:pPr>
            <w:r>
              <w:rPr>
                <w:rFonts w:ascii="Arial" w:cs="Arial" w:eastAsia="Arial" w:hAnsi="Arial"/>
                <w:sz w:val="16"/>
                <w:szCs w:val="16"/>
                <w:b w:val="1"/>
                <w:bCs w:val="1"/>
                <w:color w:val="auto"/>
              </w:rPr>
              <w:t>Discount Rate</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2960" w:type="dxa"/>
            <w:vAlign w:val="bottom"/>
            <w:gridSpan w:val="3"/>
          </w:tcPr>
          <w:p>
            <w:pPr>
              <w:ind w:left="740"/>
              <w:spacing w:after="0"/>
              <w:rPr>
                <w:sz w:val="20"/>
                <w:szCs w:val="20"/>
                <w:color w:val="auto"/>
              </w:rPr>
            </w:pPr>
            <w:r>
              <w:rPr>
                <w:rFonts w:ascii="Arial" w:cs="Arial" w:eastAsia="Arial" w:hAnsi="Arial"/>
                <w:sz w:val="16"/>
                <w:szCs w:val="16"/>
                <w:b w:val="1"/>
                <w:bCs w:val="1"/>
                <w:color w:val="auto"/>
              </w:rPr>
              <w:t>Base Discount Rate</w:t>
            </w:r>
          </w:p>
        </w:tc>
        <w:tc>
          <w:tcPr>
            <w:tcW w:w="180" w:type="dxa"/>
            <w:vAlign w:val="bottom"/>
          </w:tcPr>
          <w:p>
            <w:pPr>
              <w:spacing w:after="0"/>
              <w:rPr>
                <w:sz w:val="18"/>
                <w:szCs w:val="18"/>
                <w:color w:val="auto"/>
              </w:rPr>
            </w:pPr>
          </w:p>
        </w:tc>
        <w:tc>
          <w:tcPr>
            <w:tcW w:w="228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25 Basis Point Increase</w:t>
            </w:r>
          </w:p>
        </w:tc>
        <w:tc>
          <w:tcPr>
            <w:tcW w:w="160" w:type="dxa"/>
            <w:vAlign w:val="bottom"/>
          </w:tcPr>
          <w:p>
            <w:pPr>
              <w:spacing w:after="0"/>
              <w:rPr>
                <w:sz w:val="18"/>
                <w:szCs w:val="18"/>
                <w:color w:val="auto"/>
              </w:rPr>
            </w:pPr>
          </w:p>
        </w:tc>
        <w:tc>
          <w:tcPr>
            <w:tcW w:w="2060" w:type="dxa"/>
            <w:vAlign w:val="bottom"/>
            <w:gridSpan w:val="3"/>
          </w:tcPr>
          <w:p>
            <w:pPr>
              <w:jc w:val="right"/>
              <w:ind w:right="17"/>
              <w:spacing w:after="0"/>
              <w:rPr>
                <w:sz w:val="20"/>
                <w:szCs w:val="20"/>
                <w:color w:val="auto"/>
              </w:rPr>
            </w:pPr>
            <w:r>
              <w:rPr>
                <w:rFonts w:ascii="Arial" w:cs="Arial" w:eastAsia="Arial" w:hAnsi="Arial"/>
                <w:sz w:val="16"/>
                <w:szCs w:val="16"/>
                <w:b w:val="1"/>
                <w:bCs w:val="1"/>
                <w:color w:val="auto"/>
              </w:rPr>
              <w:t>25 Basis Point Decrease</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Pension</w:t>
            </w:r>
          </w:p>
        </w:tc>
        <w:tc>
          <w:tcPr>
            <w:tcW w:w="16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Postretirement</w:t>
            </w:r>
          </w:p>
        </w:tc>
        <w:tc>
          <w:tcPr>
            <w:tcW w:w="18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Pension</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9"/>
              </w:rPr>
              <w:t>Postretirement</w:t>
            </w:r>
          </w:p>
        </w:tc>
        <w:tc>
          <w:tcPr>
            <w:tcW w:w="16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Pension</w:t>
            </w:r>
          </w:p>
        </w:tc>
        <w:tc>
          <w:tcPr>
            <w:tcW w:w="1260" w:type="dxa"/>
            <w:vAlign w:val="bottom"/>
            <w:gridSpan w:val="2"/>
          </w:tcPr>
          <w:p>
            <w:pPr>
              <w:jc w:val="right"/>
              <w:ind w:right="17"/>
              <w:spacing w:after="0"/>
              <w:rPr>
                <w:sz w:val="20"/>
                <w:szCs w:val="20"/>
                <w:color w:val="auto"/>
              </w:rPr>
            </w:pPr>
            <w:r>
              <w:rPr>
                <w:rFonts w:ascii="Arial" w:cs="Arial" w:eastAsia="Arial" w:hAnsi="Arial"/>
                <w:sz w:val="16"/>
                <w:szCs w:val="16"/>
                <w:b w:val="1"/>
                <w:bCs w:val="1"/>
                <w:color w:val="auto"/>
              </w:rPr>
              <w:t>Postretirement</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Benefit</w:t>
            </w:r>
          </w:p>
        </w:tc>
        <w:tc>
          <w:tcPr>
            <w:tcW w:w="16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Benefits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Benefits</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1"/>
              </w:rPr>
              <w:t>Benefits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Benefits</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Benefits</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 Net Periodic Benefit Cost</w:t>
            </w:r>
          </w:p>
        </w:tc>
        <w:tc>
          <w:tcPr>
            <w:tcW w:w="13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3.90%</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94"/>
        </w:trPr>
        <w:tc>
          <w:tcPr>
            <w:tcW w:w="3780" w:type="dxa"/>
            <w:vAlign w:val="bottom"/>
            <w:tcBorders>
              <w:bottom w:val="single" w:sz="8" w:color="CCEEFF"/>
            </w:tcBorders>
            <w:shd w:val="clear" w:color="auto" w:fill="CCEEFF"/>
          </w:tcPr>
          <w:p>
            <w:pPr>
              <w:spacing w:after="0"/>
              <w:rPr>
                <w:sz w:val="8"/>
                <w:szCs w:val="8"/>
                <w:color w:val="auto"/>
              </w:rPr>
            </w:pPr>
          </w:p>
        </w:tc>
        <w:tc>
          <w:tcPr>
            <w:tcW w:w="1320" w:type="dxa"/>
            <w:vAlign w:val="bottom"/>
            <w:tcBorders>
              <w:bottom w:val="single" w:sz="8" w:color="CCEEFF"/>
            </w:tcBorders>
            <w:vMerge w:val="continue"/>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7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20"/>
              <w:spacing w:after="0"/>
              <w:rPr>
                <w:sz w:val="20"/>
                <w:szCs w:val="20"/>
                <w:color w:val="auto"/>
              </w:rPr>
            </w:pPr>
            <w:r>
              <w:rPr>
                <w:rFonts w:ascii="Arial" w:cs="Arial" w:eastAsia="Arial" w:hAnsi="Arial"/>
                <w:sz w:val="16"/>
                <w:szCs w:val="16"/>
                <w:color w:val="auto"/>
              </w:rPr>
              <w:t>Benefit Plan Obligations as of December 31, 2018</w:t>
            </w: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color w:val="auto"/>
              </w:rPr>
              <w:t>4.41%</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(2,501)</w:t>
            </w:r>
          </w:p>
        </w:tc>
        <w:tc>
          <w:tcPr>
            <w:tcW w:w="5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color w:val="auto"/>
              </w:rPr>
              <w:t>2,563</w:t>
            </w:r>
          </w:p>
        </w:tc>
        <w:tc>
          <w:tcPr>
            <w:tcW w:w="500" w:type="dxa"/>
            <w:vAlign w:val="bottom"/>
          </w:tcPr>
          <w:p>
            <w:pPr>
              <w:spacing w:after="0"/>
              <w:rPr>
                <w:sz w:val="19"/>
                <w:szCs w:val="19"/>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2019 Net Periodic Benefit Cost</w:t>
            </w:r>
          </w:p>
        </w:tc>
        <w:tc>
          <w:tcPr>
            <w:tcW w:w="13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4.41%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5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50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81"/>
        </w:trPr>
        <w:tc>
          <w:tcPr>
            <w:tcW w:w="378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Consolidated Financial Statements for more information on our pension and 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Activities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Cross-border outstandings are defined as loans (including accrued interest), acceptances, interest-bearing deposits with other banks, other interest-bearing investments, and any other monetary assets which are denominated in dollars or other non-local currency. As of December 31, 2018, 2017 and 2016, we did not have cross-border outstandings to any foreign country which exceeded 0.75% of our total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Managing risk is an essential part of successfully operating our business. Management believes that the most prominent risk exposures for the Company are credit risk, market risk, liquidity risk management, capital management, and operational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Credit risk is the risk that borrowers or counterparties will be unable or unwilling to repay their obligations in accordance with the underlying contractual terms. We manage and control credit risk in the loan and lease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and consumer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Commercial and industrial loans are made primarily for the purpose of financing equipment acquisition, expansion, working capital, and other general business purposes. Lease financing consists of direct financing leases and leveraged leases that are used by commercial customers to finance capital purchases ranging from computer equipment to transportation equipment. The credit decisions for these transactions are based upon an assessment of the overall financial capacity of the applicant. A determination is made as to the applicant’s ability to repay in accordance with the proposed terms as well as an overall assessment of the risks involved. In addition to an evaluation of the applicant’s financial condition, a determination is made of the probable adequacy of the primary and secondary sources of repayment, such as additional collateral or personal guarantees, to be relied upon in the transaction. Credit agency reports of the applicant’s credit history supplement the analysis of the applicant’s creditworthiness.</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Commercial mortgages and construction loans are offered to real estate investors, developers, builders, and owner-occupants primarily domiciled in Hawaii. These loans are secured by first mortgages on real estate at loan-to-value (“LTV”) ratios deemed appropriate based on the property type, location, overall quality, and sponsorship. Generally, these LTV ratios do not exceed 75%. The commercial properties are predominantly developments such as retail centers, apartments, industrial properties and, to a lesser extent, more specialized properties such as hotels. Substantially our entire commercial mortgage loans are secured by properties located in our primary market area.</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underwriting of our commercial mortgage loans, we obtain appraisals for the underlying properties. Decisions to lend are based on the economic fundamentals of the property and the creditworthiness of the borrower. In evaluating a proposed commercial mortgage loan, we primarily emphasize the ratio of the property’s projected net cash flows to the loan’s debt service requirement. The debt service coverage ratio normally is not less than 120% and it is computed after deducting for a vacancy factor and property expenses as appropriate. In addition, a personal guarantee of the loan or a portion thereof is sometimes required from the principal(s) of the borrower. We typically require title insurance insuring the priority of our lien, fire, and extended coverage casualty insurance, and flood insurance, if appropriate, in order to protect our security interest in the underlying property. In addition, business interruption insurance or other insurance may be required. Owner-occupant commercial mortgage loans are underwritten based upon the cash flow of the business provided that the real estate asset is utilized in the operation of the business. Real estate is evaluated independently as a secondary source of repayment. As noted above, LTV ratios generally do not exceed 75%.</w:t>
      </w:r>
    </w:p>
    <w:p>
      <w:pPr>
        <w:spacing w:after="0" w:line="18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Construction loans are underwritten against projected cash flows derived from rental income, business income from an owner-occupant, or the sale of the property to an end-user. We may mitigate the risks associated with these types of loans by requiring fixed-price construction contracts, performance and payment bonding, controlled disbursements, and pre-sale contracts or pre-lease agreements.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offer a variety of first mortgage and junior lien loans to consumers within our markets with residential home mortgages comprising our largest loan category. These loans are generally secured by a primary residence and are underwritten using traditional underwriting systems to assess the credit risks and financial capacity and repayment ability of the consumer. Decisions are primarily based on LTV ratios, debt-to-income (“DTI”) ratios, liquidity, and credit scores. LTV ratios generally do not exceed 80%, although higher levels are permitted with mortgage insurance. We offer variable rate mortgage loans with interest rates that are subject to change every year after the first, third, fifth, or seventh year, depending on the product and are based on the London Interbank Offered Rate (“LIBOR”). Variable rate mortgage loans are underwritten at fully-indexed interest rates. We do not offer payment-option facilities, sub-prime or Alt-A loans, or any product with negative amortization. We selectively offer interest-only mortgage loans to Private Banking clients.”</w:t>
      </w:r>
    </w:p>
    <w:p>
      <w:pPr>
        <w:spacing w:after="0" w:line="16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Home equity loans are secured by both first and second liens on residential property of the borrower. The underwriting terms for the home equity product generally permits borrowing availability, in the aggregate, up to 85% of the value of the collateral property at the time of origination. We offer fixed and variable rate home equity loans, with variable rate loans underwritten at fully-indexed interest rates. Our procedures for underwriting home equity loans include an assessment of an applicant’s overall financial capacity and repayment ability. Decisions are primarily based on LTV ratios, DTI ratios, and credit scores. Maximum amount and LTVs are determined by collateral value and channel.</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Automobile lending activities include loans and leases secured by new or used automobiles. We originate automobile loans and leases on an indirect basis through selected dealerships in Hawaii, Guam and Saipan. Our procedures for underwriting automobile loans include an assessment of an applicant’s overall financial capacity and repayment ability, credit history, and the ability to meet existing obligations and payments on the proposed loan. Although an applicant’s creditworthiness is the primary consideration, the underwriting process also includes a comparison of the value of the collateral security to the proposed loan amount. We require borrowers to maintain full coverage automobile insurance on automobile loans and leases, with the Bank listed as either the loss payee or additional insured.</w:t>
      </w:r>
    </w:p>
    <w:p>
      <w:pPr>
        <w:spacing w:after="0" w:line="19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General economic conditions in Hawaii remained healthy during 2018, led by a strong tourism industry, relatively low unemployment, rising real estate prices, and an active construction industry. Our overall credit risk position reflects these positive economic trends and our loan portfolio growth and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96"/>
        </w:trPr>
        <w:tc>
          <w:tcPr>
            <w:tcW w:w="6200" w:type="dxa"/>
            <w:vAlign w:val="bottom"/>
            <w:gridSpan w:val="6"/>
          </w:tcPr>
          <w:p>
            <w:pPr>
              <w:spacing w:after="0"/>
              <w:rPr>
                <w:sz w:val="20"/>
                <w:szCs w:val="20"/>
                <w:color w:val="auto"/>
              </w:rPr>
            </w:pPr>
            <w:r>
              <w:rPr>
                <w:rFonts w:ascii="Arial" w:cs="Arial" w:eastAsia="Arial" w:hAnsi="Arial"/>
                <w:sz w:val="18"/>
                <w:szCs w:val="18"/>
                <w:i w:val="1"/>
                <w:iCs w:val="1"/>
                <w:color w:val="auto"/>
                <w:w w:val="92"/>
              </w:rPr>
              <w:t>Non-Performing Assets and Accruing Loans and Leases Past Due 90 Days or More</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color w:val="auto"/>
                <w:w w:val="90"/>
              </w:rPr>
              <w:t>Table 15 presents a five-year history of non-performing assets and accruing loans and leases past due 90 days or more.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220" w:type="dxa"/>
            <w:vAlign w:val="bottom"/>
            <w:gridSpan w:val="6"/>
          </w:tcPr>
          <w:p>
            <w:pPr>
              <w:ind w:left="2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Table 15</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4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Non-Performing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Non-Accrual Loans and Leases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48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542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151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5,829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9,088</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Commercial Mortgage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2,040</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1,398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997</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3,469</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745</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2,582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1,846</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1,148</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9,298</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9,833</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4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5,321</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9,243</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13,780</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14,598</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14,841</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Home Equity</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3,671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3,991</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3,147</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4,081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3,097</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8,992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13,234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16,927</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18,679</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17,938</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Non-Accrual Loans and Leases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11,574</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15,080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18,075</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27,977</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27,771</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Foreclosed Real Estate</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1,356</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1,040</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1,686</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824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2,311</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Non-Performing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12,930</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16,120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19,761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28,801</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30,082</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r>
      <w:tr>
        <w:trPr>
          <w:trHeight w:val="231"/>
        </w:trPr>
        <w:tc>
          <w:tcPr>
            <w:tcW w:w="20" w:type="dxa"/>
            <w:vAlign w:val="bottom"/>
          </w:tcPr>
          <w:p>
            <w:pPr>
              <w:spacing w:after="0"/>
              <w:rPr>
                <w:sz w:val="20"/>
                <w:szCs w:val="20"/>
                <w:color w:val="auto"/>
              </w:rPr>
            </w:pPr>
          </w:p>
        </w:tc>
        <w:tc>
          <w:tcPr>
            <w:tcW w:w="448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2,446</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2,703</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3,127</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4,453</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4,506</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2,684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1,624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1,457</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1,710</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2,596</w:t>
            </w:r>
          </w:p>
        </w:tc>
      </w:tr>
      <w:tr>
        <w:trPr>
          <w:trHeight w:val="237"/>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Automobile</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513</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886</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894</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315</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616</w:t>
            </w: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4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914</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1,934</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1,592</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1,096</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941</w:t>
            </w:r>
          </w:p>
        </w:tc>
      </w:tr>
      <w:tr>
        <w:trPr>
          <w:trHeight w:val="231"/>
        </w:trPr>
        <w:tc>
          <w:tcPr>
            <w:tcW w:w="2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6,557</w:t>
            </w:r>
          </w:p>
        </w:tc>
        <w:tc>
          <w:tcPr>
            <w:tcW w:w="36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7,147</w:t>
            </w:r>
          </w:p>
        </w:tc>
        <w:tc>
          <w:tcPr>
            <w:tcW w:w="22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7,070</w:t>
            </w:r>
          </w:p>
        </w:tc>
        <w:tc>
          <w:tcPr>
            <w:tcW w:w="32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7,574</w:t>
            </w:r>
          </w:p>
        </w:tc>
        <w:tc>
          <w:tcPr>
            <w:tcW w:w="34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8,659</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Accruing Loans and Leases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Past Due 90 Days or More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6,567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7,147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7,070</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7,574</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8,661</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Restructured Loans on Accrual Status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b w:val="1"/>
                <w:bCs w:val="1"/>
                <w:color w:val="auto"/>
              </w:rPr>
              <w:t>and Not Past Due 90 Days or More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48,731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55,672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52,208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49,430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45,474</w:t>
            </w:r>
          </w:p>
        </w:tc>
      </w:tr>
      <w:tr>
        <w:trPr>
          <w:trHeight w:val="73"/>
        </w:trPr>
        <w:tc>
          <w:tcPr>
            <w:tcW w:w="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6"/>
        </w:trPr>
        <w:tc>
          <w:tcPr>
            <w:tcW w:w="2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Loans and Leases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10,448,774</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9,796,947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8,949,785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7,878,985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6,897,589</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Arial" w:cs="Arial" w:eastAsia="Arial" w:hAnsi="Arial"/>
                <w:sz w:val="16"/>
                <w:szCs w:val="16"/>
                <w:color w:val="auto"/>
              </w:rPr>
              <w:t>Ratio of Non-Accrual Loans and Leases to</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Loans and Leases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0.11 %</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0.15 %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0.20 %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0.36 %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0.40 %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Ratio of Non-Performing Assets to Total Loans and Leases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Foreclosed Real Estate</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0.12 %</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0.37 %</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0.44 %</w:t>
            </w:r>
          </w:p>
        </w:tc>
      </w:tr>
      <w:tr>
        <w:trPr>
          <w:trHeight w:val="213"/>
        </w:trPr>
        <w:tc>
          <w:tcPr>
            <w:tcW w:w="20" w:type="dxa"/>
            <w:vAlign w:val="bottom"/>
          </w:tcPr>
          <w:p>
            <w:pPr>
              <w:spacing w:after="0"/>
              <w:rPr>
                <w:sz w:val="18"/>
                <w:szCs w:val="18"/>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Ratio of Commercial Non-Performing Assets to</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Commercial Loans and Leases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color w:val="auto"/>
              </w:rPr>
              <w:t>and Commercial Foreclosed Real Estate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0.06 %</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0.05 %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0.03 %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0.29 %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0.38 %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Ratio of Consumer Non-Performing Assets to</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Consumer Loans and Leases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Consumer Foreclosed Real Estate</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0.24 %</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0.35 %</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0.41 %</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0.47 %</w:t>
            </w:r>
          </w:p>
        </w:tc>
      </w:tr>
      <w:tr>
        <w:trPr>
          <w:trHeight w:val="213"/>
        </w:trPr>
        <w:tc>
          <w:tcPr>
            <w:tcW w:w="20" w:type="dxa"/>
            <w:vAlign w:val="bottom"/>
          </w:tcPr>
          <w:p>
            <w:pPr>
              <w:spacing w:after="0"/>
              <w:rPr>
                <w:sz w:val="18"/>
                <w:szCs w:val="18"/>
                <w:color w:val="auto"/>
              </w:rPr>
            </w:pPr>
          </w:p>
        </w:tc>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Ratio of Non-Performing Assets and Accruing</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160"/>
              <w:spacing w:after="0"/>
              <w:rPr>
                <w:sz w:val="20"/>
                <w:szCs w:val="20"/>
                <w:color w:val="auto"/>
              </w:rPr>
            </w:pPr>
            <w:r>
              <w:rPr>
                <w:rFonts w:ascii="Arial" w:cs="Arial" w:eastAsia="Arial" w:hAnsi="Arial"/>
                <w:sz w:val="16"/>
                <w:szCs w:val="16"/>
                <w:color w:val="auto"/>
              </w:rPr>
              <w:t>Loans and Leases Past Due 90 Days or More to</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80" w:type="dxa"/>
            <w:vAlign w:val="bottom"/>
            <w:gridSpan w:val="2"/>
          </w:tcPr>
          <w:p>
            <w:pPr>
              <w:ind w:left="140"/>
              <w:spacing w:after="0"/>
              <w:rPr>
                <w:sz w:val="20"/>
                <w:szCs w:val="20"/>
                <w:color w:val="auto"/>
              </w:rPr>
            </w:pPr>
            <w:r>
              <w:rPr>
                <w:rFonts w:ascii="Arial" w:cs="Arial" w:eastAsia="Arial" w:hAnsi="Arial"/>
                <w:sz w:val="16"/>
                <w:szCs w:val="16"/>
                <w:color w:val="auto"/>
              </w:rPr>
              <w:t>Total Loans and Leases and Foreclosed Real Estate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0.19 %</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0.24 %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0.30 %</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0.46 %</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0.56 %</w:t>
            </w:r>
          </w:p>
        </w:tc>
      </w:tr>
      <w:tr>
        <w:trPr>
          <w:trHeight w:val="33"/>
        </w:trPr>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80" w:hanging="72"/>
        <w:spacing w:after="0"/>
        <w:tabs>
          <w:tab w:leader="none" w:pos="80" w:val="left"/>
        </w:tabs>
        <w:numPr>
          <w:ilvl w:val="0"/>
          <w:numId w:val="3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ectPr>
          <w:pgSz w:w="11900" w:h="16838" w:orient="portrait"/>
          <w:cols w:equalWidth="0" w:num="1">
            <w:col w:w="11400"/>
          </w:cols>
          <w:pgMar w:left="240" w:top="108" w:right="259"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08" w:right="2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96"/>
        </w:trPr>
        <w:tc>
          <w:tcPr>
            <w:tcW w:w="7900" w:type="dxa"/>
            <w:vAlign w:val="bottom"/>
            <w:gridSpan w:val="2"/>
          </w:tcPr>
          <w:p>
            <w:pPr>
              <w:spacing w:after="0"/>
              <w:rPr>
                <w:sz w:val="20"/>
                <w:szCs w:val="20"/>
                <w:color w:val="auto"/>
              </w:rPr>
            </w:pPr>
            <w:r>
              <w:rPr>
                <w:rFonts w:ascii="Arial" w:cs="Arial" w:eastAsia="Arial" w:hAnsi="Arial"/>
                <w:sz w:val="18"/>
                <w:szCs w:val="18"/>
                <w:color w:val="auto"/>
              </w:rPr>
              <w:t>Table 16 presents the activity in Non-Performing Assets (“NPAs”) for 2018:</w:t>
            </w: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14"/>
                <w:szCs w:val="14"/>
                <w:color w:val="auto"/>
              </w:rPr>
              <w:t>(dollars in thousands)</w:t>
            </w:r>
          </w:p>
        </w:tc>
        <w:tc>
          <w:tcPr>
            <w:tcW w:w="26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128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16,120</w:t>
            </w: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Additions</w:t>
            </w:r>
          </w:p>
        </w:tc>
        <w:tc>
          <w:tcPr>
            <w:tcW w:w="26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10,820</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2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Payments</w:t>
            </w:r>
          </w:p>
        </w:tc>
        <w:tc>
          <w:tcPr>
            <w:tcW w:w="2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(7,272)</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Return to Accrual Status</w:t>
            </w:r>
          </w:p>
        </w:tc>
        <w:tc>
          <w:tcPr>
            <w:tcW w:w="26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(3,421)</w:t>
            </w:r>
          </w:p>
        </w:tc>
      </w:tr>
      <w:tr>
        <w:trPr>
          <w:trHeight w:val="224"/>
        </w:trPr>
        <w:tc>
          <w:tcPr>
            <w:tcW w:w="7900" w:type="dxa"/>
            <w:vAlign w:val="bottom"/>
            <w:gridSpan w:val="2"/>
          </w:tcPr>
          <w:p>
            <w:pPr>
              <w:ind w:left="280"/>
              <w:spacing w:after="0"/>
              <w:rPr>
                <w:sz w:val="20"/>
                <w:szCs w:val="20"/>
                <w:color w:val="auto"/>
              </w:rPr>
            </w:pPr>
            <w:r>
              <w:rPr>
                <w:rFonts w:ascii="Arial" w:cs="Arial" w:eastAsia="Arial" w:hAnsi="Arial"/>
                <w:sz w:val="16"/>
                <w:szCs w:val="16"/>
                <w:color w:val="auto"/>
              </w:rPr>
              <w:t>Sales of Foreclosed Real Estate</w:t>
            </w:r>
          </w:p>
        </w:tc>
        <w:tc>
          <w:tcPr>
            <w:tcW w:w="2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(2,375)</w:t>
            </w:r>
          </w:p>
        </w:tc>
      </w:tr>
      <w:tr>
        <w:trPr>
          <w:trHeight w:val="33"/>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Charge-offs/Write-downs</w:t>
            </w:r>
          </w:p>
        </w:tc>
        <w:tc>
          <w:tcPr>
            <w:tcW w:w="26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17"/>
        </w:trPr>
        <w:tc>
          <w:tcPr>
            <w:tcW w:w="79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Reductions</w:t>
            </w:r>
          </w:p>
        </w:tc>
        <w:tc>
          <w:tcPr>
            <w:tcW w:w="26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(14,010)</w:t>
            </w:r>
          </w:p>
        </w:tc>
      </w:tr>
      <w:tr>
        <w:trPr>
          <w:trHeight w:val="33"/>
        </w:trPr>
        <w:tc>
          <w:tcPr>
            <w:tcW w:w="128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12,930</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662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Total NPAs were $12.9 million as of December 31, 2018, a decrease of $3.2 million or 20% from December 31, 2017. The decrease was experienced primarily in the consumer lending portfolio. The ratio of our NPAs to total loans and leases, and foreclosed real estate was 0.12% as of December 31, 2018 and 0.16% as of December 31, 2017.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Commercial mortgage non-accrual loans increased by $0.6 million or 46% from December 31, 2017 primarily due to the addition of one loan. Although three loans were removed, the one loan addition has an amount greater than the three loans combined. We have individually evaluated the two commercial mortgage non-accrual loans for impairment and have no cumulative net charge-offs.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Commercial and industrial non-accrual loans increased by $0.1 million or 21% from December 31, 2017 due to the addition of two loans. We have evaluated the two borrowers for impairment and have recorded a $0.2 million partial charge-off in 2018. As of December 31, 2018, the non-accrual balance in this category was comprised of six commercial borrowers.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largest component of our NPAs continues to be residential mortgage loans. Residential mortgage non-accrual loans decreased by $3.9 million or 42% from December 31, 2017 primarily due to paydowns and payoffs. In addition, three loans modified in a troubled debt restructuring (“TDR”) were returned to accrual status. As of December 31, 2018, our residential mortgage non-accrual loans were comprised of 21 loans with a weighted average current LTV ratio of 57%.</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$0.3 million or 30% from December 31, 2017 primarily due to the addition of two residential properties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$6.6 million as of December 31, 2018, a $0.6 million or 8% decrease from December 31, 2017. This decrease was primarily in our other and automobile portfolios, which was offset by an increase in the home equity portfolio.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$54.6 million as of December 31, 2018 and $61.2 million as of December 31, 2017, and had a related Allowance of $4.0 million as of December 31, 2018 and $3.9 million as of December 31, 2017. The change in impaired loans was primarily due to the decrease in impaired Commercial Mortgage, Commercial and Industrial, and Residential Mortgage loans, which was partially offset by the increase in impaired Automobile, and Home Equity loans. As of December 31, 2018, we recorded cumulative net charge-offs of $7.6 million related to our total impaired loans. Our impaired loans are considered in management’s assessment of the overall adequacy of the Allowance.</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interest due on the balances of all non-accrual loans as of December 31, 2018 had been accrued under the original terms, approximately $0.8 million in total interest income would have been recorded in 2018, compared to less than $0.1 million actually recorded as interest income on those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Modified in a Troubled Debt Restructuring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whose terms have been modified in a TDR: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6,198</w:t>
            </w:r>
          </w:p>
        </w:tc>
        <w:tc>
          <w:tcPr>
            <w:tcW w:w="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8,486</w:t>
            </w: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4,144</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9,205</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4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1,321</w:t>
            </w:r>
          </w:p>
        </w:tc>
        <w:tc>
          <w:tcPr>
            <w:tcW w:w="6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1,416</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11,663</w:t>
            </w: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19,107</w:t>
            </w:r>
          </w:p>
        </w:tc>
      </w:tr>
      <w:tr>
        <w:trPr>
          <w:trHeight w:val="231"/>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19,753</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4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3,359</w:t>
            </w:r>
          </w:p>
        </w:tc>
        <w:tc>
          <w:tcPr>
            <w:tcW w:w="6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1,965</w:t>
            </w: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17,117</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14,811</w:t>
            </w:r>
          </w:p>
        </w:tc>
      </w:tr>
      <w:tr>
        <w:trPr>
          <w:trHeight w:val="270"/>
        </w:trPr>
        <w:tc>
          <w:tcPr>
            <w:tcW w:w="8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2,098</w:t>
            </w:r>
          </w:p>
        </w:tc>
        <w:tc>
          <w:tcPr>
            <w:tcW w:w="6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2,645</w:t>
            </w: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42,327</w:t>
            </w:r>
          </w:p>
        </w:tc>
        <w:tc>
          <w:tcPr>
            <w:tcW w:w="6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41,002</w:t>
            </w:r>
          </w:p>
        </w:tc>
      </w:tr>
      <w:tr>
        <w:trPr>
          <w:trHeight w:val="231"/>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53,990</w:t>
            </w:r>
          </w:p>
        </w:tc>
        <w:tc>
          <w:tcPr>
            <w:tcW w:w="6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60,109</w:t>
            </w:r>
          </w:p>
        </w:tc>
      </w:tr>
      <w:tr>
        <w:trPr>
          <w:trHeight w:val="33"/>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and installment financing.</w:t>
      </w:r>
    </w:p>
    <w:p>
      <w:pPr>
        <w:spacing w:after="0" w:line="22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Loans modified in a TDR decreased by $6.1 million from December 31, 2017. The decrease was primarily due to the full repayments of commercial mortgage loans during the second quarter of 2018. Residential mortgage loans remain our largest TDR loan class. As of December 31, 2018, $48.7 million or 90% of loans modified in a TDR were performing in accordance with their modified contractual terms and were on accrual status.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loans modified in a TDR are returned to accrual status after the borrower has demonstrated performance under the modified terms by making at least six consecutive payments. See Note 4 to the Consolidated Financial Statements for a description of the modification programs that we currently offer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reserve for credit losses is comprised of two components, the Allowance and the reserve for unfunded commitments (the “Unfunded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Reserve”). Table 18 presents the activity in the Company’s reserve for credit losses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4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114,168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110,845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108,952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114,575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121,521</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5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(1,505)</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(1,408)</w:t>
            </w:r>
          </w:p>
        </w:tc>
        <w:tc>
          <w:tcPr>
            <w:tcW w:w="34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(865)</w:t>
            </w:r>
          </w:p>
        </w:tc>
        <w:tc>
          <w:tcPr>
            <w:tcW w:w="3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(954)</w:t>
            </w:r>
          </w:p>
        </w:tc>
        <w:tc>
          <w:tcPr>
            <w:tcW w:w="3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(2,002)</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(66)</w:t>
            </w:r>
          </w:p>
        </w:tc>
      </w:tr>
      <w:tr>
        <w:trPr>
          <w:trHeight w:val="237"/>
        </w:trPr>
        <w:tc>
          <w:tcPr>
            <w:tcW w:w="4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(729)</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(613)</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(771)</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5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(665)</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(995)</w:t>
            </w:r>
          </w:p>
        </w:tc>
        <w:tc>
          <w:tcPr>
            <w:tcW w:w="34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(1,104)</w:t>
            </w:r>
          </w:p>
        </w:tc>
        <w:tc>
          <w:tcPr>
            <w:tcW w:w="36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(1,330)</w:t>
            </w:r>
          </w:p>
        </w:tc>
        <w:tc>
          <w:tcPr>
            <w:tcW w:w="3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(1,672)</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(8,218)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(7,737)</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(6,355)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(5,860)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(3,961)</w:t>
            </w:r>
          </w:p>
        </w:tc>
      </w:tr>
      <w:tr>
        <w:trPr>
          <w:trHeight w:val="270"/>
        </w:trPr>
        <w:tc>
          <w:tcPr>
            <w:tcW w:w="4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(14,075)</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(12,386)</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(9,462)</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(7,682)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(6,967)</w:t>
            </w: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(24,564)</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(23,255)</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(18,509)</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(16,439)</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(15,439)</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7"/>
              </w:rPr>
              <w:t>Recoveries on Loans and Leases Previously Charged-Off</w:t>
            </w:r>
          </w:p>
        </w:tc>
        <w:tc>
          <w:tcPr>
            <w:tcW w:w="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2,039</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1,482</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8,058</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1,948</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4,625</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57</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29</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w:t>
            </w:r>
          </w:p>
        </w:tc>
      </w:tr>
      <w:tr>
        <w:trPr>
          <w:trHeight w:val="237"/>
        </w:trPr>
        <w:tc>
          <w:tcPr>
            <w:tcW w:w="4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807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639</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1,151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1,297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3,448</w:t>
            </w:r>
          </w:p>
        </w:tc>
      </w:tr>
      <w:tr>
        <w:trPr>
          <w:trHeight w:val="237"/>
        </w:trPr>
        <w:tc>
          <w:tcPr>
            <w:tcW w:w="4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2,001</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2,681</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1,776</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2,489</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1,637</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2,902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2,495</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2,207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1,917</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1,577</w:t>
            </w:r>
          </w:p>
        </w:tc>
      </w:tr>
      <w:tr>
        <w:trPr>
          <w:trHeight w:val="270"/>
        </w:trPr>
        <w:tc>
          <w:tcPr>
            <w:tcW w:w="4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2,737</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2,128</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1,881</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1,755</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2,154</w:t>
            </w:r>
          </w:p>
        </w:tc>
      </w:tr>
      <w:tr>
        <w:trPr>
          <w:trHeight w:val="209"/>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Recoveries on Loans and Leases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Previously Charged-Off</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10,486</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9,428</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15,152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9,631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13,537</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Loans and Leases Charged-Off</w:t>
            </w:r>
          </w:p>
        </w:tc>
        <w:tc>
          <w:tcPr>
            <w:tcW w:w="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(14,078)</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(13,827)</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(3,357)</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(6,808)</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(1,902)</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13,425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16,900</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4,750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(4,864)</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Provision for Unfunded Commitments</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500</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185</w:t>
            </w:r>
          </w:p>
        </w:tc>
        <w:tc>
          <w:tcPr>
            <w:tcW w:w="3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(180)</w:t>
            </w:r>
          </w:p>
        </w:tc>
      </w:tr>
      <w:tr>
        <w:trPr>
          <w:trHeight w:val="33"/>
        </w:trPr>
        <w:tc>
          <w:tcPr>
            <w:tcW w:w="4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21"/>
                <w:szCs w:val="21"/>
                <w:b w:val="1"/>
                <w:bCs w:val="1"/>
                <w:color w:val="auto"/>
                <w:vertAlign w:val="superscript"/>
              </w:rPr>
              <w:t>2</w:t>
            </w:r>
          </w:p>
        </w:tc>
        <w:tc>
          <w:tcPr>
            <w:tcW w:w="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113,515</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114,168</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110,845</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108,952</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114,575</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106,693</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107,346</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104,273</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102,880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108,688</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5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6,822</w:t>
            </w:r>
          </w:p>
        </w:tc>
        <w:tc>
          <w:tcPr>
            <w:tcW w:w="3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6,822</w:t>
            </w:r>
          </w:p>
        </w:tc>
        <w:tc>
          <w:tcPr>
            <w:tcW w:w="34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6,572</w:t>
            </w:r>
          </w:p>
        </w:tc>
        <w:tc>
          <w:tcPr>
            <w:tcW w:w="360" w:type="dxa"/>
            <w:vAlign w:val="bottom"/>
          </w:tcPr>
          <w:p>
            <w:pPr>
              <w:spacing w:after="0"/>
              <w:rPr>
                <w:sz w:val="20"/>
                <w:szCs w:val="20"/>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6,072</w:t>
            </w:r>
          </w:p>
        </w:tc>
        <w:tc>
          <w:tcPr>
            <w:tcW w:w="36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5,887</w:t>
            </w:r>
          </w:p>
        </w:tc>
      </w:tr>
      <w:tr>
        <w:trPr>
          <w:trHeight w:val="33"/>
        </w:trPr>
        <w:tc>
          <w:tcPr>
            <w:tcW w:w="4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113,515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114,168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110,845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108,952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114,575</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10,043,661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9,346,828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8,362,210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7,423,572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6,405,431</w:t>
            </w:r>
          </w:p>
        </w:tc>
      </w:tr>
      <w:tr>
        <w:trPr>
          <w:trHeight w:val="73"/>
        </w:trPr>
        <w:tc>
          <w:tcPr>
            <w:tcW w:w="40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0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w:t>
            </w:r>
          </w:p>
        </w:tc>
        <w:tc>
          <w:tcPr>
            <w:tcW w:w="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0.14 %</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0.04 %</w:t>
            </w: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0.03 %</w:t>
            </w:r>
          </w:p>
        </w:tc>
      </w:tr>
      <w:tr>
        <w:trPr>
          <w:trHeight w:val="220"/>
        </w:trPr>
        <w:tc>
          <w:tcPr>
            <w:tcW w:w="4060" w:type="dxa"/>
            <w:vAlign w:val="bottom"/>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4060" w:type="dxa"/>
            <w:vAlign w:val="bottom"/>
          </w:tcPr>
          <w:p>
            <w:pPr>
              <w:ind w:left="40"/>
              <w:spacing w:after="0"/>
              <w:rPr>
                <w:sz w:val="20"/>
                <w:szCs w:val="20"/>
                <w:color w:val="auto"/>
              </w:rPr>
            </w:pPr>
            <w:r>
              <w:rPr>
                <w:rFonts w:ascii="Arial" w:cs="Arial" w:eastAsia="Arial" w:hAnsi="Arial"/>
                <w:sz w:val="16"/>
                <w:szCs w:val="16"/>
                <w:color w:val="auto"/>
              </w:rPr>
              <w:t>Loans and Leases Outstanding</w:t>
            </w:r>
          </w:p>
        </w:tc>
        <w:tc>
          <w:tcPr>
            <w:tcW w:w="5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3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3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3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36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1.58%</w:t>
            </w:r>
          </w:p>
        </w:tc>
      </w:tr>
    </w:tbl>
    <w:p>
      <w:pPr>
        <w:spacing w:after="0" w:line="14"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19 presents the allocation of the Allowance by loan and lease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Allocation of Allowance for Loan and Lease Losses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19</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26,408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24,750</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22,797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22,052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26,822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34,869</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34,890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33,893</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31,889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31,118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4,398</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5,109</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7,771</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5,541</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4,927</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1,199</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1,073</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66,874</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65,822</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65,680</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60,714</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64,551</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6,870</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6,515</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6,435</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11,151</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14,069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11,240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12,520</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13,442</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13,118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11,576</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10,940</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9,763</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8,516</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4,251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10,133</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11,549</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8,953</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9,381</w:t>
            </w: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11,019</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39,819</w:t>
            </w:r>
          </w:p>
        </w:tc>
        <w:tc>
          <w:tcPr>
            <w:tcW w:w="4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41,524</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38,593</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42,166</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44,137</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Allocation of Allowance for Loan and Lease Losses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106,693</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107,346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104,273</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102,880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108,688</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ind w:left="44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224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6"/>
                <w:szCs w:val="16"/>
                <w:b w:val="1"/>
                <w:bCs w:val="1"/>
                <w:color w:val="auto"/>
                <w:w w:val="89"/>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740"/>
              <w:spacing w:after="0"/>
              <w:rPr>
                <w:sz w:val="20"/>
                <w:szCs w:val="20"/>
                <w:color w:val="auto"/>
              </w:rPr>
            </w:pPr>
            <w:r>
              <w:rPr>
                <w:rFonts w:ascii="Arial" w:cs="Arial" w:eastAsia="Arial" w:hAnsi="Arial"/>
                <w:sz w:val="16"/>
                <w:szCs w:val="16"/>
                <w:b w:val="1"/>
                <w:bCs w:val="1"/>
                <w:color w:val="auto"/>
                <w:w w:val="89"/>
              </w:rPr>
              <w:t>2014</w:t>
            </w:r>
          </w:p>
        </w:tc>
        <w:tc>
          <w:tcPr>
            <w:tcW w:w="680" w:type="dxa"/>
            <w:vAlign w:val="bottom"/>
          </w:tcPr>
          <w:p>
            <w:pPr>
              <w:spacing w:after="0"/>
              <w:rPr>
                <w:sz w:val="20"/>
                <w:szCs w:val="20"/>
                <w:color w:val="auto"/>
              </w:rPr>
            </w:pPr>
          </w:p>
        </w:tc>
      </w:tr>
      <w:tr>
        <w:trPr>
          <w:trHeight w:val="33"/>
        </w:trPr>
        <w:tc>
          <w:tcPr>
            <w:tcW w:w="2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56"/>
        </w:trPr>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60" w:type="dxa"/>
            <w:vAlign w:val="bottom"/>
          </w:tcPr>
          <w:p>
            <w:pPr>
              <w:spacing w:after="0"/>
              <w:rPr>
                <w:sz w:val="13"/>
                <w:szCs w:val="13"/>
                <w:color w:val="auto"/>
              </w:rPr>
            </w:pPr>
          </w:p>
        </w:tc>
        <w:tc>
          <w:tcPr>
            <w:tcW w:w="8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Loan</w:t>
            </w:r>
          </w:p>
        </w:tc>
        <w:tc>
          <w:tcPr>
            <w:tcW w:w="1080" w:type="dxa"/>
            <w:vAlign w:val="bottom"/>
          </w:tcPr>
          <w:p>
            <w:pPr>
              <w:spacing w:after="0"/>
              <w:rPr>
                <w:sz w:val="13"/>
                <w:szCs w:val="13"/>
                <w:color w:val="auto"/>
              </w:rPr>
            </w:pPr>
          </w:p>
        </w:tc>
        <w:tc>
          <w:tcPr>
            <w:tcW w:w="68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Loan</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2"/>
              </w:rPr>
              <w:t>category</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2"/>
              </w:rPr>
              <w:t>category</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category</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Alloc.</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category</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Alloc.</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w w:val="82"/>
              </w:rPr>
              <w:t>category</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as % of</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as % of</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as % of</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Allow. as</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as % of</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Allow. as</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w w:val="97"/>
              </w:rPr>
              <w:t>as % of</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 of</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loan or</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loans</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loan or</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loans</w:t>
            </w:r>
          </w:p>
        </w:tc>
      </w:tr>
      <w:tr>
        <w:trPr>
          <w:trHeight w:val="149"/>
        </w:trPr>
        <w:tc>
          <w:tcPr>
            <w:tcW w:w="2240" w:type="dxa"/>
            <w:vAlign w:val="bottom"/>
          </w:tcPr>
          <w:p>
            <w:pPr>
              <w:spacing w:after="0"/>
              <w:rPr>
                <w:sz w:val="12"/>
                <w:szCs w:val="12"/>
                <w:color w:val="auto"/>
              </w:rPr>
            </w:pP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lease</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lease</w:t>
            </w:r>
          </w:p>
        </w:tc>
        <w:tc>
          <w:tcPr>
            <w:tcW w:w="680" w:type="dxa"/>
            <w:vAlign w:val="bottom"/>
          </w:tcPr>
          <w:p>
            <w:pPr>
              <w:jc w:val="right"/>
              <w:ind w:right="110"/>
              <w:spacing w:after="0" w:line="149" w:lineRule="exact"/>
              <w:rPr>
                <w:sz w:val="20"/>
                <w:szCs w:val="20"/>
                <w:color w:val="auto"/>
              </w:rPr>
            </w:pPr>
            <w:r>
              <w:rPr>
                <w:rFonts w:ascii="Arial" w:cs="Arial" w:eastAsia="Arial" w:hAnsi="Arial"/>
                <w:sz w:val="14"/>
                <w:szCs w:val="14"/>
                <w:b w:val="1"/>
                <w:bCs w:val="1"/>
                <w:color w:val="auto"/>
              </w:rPr>
              <w:t>and</w:t>
            </w:r>
          </w:p>
        </w:tc>
      </w:tr>
      <w:tr>
        <w:trPr>
          <w:trHeight w:val="182"/>
        </w:trPr>
        <w:tc>
          <w:tcPr>
            <w:tcW w:w="2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leases</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category</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leases</w:t>
            </w:r>
          </w:p>
        </w:tc>
      </w:tr>
      <w:tr>
        <w:trPr>
          <w:trHeight w:val="270"/>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1060" w:type="dxa"/>
            <w:vAlign w:val="bottom"/>
          </w:tcPr>
          <w:p>
            <w:pPr>
              <w:ind w:left="420"/>
              <w:spacing w:after="0"/>
              <w:rPr>
                <w:sz w:val="20"/>
                <w:szCs w:val="20"/>
                <w:color w:val="auto"/>
              </w:rPr>
            </w:pPr>
            <w:r>
              <w:rPr>
                <w:rFonts w:ascii="Arial" w:cs="Arial" w:eastAsia="Arial" w:hAnsi="Arial"/>
                <w:sz w:val="14"/>
                <w:szCs w:val="14"/>
                <w:color w:val="auto"/>
              </w:rPr>
              <w:t>1.98%</w:t>
            </w:r>
          </w:p>
        </w:tc>
        <w:tc>
          <w:tcPr>
            <w:tcW w:w="680" w:type="dxa"/>
            <w:vAlign w:val="bottom"/>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1.93%</w:t>
            </w:r>
          </w:p>
        </w:tc>
        <w:tc>
          <w:tcPr>
            <w:tcW w:w="680" w:type="dxa"/>
            <w:vAlign w:val="bottom"/>
          </w:tcPr>
          <w:p>
            <w:pPr>
              <w:jc w:val="right"/>
              <w:spacing w:after="0"/>
              <w:rPr>
                <w:sz w:val="20"/>
                <w:szCs w:val="20"/>
                <w:color w:val="auto"/>
              </w:rPr>
            </w:pPr>
            <w:r>
              <w:rPr>
                <w:rFonts w:ascii="Arial" w:cs="Arial" w:eastAsia="Arial" w:hAnsi="Arial"/>
                <w:sz w:val="14"/>
                <w:szCs w:val="14"/>
                <w:color w:val="auto"/>
              </w:rPr>
              <w:t>13.06%</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1.82%</w:t>
            </w:r>
          </w:p>
        </w:tc>
        <w:tc>
          <w:tcPr>
            <w:tcW w:w="700" w:type="dxa"/>
            <w:vAlign w:val="bottom"/>
          </w:tcPr>
          <w:p>
            <w:pPr>
              <w:jc w:val="right"/>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1.98%</w:t>
            </w:r>
          </w:p>
        </w:tc>
        <w:tc>
          <w:tcPr>
            <w:tcW w:w="700" w:type="dxa"/>
            <w:vAlign w:val="bottom"/>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2.54%</w:t>
            </w:r>
          </w:p>
        </w:tc>
        <w:tc>
          <w:tcPr>
            <w:tcW w:w="680" w:type="dxa"/>
            <w:vAlign w:val="bottom"/>
          </w:tcPr>
          <w:p>
            <w:pPr>
              <w:jc w:val="right"/>
              <w:spacing w:after="0"/>
              <w:rPr>
                <w:sz w:val="20"/>
                <w:szCs w:val="20"/>
                <w:color w:val="auto"/>
              </w:rPr>
            </w:pPr>
            <w:r>
              <w:rPr>
                <w:rFonts w:ascii="Arial" w:cs="Arial" w:eastAsia="Arial" w:hAnsi="Arial"/>
                <w:sz w:val="14"/>
                <w:szCs w:val="14"/>
                <w:color w:val="auto"/>
              </w:rPr>
              <w:t>15.30%</w:t>
            </w:r>
          </w:p>
        </w:tc>
      </w:tr>
      <w:tr>
        <w:trPr>
          <w:trHeight w:val="276"/>
        </w:trPr>
        <w:tc>
          <w:tcPr>
            <w:tcW w:w="2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1.51</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22.03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1.66</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21.48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1.79</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1.90</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2.16</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20.84</w:t>
            </w: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1060" w:type="dxa"/>
            <w:vAlign w:val="bottom"/>
          </w:tcPr>
          <w:p>
            <w:pPr>
              <w:ind w:left="420"/>
              <w:spacing w:after="0"/>
              <w:rPr>
                <w:sz w:val="20"/>
                <w:szCs w:val="20"/>
                <w:color w:val="auto"/>
              </w:rPr>
            </w:pPr>
            <w:r>
              <w:rPr>
                <w:rFonts w:ascii="Arial" w:cs="Arial" w:eastAsia="Arial" w:hAnsi="Arial"/>
                <w:sz w:val="14"/>
                <w:szCs w:val="14"/>
                <w:color w:val="auto"/>
              </w:rPr>
              <w:t>2.59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2.53</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2.88</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3.54</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4.51</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1.58</w:t>
            </w:r>
          </w:p>
        </w:tc>
      </w:tr>
      <w:tr>
        <w:trPr>
          <w:trHeight w:val="270"/>
        </w:trPr>
        <w:tc>
          <w:tcPr>
            <w:tcW w:w="2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0.68</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0.59</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0.59</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0.60</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0.74</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3.28</w:t>
            </w: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1.68</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38.09</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1.75</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38.45</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1.82</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40.42</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1.93</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40.03</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2.28</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41.00</w:t>
            </w:r>
          </w:p>
        </w:tc>
      </w:tr>
      <w:tr>
        <w:trPr>
          <w:trHeight w:val="270"/>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1060" w:type="dxa"/>
            <w:vAlign w:val="bottom"/>
          </w:tcPr>
          <w:p>
            <w:pPr>
              <w:ind w:left="420"/>
              <w:spacing w:after="0"/>
              <w:rPr>
                <w:sz w:val="20"/>
                <w:szCs w:val="20"/>
                <w:color w:val="auto"/>
              </w:rPr>
            </w:pPr>
            <w:r>
              <w:rPr>
                <w:rFonts w:ascii="Arial" w:cs="Arial" w:eastAsia="Arial" w:hAnsi="Arial"/>
                <w:sz w:val="14"/>
                <w:szCs w:val="14"/>
                <w:color w:val="auto"/>
              </w:rPr>
              <w:t>0.19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0.19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35.39</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0.20</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35.34</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0.38</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37.13</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0.55</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37.28</w:t>
            </w:r>
          </w:p>
        </w:tc>
      </w:tr>
      <w:tr>
        <w:trPr>
          <w:trHeight w:val="276"/>
        </w:trPr>
        <w:tc>
          <w:tcPr>
            <w:tcW w:w="2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0.67</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0.79</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16.18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1.01</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14.91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1.23</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1.71</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12.56</w:t>
            </w:r>
          </w:p>
        </w:tc>
      </w:tr>
      <w:tr>
        <w:trPr>
          <w:trHeight w:val="264"/>
        </w:trPr>
        <w:tc>
          <w:tcPr>
            <w:tcW w:w="224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1060" w:type="dxa"/>
            <w:vAlign w:val="bottom"/>
          </w:tcPr>
          <w:p>
            <w:pPr>
              <w:ind w:left="420"/>
              <w:spacing w:after="0"/>
              <w:rPr>
                <w:sz w:val="20"/>
                <w:szCs w:val="20"/>
                <w:color w:val="auto"/>
              </w:rPr>
            </w:pPr>
            <w:r>
              <w:rPr>
                <w:rFonts w:ascii="Arial" w:cs="Arial" w:eastAsia="Arial" w:hAnsi="Arial"/>
                <w:sz w:val="14"/>
                <w:szCs w:val="14"/>
                <w:color w:val="auto"/>
              </w:rPr>
              <w:t>1.76</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2"/>
                <w:szCs w:val="22"/>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2.07</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2.15</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1060" w:type="dxa"/>
            <w:vAlign w:val="bottom"/>
          </w:tcPr>
          <w:p>
            <w:pPr>
              <w:ind w:left="420"/>
              <w:spacing w:after="0"/>
              <w:rPr>
                <w:sz w:val="20"/>
                <w:szCs w:val="20"/>
                <w:color w:val="auto"/>
              </w:rPr>
            </w:pPr>
            <w:r>
              <w:rPr>
                <w:rFonts w:ascii="Arial" w:cs="Arial" w:eastAsia="Arial" w:hAnsi="Arial"/>
                <w:sz w:val="14"/>
                <w:szCs w:val="14"/>
                <w:color w:val="auto"/>
              </w:rPr>
              <w:t>2.23</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1.31</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4.70</w:t>
            </w:r>
          </w:p>
        </w:tc>
      </w:tr>
      <w:tr>
        <w:trPr>
          <w:trHeight w:val="270"/>
        </w:trPr>
        <w:tc>
          <w:tcPr>
            <w:tcW w:w="22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2.22</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4.36</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2.57</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2.35</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2.69</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3.58</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4.46</w:t>
            </w: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0.62</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61.91</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0.69</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61.55</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0.72</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59.58</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0.89</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59.97</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1.08</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59.00</w:t>
            </w:r>
          </w:p>
        </w:tc>
      </w:tr>
      <w:tr>
        <w:trPr>
          <w:trHeight w:val="264"/>
        </w:trPr>
        <w:tc>
          <w:tcPr>
            <w:tcW w:w="2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1.02%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1.10%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1.58%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2018, the Allowance was $106.7 million or 1.02% of total loans and leases outstanding, compared with an Allowance of $107.3 million or 1.10% of total loans and leases outstanding as of December 31, 2017. The level of the Allowance was commensurate with the Company’s stable credit risk profile, loan portfolio growth and composition, and a healthy Hawaii economy.</w:t>
      </w:r>
    </w:p>
    <w:p>
      <w:pPr>
        <w:spacing w:after="0" w:line="18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Net charge-offs of loans and leases were $14.1 million or 0.14% of total average loans and leases in 2018 compared to $13.8 million or 0.15% of total average loans and leases in 2017. Net charge-offs in our consumer portfolios were $14.6 million in 2018 compared to $13.9 million in 2017. This increase was primarily reflected in our credit card portfolio, which was sold on November 1, 2018, our home equity portfolio due to lower recoveries, as well as overdrafts. Net recoveries in our commercial portfolios were $0.5 million in 2018 compared to net recoveries of $0.1 million in 2017.</w:t>
      </w:r>
    </w:p>
    <w:p>
      <w:pPr>
        <w:sectPr>
          <w:pgSz w:w="11900" w:h="16838" w:orient="portrait"/>
          <w:cols w:equalWidth="0" w:num="1">
            <w:col w:w="11420"/>
          </w:cols>
          <w:pgMar w:left="240" w:top="125"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December 31, 2018 based on our ongoing analysis of estimated probable credit losses, credit risk profiles, economic conditions, coverage ratios, and other relevant factors.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allocation of the Allowance to our commercial portfolio segment increased by $1.1 million or 2% from December 31, 2017. This increase was primarily due to a $1.7 million increase in the Allowance allocated to the commercial and industrial portfolio due to loan growth. The increase was offset by a $0.7 million decrease in the Allowance allocated to the construction portfolio due to the completion of major construction projects and the resultant decline in construction outstandings.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allocation of the Allowance to our consumer portfolio segment decreased by $1.7 million or 4% from December 31, 2017 and is consistent with current asset quality metrics and 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4 to the Consolidated Financial Statements for more information on the Allowance and credit quality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Unfunded Reserve was $6.8 million as of December 31, 2018 and December 31, 2017. The process used to determine the Unfunded Reserve is consistent with the process for determining the Allowance, as adjusted for estimated funding probabilities.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Credit Risks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normal course of business, we serve the needs of state and political subdivisions in multiple capacities, including traditional banking products such as deposit services, and by investing in municipal debt securities. The carrying value of our municipal debt securities was $798.6 million as of December 31, 2018 and $865.5 million as of December 31, 2017. We also maintained investments in corporate bonds with a carrying value of $320.4 million as of December 31, 2018 and $385.7 million as of December 31, 2017. We are exposed to credit risk in these investments should the issuer of a security be unable to meet its financial obligations. This may result in the issuer failing to make scheduled interest payments and/or being unable to repay the principal upon maturity. See the “Analysis of Statements of Condition - Investment Securities” section in MD&amp;A for more information.</w:t>
      </w:r>
    </w:p>
    <w:p>
      <w:pPr>
        <w:spacing w:after="0" w:line="17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Our use of derivative financial instruments has been very limited in recent years. However, these financial instruments do expose the Company to counterparty credit risk. See Note 17 to the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500" w:hanging="168"/>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adjusting the statement of condition mix or altering the interest rate characteristics of assets and liabilities;</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use of derivative financial instruments, as detailed in Note 17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20 presents, for the twelve months subsequent to December 31, 2018 and 2017,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December 31, 2018,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December 31, 2018, net interest income sensitivity to changes in interest rates for the twelve months subsequent to December 31, 2018 was slightly less sensitive in comparison to the sensitivity profile for the twelve months subsequent to December 31, 2017.</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20</w:t>
            </w:r>
          </w:p>
        </w:tc>
      </w:tr>
      <w:tr>
        <w:trPr>
          <w:trHeight w:val="33"/>
        </w:trPr>
        <w:tc>
          <w:tcPr>
            <w:tcW w:w="6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5"/>
          </w:tcPr>
          <w:p>
            <w:pPr>
              <w:jc w:val="right"/>
              <w:spacing w:after="0"/>
              <w:rPr>
                <w:sz w:val="20"/>
                <w:szCs w:val="20"/>
                <w:color w:val="auto"/>
              </w:rPr>
            </w:pPr>
            <w:r>
              <w:rPr>
                <w:rFonts w:ascii="Arial" w:cs="Arial" w:eastAsia="Arial" w:hAnsi="Arial"/>
                <w:sz w:val="16"/>
                <w:szCs w:val="16"/>
                <w:b w:val="1"/>
                <w:bCs w:val="1"/>
                <w:color w:val="auto"/>
              </w:rPr>
              <w:t>Impact on Future Annual Net Interest Income</w:t>
            </w:r>
          </w:p>
        </w:tc>
        <w:tc>
          <w:tcPr>
            <w:tcW w:w="840" w:type="dxa"/>
            <w:vAlign w:val="bottom"/>
          </w:tcPr>
          <w:p>
            <w:pPr>
              <w:spacing w:after="0"/>
              <w:rPr>
                <w:sz w:val="20"/>
                <w:szCs w:val="20"/>
                <w:color w:val="auto"/>
              </w:rPr>
            </w:pPr>
          </w:p>
        </w:tc>
      </w:tr>
      <w:tr>
        <w:trPr>
          <w:trHeight w:val="33"/>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258"/>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2018</w:t>
            </w: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December 31, 2017</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39"/>
              <w:spacing w:after="0"/>
              <w:rPr>
                <w:sz w:val="20"/>
                <w:szCs w:val="20"/>
                <w:color w:val="auto"/>
              </w:rPr>
            </w:pPr>
            <w:r>
              <w:rPr>
                <w:rFonts w:ascii="Arial" w:cs="Arial" w:eastAsia="Arial" w:hAnsi="Arial"/>
                <w:sz w:val="16"/>
                <w:szCs w:val="16"/>
                <w:color w:val="auto"/>
              </w:rPr>
              <w:t>11,014</w:t>
            </w: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12,420</w:t>
            </w: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5,673</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6,622</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20"/>
                <w:szCs w:val="20"/>
                <w:color w:val="auto"/>
              </w:rPr>
            </w:pPr>
          </w:p>
        </w:tc>
        <w:tc>
          <w:tcPr>
            <w:tcW w:w="1620" w:type="dxa"/>
            <w:vAlign w:val="bottom"/>
          </w:tcPr>
          <w:p>
            <w:pPr>
              <w:jc w:val="right"/>
              <w:ind w:right="779"/>
              <w:spacing w:after="0"/>
              <w:rPr>
                <w:sz w:val="20"/>
                <w:szCs w:val="20"/>
                <w:color w:val="auto"/>
              </w:rPr>
            </w:pPr>
            <w:r>
              <w:rPr>
                <w:rFonts w:ascii="Arial" w:cs="Arial" w:eastAsia="Arial" w:hAnsi="Arial"/>
                <w:sz w:val="16"/>
                <w:szCs w:val="16"/>
                <w:color w:val="auto"/>
              </w:rPr>
              <w:t>(6,289)</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(6,789)</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39"/>
              <w:spacing w:after="0"/>
              <w:rPr>
                <w:sz w:val="20"/>
                <w:szCs w:val="20"/>
                <w:color w:val="auto"/>
              </w:rPr>
            </w:pPr>
            <w:r>
              <w:rPr>
                <w:rFonts w:ascii="Arial" w:cs="Arial" w:eastAsia="Arial" w:hAnsi="Arial"/>
                <w:sz w:val="16"/>
                <w:szCs w:val="16"/>
                <w:color w:val="auto"/>
              </w:rPr>
              <w:t>23,309</w:t>
            </w: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29,876</w:t>
            </w: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12,517</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16,328</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20"/>
                <w:szCs w:val="20"/>
                <w:color w:val="auto"/>
              </w:rPr>
            </w:pPr>
          </w:p>
        </w:tc>
        <w:tc>
          <w:tcPr>
            <w:tcW w:w="1620" w:type="dxa"/>
            <w:vAlign w:val="bottom"/>
          </w:tcPr>
          <w:p>
            <w:pPr>
              <w:jc w:val="right"/>
              <w:ind w:right="779"/>
              <w:spacing w:after="0"/>
              <w:rPr>
                <w:sz w:val="20"/>
                <w:szCs w:val="20"/>
                <w:color w:val="auto"/>
              </w:rPr>
            </w:pPr>
            <w:r>
              <w:rPr>
                <w:rFonts w:ascii="Arial" w:cs="Arial" w:eastAsia="Arial" w:hAnsi="Arial"/>
                <w:sz w:val="16"/>
                <w:szCs w:val="16"/>
                <w:color w:val="auto"/>
              </w:rPr>
              <w:t>(17,665)</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(21,653)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w:t>
            </w:r>
          </w:p>
        </w:tc>
      </w:tr>
    </w:tbl>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is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December 31, 2018, we could have borrowed an additional $2.2 billion from the FHLB and an additional $538.5 million from the FRB based on the amount of collateral pledged.</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continued our focus on maintaining a strong liquidity position throughout 2018. As of December 31, 2018, cash and cash equivalents were $526.0 million, the carrying value of our available-for-sale investment securities was $2.0 billion, and total deposits were $15.0 billion. As of December 31, 2018, our available-for-sale investment securities portfolio was comprised of securities with an average base duration of approximately 2.3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actively manage capital, commensurate with our risk profile, in our efforts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December 31, 2018, the Company’s capital levels remained characterized as “well-capitalized.” The Company’s regulatory capital ratios are presented in Table 21 below. There have been no conditions or events since December 31, 2018 that management believes have changed either the Company’s or the Bank’s capital classifications.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shareholders’ equity was $1.3 billion, an increase of $36.3 million or 3% from December 31, 2017. Earnings for 2018 of $219.6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common stock issuances of $7.9 million, and share-based compensation of $8.1 million were offset by cash dividends paid of $98.5 million,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repurchases of $92.0 million, and other comprehensive loss of $8.9 million. In 2018, included in the amount of common stock repurchased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1,079,397 shares repurchased under our share repurchase program. These shares were repurchased at an average cost per share of $81.80 and a total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$88.3 million. From the beginning of our share repurchase program in July 2001 through December 31, 2018, we repurchased a total of 55.3 million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returned total over $2.1 billion to our shareholders at an average cost of $39.14 per share.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2019, the Parent’s Board of Directors increased the authorization under the share repurchase program by an additional $130.0 million. From January 1, 2019 through February 15, 2019, the Parent repurchased an additional 298,500 shares of common stock at an average cost of $75.46 per share and a total cost of $22.5 million. Remaining buyback authority was $139.2 million as of February 15, 2019. The actual amount and timing of future share repurchases, if any, will depend on market and economic conditions, regulatory rules, applicable SEC rules, and various other factors.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January 2019, the Parent’s Board of Directors declared a quarterly cash dividend of $0.62 per share on the Parent’s outstanding shares. The dividend will be payable on March 14, 2019 to shareholders of record at the close of business on February 28,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21 presents a five-year history of activities and balances in our capital accounts, along with key capital ratios.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5"/>
          </w:tcPr>
          <w:p>
            <w:pPr>
              <w:ind w:left="40"/>
              <w:spacing w:after="0"/>
              <w:rPr>
                <w:sz w:val="20"/>
                <w:szCs w:val="20"/>
                <w:color w:val="auto"/>
              </w:rPr>
            </w:pPr>
            <w:r>
              <w:rPr>
                <w:rFonts w:ascii="Arial" w:cs="Arial" w:eastAsia="Arial" w:hAnsi="Arial"/>
                <w:sz w:val="18"/>
                <w:szCs w:val="18"/>
                <w:b w:val="1"/>
                <w:bCs w:val="1"/>
                <w:color w:val="auto"/>
              </w:rPr>
              <w:t>Shareholders’ Equity and Regulatory Capital</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21</w:t>
            </w:r>
          </w:p>
        </w:tc>
      </w:tr>
      <w:tr>
        <w:trPr>
          <w:trHeight w:val="27"/>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5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r>
      <w:tr>
        <w:trPr>
          <w:trHeight w:val="202"/>
        </w:trPr>
        <w:tc>
          <w:tcPr>
            <w:tcW w:w="50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Change in Shareholders' Equity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5"/>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219,602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184,672</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181,461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160,704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163,042</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(98,496)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(87,066)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(81,157)</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(78,367)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(79,660)</w:t>
            </w:r>
          </w:p>
        </w:tc>
      </w:tr>
      <w:tr>
        <w:trPr>
          <w:trHeight w:val="237"/>
        </w:trPr>
        <w:tc>
          <w:tcPr>
            <w:tcW w:w="5040" w:type="dxa"/>
            <w:vAlign w:val="bottom"/>
            <w:gridSpan w:val="5"/>
          </w:tcPr>
          <w:p>
            <w:pPr>
              <w:ind w:left="40"/>
              <w:spacing w:after="0"/>
              <w:rPr>
                <w:sz w:val="20"/>
                <w:szCs w:val="20"/>
                <w:color w:val="auto"/>
              </w:rPr>
            </w:pPr>
            <w:r>
              <w:rPr>
                <w:rFonts w:ascii="Arial" w:cs="Arial" w:eastAsia="Arial" w:hAnsi="Arial"/>
                <w:sz w:val="16"/>
                <w:szCs w:val="16"/>
                <w:color w:val="auto"/>
              </w:rPr>
              <w:t>Dividend Reinvestment Program</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4,689</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4,360</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4,271</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4,316</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4,479</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Stock Repurchased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(91,988)</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(47,076)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(61,807)</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(52,981)</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(64,046)</w:t>
            </w:r>
          </w:p>
        </w:tc>
      </w:tr>
      <w:tr>
        <w:trPr>
          <w:trHeight w:val="270"/>
        </w:trPr>
        <w:tc>
          <w:tcPr>
            <w:tcW w:w="50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2,525</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15,441</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2,509</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27,502</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19,295</w:t>
            </w:r>
          </w:p>
        </w:tc>
      </w:tr>
      <w:tr>
        <w:trPr>
          <w:trHeight w:val="269"/>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Increase in Shareholders' Equity</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36,332</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70,331</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45,277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61,174</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43,110</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3"/>
        </w:trPr>
        <w:tc>
          <w:tcPr>
            <w:tcW w:w="5040" w:type="dxa"/>
            <w:vAlign w:val="bottom"/>
            <w:gridSpan w:val="5"/>
            <w:shd w:val="clear" w:color="auto" w:fill="CCEEFF"/>
          </w:tcPr>
          <w:p>
            <w:pPr>
              <w:ind w:left="40"/>
              <w:spacing w:after="0" w:line="203" w:lineRule="exact"/>
              <w:rPr>
                <w:sz w:val="20"/>
                <w:szCs w:val="20"/>
                <w:color w:val="auto"/>
              </w:rPr>
            </w:pPr>
            <w:r>
              <w:rPr>
                <w:rFonts w:ascii="Arial" w:cs="Arial" w:eastAsia="Arial" w:hAnsi="Arial"/>
                <w:sz w:val="16"/>
                <w:szCs w:val="16"/>
                <w:color w:val="auto"/>
              </w:rPr>
              <w:t xml:space="preserve">Regulatory Capital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1,268,200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1,231,868</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1,161,537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1,116,260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1,055,086</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 xml:space="preserve">Less: Goodwill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28,718</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28,718</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27,413</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27,416</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31,517</w:t>
            </w:r>
          </w:p>
        </w:tc>
      </w:tr>
      <w:tr>
        <w:trPr>
          <w:trHeight w:val="237"/>
        </w:trPr>
        <w:tc>
          <w:tcPr>
            <w:tcW w:w="40" w:type="dxa"/>
            <w:vAlign w:val="bottom"/>
          </w:tcPr>
          <w:p>
            <w:pPr>
              <w:spacing w:after="0"/>
              <w:rPr>
                <w:sz w:val="20"/>
                <w:szCs w:val="20"/>
                <w:color w:val="auto"/>
              </w:rPr>
            </w:pPr>
          </w:p>
        </w:tc>
        <w:tc>
          <w:tcPr>
            <w:tcW w:w="5000" w:type="dxa"/>
            <w:vAlign w:val="bottom"/>
            <w:gridSpan w:val="4"/>
          </w:tcPr>
          <w:p>
            <w:pPr>
              <w:ind w:left="460"/>
              <w:spacing w:after="0"/>
              <w:rPr>
                <w:sz w:val="20"/>
                <w:szCs w:val="20"/>
                <w:color w:val="auto"/>
              </w:rPr>
            </w:pPr>
            <w:r>
              <w:rPr>
                <w:rFonts w:ascii="Arial" w:cs="Arial" w:eastAsia="Arial" w:hAnsi="Arial"/>
                <w:sz w:val="16"/>
                <w:szCs w:val="16"/>
                <w:color w:val="auto"/>
              </w:rPr>
              <w:t>Postretirement Benefit Liability Adjustments</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(36,010)</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(27,715)</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(28,892)</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(28,860)</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(34,115)</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00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(15,033)</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(7,000)</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(5,014)</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5,304</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15,984</w:t>
            </w:r>
          </w:p>
        </w:tc>
      </w:tr>
      <w:tr>
        <w:trPr>
          <w:trHeight w:val="237"/>
        </w:trPr>
        <w:tc>
          <w:tcPr>
            <w:tcW w:w="40" w:type="dxa"/>
            <w:vAlign w:val="bottom"/>
          </w:tcPr>
          <w:p>
            <w:pPr>
              <w:spacing w:after="0"/>
              <w:rPr>
                <w:sz w:val="20"/>
                <w:szCs w:val="20"/>
                <w:color w:val="auto"/>
              </w:rPr>
            </w:pPr>
          </w:p>
        </w:tc>
        <w:tc>
          <w:tcPr>
            <w:tcW w:w="5000" w:type="dxa"/>
            <w:vAlign w:val="bottom"/>
            <w:gridSpan w:val="4"/>
          </w:tcPr>
          <w:p>
            <w:pPr>
              <w:ind w:left="4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(198)</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2,069</w:t>
            </w: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1,290,723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1,238,063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1,168,228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1,112,598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37"/>
        </w:trPr>
        <w:tc>
          <w:tcPr>
            <w:tcW w:w="5040" w:type="dxa"/>
            <w:vAlign w:val="bottom"/>
            <w:gridSpan w:val="5"/>
          </w:tcPr>
          <w:p>
            <w:pPr>
              <w:ind w:left="40"/>
              <w:spacing w:after="0"/>
              <w:rPr>
                <w:sz w:val="20"/>
                <w:szCs w:val="20"/>
                <w:color w:val="auto"/>
              </w:rPr>
            </w:pPr>
            <w:r>
              <w:rPr>
                <w:rFonts w:ascii="Arial" w:cs="Arial" w:eastAsia="Arial" w:hAnsi="Arial"/>
                <w:sz w:val="16"/>
                <w:szCs w:val="16"/>
                <w:color w:val="auto"/>
              </w:rPr>
              <w:t>Tier 1 Capital</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1,290,723</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1,238,063</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1,168,228</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1,112,598</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1,039,631</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Allowable Reserve for Credit Losses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113,515</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114,168</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110,300</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99,647</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88,785</w:t>
            </w:r>
          </w:p>
        </w:tc>
      </w:tr>
      <w:tr>
        <w:trPr>
          <w:trHeight w:val="231"/>
        </w:trPr>
        <w:tc>
          <w:tcPr>
            <w:tcW w:w="504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1,404,238</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1,352,231</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1,278,528</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1,212,245</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1,128,416</w:t>
            </w: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1"/>
        </w:trPr>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8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50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 xml:space="preserve">Risk-Weighted Assets </w:t>
            </w:r>
            <w:r>
              <w:rPr>
                <w:rFonts w:ascii="Arial" w:cs="Arial" w:eastAsia="Arial" w:hAnsi="Arial"/>
                <w:sz w:val="21"/>
                <w:szCs w:val="21"/>
                <w:b w:val="1"/>
                <w:bCs w:val="1"/>
                <w:color w:val="auto"/>
                <w:vertAlign w:val="superscript"/>
              </w:rPr>
              <w:t>2</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9,878,904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9,348,296</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8,823,485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7,962,484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7,077,035</w:t>
            </w:r>
          </w:p>
        </w:tc>
      </w:tr>
      <w:tr>
        <w:trPr>
          <w:trHeight w:val="251"/>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3"/>
        </w:trPr>
        <w:tc>
          <w:tcPr>
            <w:tcW w:w="5040" w:type="dxa"/>
            <w:vAlign w:val="bottom"/>
            <w:gridSpan w:val="5"/>
          </w:tcPr>
          <w:p>
            <w:pPr>
              <w:ind w:left="40"/>
              <w:spacing w:after="0" w:line="203" w:lineRule="exact"/>
              <w:rPr>
                <w:sz w:val="20"/>
                <w:szCs w:val="20"/>
                <w:color w:val="auto"/>
              </w:rPr>
            </w:pPr>
            <w:r>
              <w:rPr>
                <w:rFonts w:ascii="Arial" w:cs="Arial" w:eastAsia="Arial" w:hAnsi="Arial"/>
                <w:sz w:val="16"/>
                <w:szCs w:val="16"/>
                <w:b w:val="1"/>
                <w:bCs w:val="1"/>
                <w:color w:val="auto"/>
              </w:rPr>
              <w:t xml:space="preserve">Key Regulatory Capital Ratios </w:t>
            </w:r>
            <w:r>
              <w:rPr>
                <w:rFonts w:ascii="Arial" w:cs="Arial" w:eastAsia="Arial" w:hAnsi="Arial"/>
                <w:sz w:val="21"/>
                <w:szCs w:val="21"/>
                <w:b w:val="1"/>
                <w:bCs w:val="1"/>
                <w:color w:val="auto"/>
                <w:vertAlign w:val="superscript"/>
              </w:rPr>
              <w:t>2</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 Ratio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37"/>
        </w:trPr>
        <w:tc>
          <w:tcPr>
            <w:tcW w:w="5040" w:type="dxa"/>
            <w:vAlign w:val="bottom"/>
            <w:gridSpan w:val="5"/>
          </w:tcPr>
          <w:p>
            <w:pPr>
              <w:ind w:left="40"/>
              <w:spacing w:after="0"/>
              <w:rPr>
                <w:sz w:val="20"/>
                <w:szCs w:val="20"/>
                <w:color w:val="auto"/>
              </w:rPr>
            </w:pPr>
            <w:r>
              <w:rPr>
                <w:rFonts w:ascii="Arial" w:cs="Arial" w:eastAsia="Arial" w:hAnsi="Arial"/>
                <w:sz w:val="16"/>
                <w:szCs w:val="16"/>
                <w:color w:val="auto"/>
              </w:rPr>
              <w:t>Tier 1 Capital Ratio</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13.07</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13.24</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13.24</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13.97</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14.69</w:t>
            </w:r>
          </w:p>
        </w:tc>
      </w:tr>
      <w:tr>
        <w:trPr>
          <w:trHeight w:val="33"/>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 Capital Ratio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14.46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14.49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15.22</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w:t>
            </w:r>
          </w:p>
        </w:tc>
      </w:tr>
      <w:tr>
        <w:trPr>
          <w:trHeight w:val="237"/>
        </w:trPr>
        <w:tc>
          <w:tcPr>
            <w:tcW w:w="5040" w:type="dxa"/>
            <w:vAlign w:val="bottom"/>
            <w:gridSpan w:val="5"/>
          </w:tcPr>
          <w:p>
            <w:pPr>
              <w:ind w:left="40"/>
              <w:spacing w:after="0"/>
              <w:rPr>
                <w:sz w:val="20"/>
                <w:szCs w:val="20"/>
                <w:color w:val="auto"/>
              </w:rPr>
            </w:pPr>
            <w:r>
              <w:rPr>
                <w:rFonts w:ascii="Arial" w:cs="Arial" w:eastAsia="Arial" w:hAnsi="Arial"/>
                <w:sz w:val="16"/>
                <w:szCs w:val="16"/>
                <w:color w:val="auto"/>
              </w:rPr>
              <w:t>Tier 1 Leverage Ratio</w:t>
            </w:r>
          </w:p>
        </w:tc>
        <w:tc>
          <w:tcPr>
            <w:tcW w:w="3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7.60</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7.26</w:t>
            </w:r>
          </w:p>
        </w:tc>
        <w:tc>
          <w:tcPr>
            <w:tcW w:w="2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7.21</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7.26</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7.13</w:t>
            </w:r>
          </w:p>
        </w:tc>
      </w:tr>
    </w:tbl>
    <w:p>
      <w:pPr>
        <w:spacing w:after="0" w:line="14" w:lineRule="exact"/>
        <w:rPr>
          <w:sz w:val="20"/>
          <w:szCs w:val="20"/>
          <w:color w:val="auto"/>
        </w:rPr>
      </w:pPr>
    </w:p>
    <w:p>
      <w:pPr>
        <w:ind w:left="80" w:right="140" w:hanging="72"/>
        <w:spacing w:after="0" w:line="250" w:lineRule="auto"/>
        <w:tabs>
          <w:tab w:leader="none" w:pos="66" w:val="left"/>
        </w:tabs>
        <w:numPr>
          <w:ilvl w:val="0"/>
          <w:numId w:val="37"/>
        </w:numPr>
        <w:rPr>
          <w:rFonts w:ascii="Arial" w:cs="Arial" w:eastAsia="Arial" w:hAnsi="Arial"/>
          <w:sz w:val="9"/>
          <w:szCs w:val="9"/>
          <w:color w:val="auto"/>
        </w:rPr>
      </w:pPr>
      <w:r>
        <w:rPr>
          <w:rFonts w:ascii="Arial" w:cs="Arial" w:eastAsia="Arial" w:hAnsi="Arial"/>
          <w:sz w:val="14"/>
          <w:szCs w:val="14"/>
          <w:color w:val="auto"/>
        </w:rPr>
        <w:t>Includes unrealized gains and losses on available-for-sale investment securities, minimum pension liability adjustments, and common stock issuances under share-based compensation and related tax benefits.</w:t>
      </w:r>
    </w:p>
    <w:p>
      <w:pPr>
        <w:spacing w:after="0" w:line="1" w:lineRule="exact"/>
        <w:rPr>
          <w:sz w:val="20"/>
          <w:szCs w:val="20"/>
          <w:color w:val="auto"/>
        </w:rPr>
      </w:pPr>
    </w:p>
    <w:p>
      <w:pPr>
        <w:ind w:left="80" w:hanging="72"/>
        <w:spacing w:after="0"/>
        <w:tabs>
          <w:tab w:leader="none" w:pos="80" w:val="left"/>
        </w:tabs>
        <w:numPr>
          <w:ilvl w:val="0"/>
          <w:numId w:val="38"/>
        </w:numPr>
        <w:rPr>
          <w:rFonts w:ascii="Arial" w:cs="Arial" w:eastAsia="Arial" w:hAnsi="Arial"/>
          <w:sz w:val="9"/>
          <w:szCs w:val="9"/>
          <w:color w:val="auto"/>
        </w:rPr>
      </w:pPr>
      <w:r>
        <w:rPr>
          <w:rFonts w:ascii="Arial" w:cs="Arial" w:eastAsia="Arial" w:hAnsi="Arial"/>
          <w:sz w:val="14"/>
          <w:szCs w:val="14"/>
          <w:color w:val="auto"/>
        </w:rPr>
        <w:t>December 31, 2018, 2017, 2016, and 2015 calculated under Basel III rules, which became effective January 1, 2015.</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December 31, 2018, 2017, 2016, and 2015 calculated net of deferred tax liabilities.</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8"/>
          <w:szCs w:val="8"/>
          <w:color w:val="auto"/>
        </w:rPr>
        <w:t xml:space="preserve">4 </w:t>
      </w:r>
      <w:r>
        <w:rPr>
          <w:rFonts w:ascii="Arial" w:cs="Arial" w:eastAsia="Arial" w:hAnsi="Arial"/>
          <w:sz w:val="13"/>
          <w:szCs w:val="13"/>
          <w:color w:val="auto"/>
        </w:rPr>
        <w:t>December 31, 2018, 2017, 2016, and 2015 includes unrealized gains and losses related to the Company’s reclassification of available-for-sale investment securities to the held-to-maturity category.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 based capital requirements applicable to bank holding companies and their depository institution subsidiaries, including the definitions and the components of Tier 1 capital and Total Capital, the method of evaluating risk-weighted assets, institutions of a capital conservation buffer, and other matters affecting regulatory capital ratios. Strict eligibility criteria for regulatory capital instruments were also implemented under the rules.</w:t>
      </w:r>
    </w:p>
    <w:p>
      <w:pPr>
        <w:spacing w:after="0" w:line="1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to be fully implemented earlier this year on January 1, 2019. As of December 31, 2018,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(“DIF”) Assessment</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March 2016, the FDIC approved a final rule that imposes on banks with at least $10 billion in assets, such as the Company, a surcharge of 4.5 cents per $100 of their assessment base, after making certain adjustments. The surcharge became effective for the third quarter of 2016 and the FDIC estimated the surcharge would be imposed for approximately two years. The surcharge took effect at the same time that the regular FDIC insurance assessment rates for all banks declined under a rule adopted by the FDIC in 2011. The surcharge ended on September 30, 2018. A further reduction in assessment rates will occur if and when the FDIC’s Deposit Insurance Fund Reserve Ratio reaches 2.0 percent.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strive to strengthen our system of internal controls to improve the oversight of operational risk.</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hold interests in several unconsolidated variable interest entities (“VIEs”). These unconsolidated VIEs are primarily low-income housing partnerships and solar energy tax credit partnership investments.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 See discussion of our accounting policy related to VIEs in Note 1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pool Federal Housing Administration (“FHA”) insured and U.S. Department of Veterans Affairs (“VA”) guaranteed residential mortgage loans for sale to Ginnie Mae. We also sell residential mortgage loans in the secondary market to Fannie Mae. The agreements under which we sell residential mortgage loans to Ginnie Mae or Fannie Mae and the insurance or guaranty agreements with the FHA and VA contain provisions that include various representations and warranties regarding the origination and characteristics of the residential mortgage loans. Although these loans are primarily sold on a non-recourse basis, we may be obligated to repurchase residential mortgage loans or reimburse the respective investor if it is found that required documents were not delivered or were defective.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service substantially all of the loans we sell to investors in the secondary market. Each agreement under which we act as servicer generally specifies a standard of responsibility for our actions and provides protection against expenses and liabilities incurred by us when acting in compliance with the respective servicing agreements. However, if we commit a material breach of obligations as servicer, we may be subject to various penalties which may include the repurchase of an affected loan or a reimbursement to the respective investor.</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discussion of our risks related to representation and warranty provisions as well as our risks related to residential mortgage loan servicing activities in Note 20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Contractual Obligations </w:t>
            </w:r>
            <w:r>
              <w:rPr>
                <w:rFonts w:ascii="Arial" w:cs="Arial" w:eastAsia="Arial" w:hAnsi="Arial"/>
                <w:sz w:val="21"/>
                <w:szCs w:val="21"/>
                <w:b w:val="1"/>
                <w:bCs w:val="1"/>
                <w:color w:val="auto"/>
                <w:vertAlign w:val="superscript"/>
              </w:rPr>
              <w:t>1</w:t>
            </w:r>
          </w:p>
        </w:tc>
        <w:tc>
          <w:tcPr>
            <w:tcW w:w="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Table 22</w:t>
            </w:r>
          </w:p>
        </w:tc>
      </w:tr>
      <w:tr>
        <w:trPr>
          <w:trHeight w:val="209"/>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Less Than One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Year</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1-3 Years</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4-5 Years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After 5 Years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Deposits with No Stated Maturity</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13,281,720</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13,281,720</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Time Deposits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1,441,580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235,422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60,916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7,604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1,745,522</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4,296</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275,000</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225,000</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504,296</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50,000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75,000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Banker’s Acceptances Outstanding</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825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23,930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28,055</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Non-Cancelable Operating Leases</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12,455</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22,291</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19,898</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104,877</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159,521</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14,279</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22,647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4,658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4,162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45,746</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Affordable Housing Commitments</w:t>
            </w:r>
          </w:p>
        </w:tc>
        <w:tc>
          <w:tcPr>
            <w:tcW w:w="7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5,506</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8,411</w:t>
            </w:r>
          </w:p>
        </w:tc>
        <w:tc>
          <w:tcPr>
            <w:tcW w:w="4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163</w:t>
            </w:r>
          </w:p>
        </w:tc>
        <w:tc>
          <w:tcPr>
            <w:tcW w:w="30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1,118</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15,198</w:t>
            </w:r>
          </w:p>
        </w:tc>
      </w:tr>
      <w:tr>
        <w:trPr>
          <w:trHeight w:val="3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Pension and Postretirement Benefit Contributions </w:t>
            </w:r>
            <w:r>
              <w:rPr>
                <w:rFonts w:ascii="Arial" w:cs="Arial" w:eastAsia="Arial" w:hAnsi="Arial"/>
                <w:sz w:val="21"/>
                <w:szCs w:val="21"/>
                <w:color w:val="auto"/>
                <w:vertAlign w:val="superscript"/>
              </w:rPr>
              <w:t>2</w:t>
            </w:r>
          </w:p>
        </w:tc>
        <w:tc>
          <w:tcPr>
            <w:tcW w:w="7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2,821</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3,103</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9,264</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16,519</w:t>
            </w:r>
          </w:p>
        </w:tc>
      </w:tr>
      <w:tr>
        <w:trPr>
          <w:trHeight w:val="231"/>
        </w:trPr>
        <w:tc>
          <w:tcPr>
            <w:tcW w:w="3980" w:type="dxa"/>
            <w:vAlign w:val="bottom"/>
          </w:tcPr>
          <w:p>
            <w:pPr>
              <w:ind w:left="40"/>
              <w:spacing w:after="0"/>
              <w:rPr>
                <w:sz w:val="20"/>
                <w:szCs w:val="20"/>
                <w:color w:val="auto"/>
              </w:rPr>
            </w:pPr>
            <w:r>
              <w:rPr>
                <w:rFonts w:ascii="Arial" w:cs="Arial" w:eastAsia="Arial" w:hAnsi="Arial"/>
                <w:sz w:val="16"/>
                <w:szCs w:val="16"/>
                <w:b w:val="1"/>
                <w:bCs w:val="1"/>
                <w:color w:val="auto"/>
              </w:rPr>
              <w:t>Total Contractual Obligations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14,812,043</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643,242</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315,388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150,955</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15,921,628</w:t>
            </w:r>
          </w:p>
        </w:tc>
      </w:tr>
      <w:tr>
        <w:trPr>
          <w:trHeight w:val="33"/>
        </w:trPr>
        <w:tc>
          <w:tcPr>
            <w:tcW w:w="3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80" w:right="460" w:hanging="172"/>
        <w:spacing w:after="0" w:line="250" w:lineRule="auto"/>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Our liability for UTBs as of December 31, 2018 was $5.5 million. We were unable to reasonably estimate the period of cash settlement with the respective taxing authority. As a result, our liability for UTBs is not included in this disclosure.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 Amounts only include obligations related to the unfunded non-qualified pension plan and postretirement benefit plan.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Commitments to extend credit, standby letters of credit, and commercial letters of credit do not necessarily represent future cash requirements in that these commitments often expire without being drawn upon; therefore, these items are not included in the above table (see Note 20 to the Consolidated Financial Statements for more information). Our non-cancelable operating leases and capital lease obligations are primarily related to branch premises, equipment, and a portion of the Company’s headquarters’ building with lease terms extending through 2052. Purchase obligations arise from agreements to purchase goods or services that are enforceable and legally binding. Other contracts included in purchase obligations primarily consist of service agreements for various systems and applications supporting bank operations. Pension and postretirement benefit contributions represent the minimum expected contribution to the unfunded non-qualified pension plan and postretirement benefit plan. Actual contributions may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of credit, lease, and other contractual commitments in Note 20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Application of Accounting Pronouncements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discussion of the expected impact of accounting pronouncements recently issued but that we have not adopted as of December 31, 2018 in Note 1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Consolidated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Table 23 presents our selected quarterly financial data for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Condensed Statements of Income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Table 23</w:t>
            </w:r>
          </w:p>
        </w:tc>
      </w:tr>
      <w:tr>
        <w:trPr>
          <w:trHeight w:val="33"/>
        </w:trPr>
        <w:tc>
          <w:tcPr>
            <w:tcW w:w="3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3"/>
          </w:tcPr>
          <w:p>
            <w:pPr>
              <w:jc w:val="right"/>
              <w:ind w:right="208"/>
              <w:spacing w:after="0"/>
              <w:rPr>
                <w:sz w:val="20"/>
                <w:szCs w:val="20"/>
                <w:color w:val="auto"/>
              </w:rPr>
            </w:pPr>
            <w:r>
              <w:rPr>
                <w:rFonts w:ascii="Arial" w:cs="Arial" w:eastAsia="Arial" w:hAnsi="Arial"/>
                <w:sz w:val="16"/>
                <w:szCs w:val="16"/>
                <w:b w:val="1"/>
                <w:bCs w:val="1"/>
                <w:color w:val="auto"/>
                <w:w w:val="96"/>
              </w:rPr>
              <w:t>Three Months Ended</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168"/>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3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jc w:val="right"/>
              <w:ind w:right="27"/>
              <w:spacing w:after="0"/>
              <w:rPr>
                <w:sz w:val="20"/>
                <w:szCs w:val="20"/>
                <w:color w:val="auto"/>
              </w:rPr>
            </w:pPr>
            <w:r>
              <w:rPr>
                <w:rFonts w:ascii="Arial" w:cs="Arial" w:eastAsia="Arial" w:hAnsi="Arial"/>
                <w:sz w:val="16"/>
                <w:szCs w:val="16"/>
                <w:b w:val="1"/>
                <w:bCs w:val="1"/>
                <w:color w:val="auto"/>
                <w:w w:val="89"/>
              </w:rPr>
              <w:t>2018</w:t>
            </w: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jc w:val="right"/>
              <w:ind w:right="27"/>
              <w:spacing w:after="0"/>
              <w:rPr>
                <w:sz w:val="20"/>
                <w:szCs w:val="20"/>
                <w:color w:val="auto"/>
              </w:rPr>
            </w:pPr>
            <w:r>
              <w:rPr>
                <w:rFonts w:ascii="Arial" w:cs="Arial" w:eastAsia="Arial" w:hAnsi="Arial"/>
                <w:sz w:val="16"/>
                <w:szCs w:val="16"/>
                <w:b w:val="1"/>
                <w:bCs w:val="1"/>
                <w:color w:val="auto"/>
                <w:w w:val="84"/>
              </w:rPr>
              <w:t>2017</w:t>
            </w: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 except per share amounts)</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 31</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Sep 30</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 30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 31</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 31</w:t>
            </w: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 30</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Jun 30</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Mar 31</w:t>
            </w: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143,018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139,424</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135,585</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132,146</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8"/>
              </w:rPr>
              <w:t>131,613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128,761</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8"/>
              </w:rPr>
              <w:t>123,568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7"/>
              <w:spacing w:after="0"/>
              <w:rPr>
                <w:sz w:val="20"/>
                <w:szCs w:val="20"/>
                <w:color w:val="auto"/>
              </w:rPr>
            </w:pPr>
            <w:r>
              <w:rPr>
                <w:rFonts w:ascii="Arial" w:cs="Arial" w:eastAsia="Arial" w:hAnsi="Arial"/>
                <w:sz w:val="14"/>
                <w:szCs w:val="14"/>
                <w:color w:val="auto"/>
                <w:w w:val="98"/>
              </w:rPr>
              <w:t>119,852</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19,045</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16,497</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15,089</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13,190</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12,843</w:t>
            </w: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12,444</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11,289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rPr>
              <w:t>9,980</w:t>
            </w:r>
          </w:p>
        </w:tc>
      </w:tr>
      <w:tr>
        <w:trPr>
          <w:trHeight w:val="264"/>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123,973</w:t>
            </w:r>
          </w:p>
        </w:tc>
        <w:tc>
          <w:tcPr>
            <w:tcW w:w="3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122,927</w:t>
            </w:r>
          </w:p>
        </w:tc>
        <w:tc>
          <w:tcPr>
            <w:tcW w:w="4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120,496</w:t>
            </w:r>
          </w:p>
        </w:tc>
        <w:tc>
          <w:tcPr>
            <w:tcW w:w="3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118,956</w:t>
            </w: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8"/>
              </w:rPr>
              <w:t>118,770</w:t>
            </w:r>
          </w:p>
        </w:tc>
        <w:tc>
          <w:tcPr>
            <w:tcW w:w="2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116,317</w:t>
            </w: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8"/>
              </w:rPr>
              <w:t>112,279</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w w:val="98"/>
              </w:rPr>
              <w:t>109,872</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Provision for Credit Losses</w:t>
            </w:r>
          </w:p>
        </w:tc>
        <w:tc>
          <w:tcPr>
            <w:tcW w:w="18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2,000</w:t>
            </w:r>
          </w:p>
        </w:tc>
        <w:tc>
          <w:tcPr>
            <w:tcW w:w="300" w:type="dxa"/>
            <w:vAlign w:val="bottom"/>
          </w:tcPr>
          <w:p>
            <w:pPr>
              <w:spacing w:after="0"/>
              <w:rPr>
                <w:sz w:val="22"/>
                <w:szCs w:val="22"/>
                <w:color w:val="auto"/>
              </w:rPr>
            </w:pPr>
          </w:p>
        </w:tc>
        <w:tc>
          <w:tcPr>
            <w:tcW w:w="620" w:type="dxa"/>
            <w:vAlign w:val="bottom"/>
          </w:tcPr>
          <w:p>
            <w:pPr>
              <w:jc w:val="right"/>
              <w:ind w:right="7"/>
              <w:spacing w:after="0"/>
              <w:rPr>
                <w:sz w:val="20"/>
                <w:szCs w:val="20"/>
                <w:color w:val="auto"/>
              </w:rPr>
            </w:pPr>
            <w:r>
              <w:rPr>
                <w:rFonts w:ascii="Arial" w:cs="Arial" w:eastAsia="Arial" w:hAnsi="Arial"/>
                <w:sz w:val="14"/>
                <w:szCs w:val="14"/>
                <w:color w:val="auto"/>
              </w:rPr>
              <w:t>3,800</w:t>
            </w:r>
          </w:p>
        </w:tc>
        <w:tc>
          <w:tcPr>
            <w:tcW w:w="440" w:type="dxa"/>
            <w:vAlign w:val="bottom"/>
          </w:tcPr>
          <w:p>
            <w:pPr>
              <w:spacing w:after="0"/>
              <w:rPr>
                <w:sz w:val="22"/>
                <w:szCs w:val="22"/>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3,500</w:t>
            </w:r>
          </w:p>
        </w:tc>
        <w:tc>
          <w:tcPr>
            <w:tcW w:w="3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4,125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4,250</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4,000</w:t>
            </w:r>
          </w:p>
        </w:tc>
        <w:tc>
          <w:tcPr>
            <w:tcW w:w="420" w:type="dxa"/>
            <w:vAlign w:val="bottom"/>
          </w:tcPr>
          <w:p>
            <w:pPr>
              <w:spacing w:after="0"/>
              <w:rPr>
                <w:sz w:val="22"/>
                <w:szCs w:val="22"/>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4,250</w:t>
            </w:r>
          </w:p>
        </w:tc>
        <w:tc>
          <w:tcPr>
            <w:tcW w:w="280" w:type="dxa"/>
            <w:vAlign w:val="bottom"/>
          </w:tcPr>
          <w:p>
            <w:pPr>
              <w:spacing w:after="0"/>
              <w:rPr>
                <w:sz w:val="22"/>
                <w:szCs w:val="22"/>
                <w:color w:val="auto"/>
              </w:rPr>
            </w:pPr>
          </w:p>
        </w:tc>
        <w:tc>
          <w:tcPr>
            <w:tcW w:w="840" w:type="dxa"/>
            <w:vAlign w:val="bottom"/>
          </w:tcPr>
          <w:p>
            <w:pPr>
              <w:jc w:val="right"/>
              <w:ind w:right="247"/>
              <w:spacing w:after="0"/>
              <w:rPr>
                <w:sz w:val="20"/>
                <w:szCs w:val="20"/>
                <w:color w:val="auto"/>
              </w:rPr>
            </w:pPr>
            <w:r>
              <w:rPr>
                <w:rFonts w:ascii="Arial" w:cs="Arial" w:eastAsia="Arial" w:hAnsi="Arial"/>
                <w:sz w:val="14"/>
                <w:szCs w:val="14"/>
                <w:color w:val="auto"/>
              </w:rPr>
              <w:t>4,400</w:t>
            </w: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Gains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 Net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(841)</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(1,702)</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(617)</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(520)</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47"/>
              <w:spacing w:after="0"/>
              <w:rPr>
                <w:sz w:val="20"/>
                <w:szCs w:val="20"/>
                <w:color w:val="auto"/>
              </w:rPr>
            </w:pPr>
            <w:r>
              <w:rPr>
                <w:rFonts w:ascii="Arial" w:cs="Arial" w:eastAsia="Arial" w:hAnsi="Arial"/>
                <w:sz w:val="14"/>
                <w:szCs w:val="14"/>
                <w:color w:val="auto"/>
              </w:rPr>
              <w:t>12,133</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Noninterest Income</w:t>
            </w:r>
          </w:p>
        </w:tc>
        <w:tc>
          <w:tcPr>
            <w:tcW w:w="18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42,949</w:t>
            </w:r>
          </w:p>
        </w:tc>
        <w:tc>
          <w:tcPr>
            <w:tcW w:w="300" w:type="dxa"/>
            <w:vAlign w:val="bottom"/>
          </w:tcPr>
          <w:p>
            <w:pPr>
              <w:spacing w:after="0"/>
              <w:rPr>
                <w:sz w:val="22"/>
                <w:szCs w:val="22"/>
                <w:color w:val="auto"/>
              </w:rPr>
            </w:pPr>
          </w:p>
        </w:tc>
        <w:tc>
          <w:tcPr>
            <w:tcW w:w="620" w:type="dxa"/>
            <w:vAlign w:val="bottom"/>
          </w:tcPr>
          <w:p>
            <w:pPr>
              <w:jc w:val="right"/>
              <w:ind w:right="7"/>
              <w:spacing w:after="0"/>
              <w:rPr>
                <w:sz w:val="20"/>
                <w:szCs w:val="20"/>
                <w:color w:val="auto"/>
              </w:rPr>
            </w:pPr>
            <w:r>
              <w:rPr>
                <w:rFonts w:ascii="Arial" w:cs="Arial" w:eastAsia="Arial" w:hAnsi="Arial"/>
                <w:sz w:val="14"/>
                <w:szCs w:val="14"/>
                <w:color w:val="auto"/>
              </w:rPr>
              <w:t>42,211</w:t>
            </w:r>
          </w:p>
        </w:tc>
        <w:tc>
          <w:tcPr>
            <w:tcW w:w="440" w:type="dxa"/>
            <w:vAlign w:val="bottom"/>
          </w:tcPr>
          <w:p>
            <w:pPr>
              <w:spacing w:after="0"/>
              <w:rPr>
                <w:sz w:val="22"/>
                <w:szCs w:val="22"/>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43,000</w:t>
            </w:r>
          </w:p>
        </w:tc>
        <w:tc>
          <w:tcPr>
            <w:tcW w:w="3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44,701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42,472</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42,976</w:t>
            </w:r>
          </w:p>
        </w:tc>
        <w:tc>
          <w:tcPr>
            <w:tcW w:w="420" w:type="dxa"/>
            <w:vAlign w:val="bottom"/>
          </w:tcPr>
          <w:p>
            <w:pPr>
              <w:spacing w:after="0"/>
              <w:rPr>
                <w:sz w:val="22"/>
                <w:szCs w:val="22"/>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45,756</w:t>
            </w:r>
          </w:p>
        </w:tc>
        <w:tc>
          <w:tcPr>
            <w:tcW w:w="280" w:type="dxa"/>
            <w:vAlign w:val="bottom"/>
          </w:tcPr>
          <w:p>
            <w:pPr>
              <w:spacing w:after="0"/>
              <w:rPr>
                <w:sz w:val="22"/>
                <w:szCs w:val="22"/>
                <w:color w:val="auto"/>
              </w:rPr>
            </w:pPr>
          </w:p>
        </w:tc>
        <w:tc>
          <w:tcPr>
            <w:tcW w:w="840" w:type="dxa"/>
            <w:vAlign w:val="bottom"/>
          </w:tcPr>
          <w:p>
            <w:pPr>
              <w:jc w:val="right"/>
              <w:ind w:right="247"/>
              <w:spacing w:after="0"/>
              <w:rPr>
                <w:sz w:val="20"/>
                <w:szCs w:val="20"/>
                <w:color w:val="auto"/>
              </w:rPr>
            </w:pPr>
            <w:r>
              <w:rPr>
                <w:rFonts w:ascii="Arial" w:cs="Arial" w:eastAsia="Arial" w:hAnsi="Arial"/>
                <w:sz w:val="14"/>
                <w:szCs w:val="14"/>
                <w:color w:val="auto"/>
              </w:rPr>
              <w:t>43,783</w:t>
            </w:r>
          </w:p>
        </w:tc>
      </w:tr>
      <w:tr>
        <w:trPr>
          <w:trHeight w:val="270"/>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Noninterest Expense</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95,911</w:t>
            </w: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90,538</w:t>
            </w:r>
          </w:p>
        </w:tc>
        <w:tc>
          <w:tcPr>
            <w:tcW w:w="4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90,791</w:t>
            </w:r>
          </w:p>
        </w:tc>
        <w:tc>
          <w:tcPr>
            <w:tcW w:w="3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94,384</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92,336</w:t>
            </w:r>
          </w:p>
        </w:tc>
        <w:tc>
          <w:tcPr>
            <w:tcW w:w="2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88,598</w:t>
            </w: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88,189</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88,568</w:t>
            </w:r>
          </w:p>
        </w:tc>
      </w:tr>
      <w:tr>
        <w:trPr>
          <w:trHeight w:val="156"/>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Income Before Provision for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8"/>
        </w:trPr>
        <w:tc>
          <w:tcPr>
            <w:tcW w:w="320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68,170</w:t>
            </w:r>
          </w:p>
        </w:tc>
        <w:tc>
          <w:tcPr>
            <w:tcW w:w="300" w:type="dxa"/>
            <w:vAlign w:val="bottom"/>
          </w:tcPr>
          <w:p>
            <w:pPr>
              <w:spacing w:after="0"/>
              <w:rPr>
                <w:sz w:val="16"/>
                <w:szCs w:val="16"/>
                <w:color w:val="auto"/>
              </w:rPr>
            </w:pPr>
          </w:p>
        </w:tc>
        <w:tc>
          <w:tcPr>
            <w:tcW w:w="620" w:type="dxa"/>
            <w:vAlign w:val="bottom"/>
          </w:tcPr>
          <w:p>
            <w:pPr>
              <w:jc w:val="right"/>
              <w:ind w:right="7"/>
              <w:spacing w:after="0"/>
              <w:rPr>
                <w:sz w:val="20"/>
                <w:szCs w:val="20"/>
                <w:color w:val="auto"/>
              </w:rPr>
            </w:pPr>
            <w:r>
              <w:rPr>
                <w:rFonts w:ascii="Arial" w:cs="Arial" w:eastAsia="Arial" w:hAnsi="Arial"/>
                <w:sz w:val="14"/>
                <w:szCs w:val="14"/>
                <w:color w:val="auto"/>
              </w:rPr>
              <w:t>70,071</w:t>
            </w:r>
          </w:p>
        </w:tc>
        <w:tc>
          <w:tcPr>
            <w:tcW w:w="440" w:type="dxa"/>
            <w:vAlign w:val="bottom"/>
          </w:tcPr>
          <w:p>
            <w:pPr>
              <w:spacing w:after="0"/>
              <w:rPr>
                <w:sz w:val="16"/>
                <w:szCs w:val="16"/>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67,503</w:t>
            </w:r>
          </w:p>
        </w:tc>
        <w:tc>
          <w:tcPr>
            <w:tcW w:w="3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64,482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64,039</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66,129</w:t>
            </w:r>
          </w:p>
        </w:tc>
        <w:tc>
          <w:tcPr>
            <w:tcW w:w="42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65,076</w:t>
            </w:r>
          </w:p>
        </w:tc>
        <w:tc>
          <w:tcPr>
            <w:tcW w:w="280" w:type="dxa"/>
            <w:vAlign w:val="bottom"/>
          </w:tcPr>
          <w:p>
            <w:pPr>
              <w:spacing w:after="0"/>
              <w:rPr>
                <w:sz w:val="16"/>
                <w:szCs w:val="16"/>
                <w:color w:val="auto"/>
              </w:rPr>
            </w:pPr>
          </w:p>
        </w:tc>
        <w:tc>
          <w:tcPr>
            <w:tcW w:w="840" w:type="dxa"/>
            <w:vAlign w:val="bottom"/>
          </w:tcPr>
          <w:p>
            <w:pPr>
              <w:jc w:val="right"/>
              <w:ind w:right="247"/>
              <w:spacing w:after="0"/>
              <w:rPr>
                <w:sz w:val="20"/>
                <w:szCs w:val="20"/>
                <w:color w:val="auto"/>
              </w:rPr>
            </w:pPr>
            <w:r>
              <w:rPr>
                <w:rFonts w:ascii="Arial" w:cs="Arial" w:eastAsia="Arial" w:hAnsi="Arial"/>
                <w:sz w:val="14"/>
                <w:szCs w:val="14"/>
                <w:color w:val="auto"/>
              </w:rPr>
              <w:t>72,820</w:t>
            </w:r>
          </w:p>
        </w:tc>
      </w:tr>
      <w:tr>
        <w:trPr>
          <w:trHeight w:val="270"/>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14,259</w:t>
            </w: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13,138</w:t>
            </w:r>
          </w:p>
        </w:tc>
        <w:tc>
          <w:tcPr>
            <w:tcW w:w="4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12,785</w:t>
            </w:r>
          </w:p>
        </w:tc>
        <w:tc>
          <w:tcPr>
            <w:tcW w:w="3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10,442</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21,086</w:t>
            </w:r>
          </w:p>
        </w:tc>
        <w:tc>
          <w:tcPr>
            <w:tcW w:w="2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20,248</w:t>
            </w: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20,414</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21,644</w:t>
            </w:r>
          </w:p>
        </w:tc>
      </w:tr>
      <w:tr>
        <w:trPr>
          <w:trHeight w:val="30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53,911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56,933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54,718</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54,040</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42,953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45,881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44,662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rPr>
              <w:t>51,176</w:t>
            </w:r>
          </w:p>
        </w:tc>
      </w:tr>
      <w:tr>
        <w:trPr>
          <w:trHeight w:val="176"/>
        </w:trPr>
        <w:tc>
          <w:tcPr>
            <w:tcW w:w="3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1.37</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1.31</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7"/>
              <w:spacing w:after="0"/>
              <w:rPr>
                <w:sz w:val="20"/>
                <w:szCs w:val="20"/>
                <w:color w:val="auto"/>
              </w:rPr>
            </w:pPr>
            <w:r>
              <w:rPr>
                <w:rFonts w:ascii="Arial" w:cs="Arial" w:eastAsia="Arial" w:hAnsi="Arial"/>
                <w:sz w:val="14"/>
                <w:szCs w:val="14"/>
                <w:color w:val="auto"/>
              </w:rPr>
              <w:t>1.21</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1.30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
              <w:spacing w:after="0"/>
              <w:rPr>
                <w:sz w:val="20"/>
                <w:szCs w:val="20"/>
                <w:color w:val="auto"/>
              </w:rPr>
            </w:pPr>
            <w:r>
              <w:rPr>
                <w:rFonts w:ascii="Arial" w:cs="Arial" w:eastAsia="Arial" w:hAnsi="Arial"/>
                <w:sz w:val="14"/>
                <w:szCs w:val="14"/>
                <w:color w:val="auto"/>
              </w:rPr>
              <w:t>1.36</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1.30</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1.05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7"/>
              <w:spacing w:after="0"/>
              <w:rPr>
                <w:sz w:val="20"/>
                <w:szCs w:val="20"/>
                <w:color w:val="auto"/>
              </w:rPr>
            </w:pPr>
            <w:r>
              <w:rPr>
                <w:rFonts w:ascii="Arial" w:cs="Arial" w:eastAsia="Arial" w:hAnsi="Arial"/>
                <w:sz w:val="14"/>
                <w:szCs w:val="14"/>
                <w:color w:val="auto"/>
              </w:rPr>
              <w:t>1.20</w:t>
            </w: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0.62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0.60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0.60</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0.52</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47"/>
              <w:spacing w:after="0"/>
              <w:rPr>
                <w:sz w:val="20"/>
                <w:szCs w:val="20"/>
                <w:color w:val="auto"/>
              </w:rPr>
            </w:pPr>
            <w:r>
              <w:rPr>
                <w:rFonts w:ascii="Arial" w:cs="Arial" w:eastAsia="Arial" w:hAnsi="Arial"/>
                <w:sz w:val="14"/>
                <w:szCs w:val="14"/>
                <w:color w:val="auto"/>
              </w:rPr>
              <w:t>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Performance Ratios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to Average</w:t>
      </w:r>
    </w:p>
    <w:p>
      <w:pPr>
        <w:ind w:left="140"/>
        <w:spacing w:after="0"/>
        <w:rPr>
          <w:sz w:val="20"/>
          <w:szCs w:val="20"/>
          <w:color w:val="auto"/>
        </w:rPr>
      </w:pPr>
      <w:r>
        <w:rPr>
          <w:rFonts w:ascii="Arial" w:cs="Arial" w:eastAsia="Arial" w:hAnsi="Arial"/>
          <w:sz w:val="14"/>
          <w:szCs w:val="14"/>
          <w:color w:val="auto"/>
        </w:rPr>
        <w:t>Total Assets (ROA)</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to Average</w:t>
      </w:r>
    </w:p>
    <w:p>
      <w:pPr>
        <w:ind w:left="40"/>
        <w:spacing w:after="0"/>
        <w:rPr>
          <w:sz w:val="20"/>
          <w:szCs w:val="20"/>
          <w:color w:val="auto"/>
        </w:rPr>
      </w:pPr>
      <w:r>
        <w:rPr>
          <w:rFonts w:ascii="Arial" w:cs="Arial" w:eastAsia="Arial" w:hAnsi="Arial"/>
          <w:sz w:val="13"/>
          <w:szCs w:val="13"/>
          <w:color w:val="auto"/>
        </w:rPr>
        <w:t>Shareholders’ Equity (ROE)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420" w:type="dxa"/>
            <w:vAlign w:val="bottom"/>
          </w:tcPr>
          <w:p>
            <w:pPr>
              <w:jc w:val="right"/>
              <w:ind w:right="8"/>
              <w:spacing w:after="0"/>
              <w:rPr>
                <w:sz w:val="20"/>
                <w:szCs w:val="20"/>
                <w:color w:val="auto"/>
              </w:rPr>
            </w:pPr>
            <w:r>
              <w:rPr>
                <w:rFonts w:ascii="Arial" w:cs="Arial" w:eastAsia="Arial" w:hAnsi="Arial"/>
                <w:sz w:val="14"/>
                <w:szCs w:val="14"/>
                <w:color w:val="auto"/>
                <w:w w:val="91"/>
              </w:rPr>
              <w:t>17.05</w:t>
            </w:r>
          </w:p>
        </w:tc>
        <w:tc>
          <w:tcPr>
            <w:tcW w:w="42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18.06</w:t>
            </w:r>
          </w:p>
        </w:tc>
        <w:tc>
          <w:tcPr>
            <w:tcW w:w="4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17.68</w:t>
            </w:r>
          </w:p>
        </w:tc>
        <w:tc>
          <w:tcPr>
            <w:tcW w:w="44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17.74</w:t>
            </w:r>
          </w:p>
        </w:tc>
        <w:tc>
          <w:tcPr>
            <w:tcW w:w="4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13.85</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14.89</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14.87</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17.63</w:t>
            </w:r>
          </w:p>
        </w:tc>
        <w:tc>
          <w:tcPr>
            <w:tcW w:w="200" w:type="dxa"/>
            <w:vAlign w:val="bottom"/>
          </w:tcPr>
          <w:p>
            <w:pPr>
              <w:spacing w:after="0"/>
              <w:rPr>
                <w:sz w:val="24"/>
                <w:szCs w:val="24"/>
                <w:color w:val="auto"/>
              </w:rPr>
            </w:pPr>
          </w:p>
        </w:tc>
      </w:tr>
      <w:tr>
        <w:trPr>
          <w:trHeight w:val="270"/>
        </w:trPr>
        <w:tc>
          <w:tcPr>
            <w:tcW w:w="420" w:type="dxa"/>
            <w:vAlign w:val="bottom"/>
          </w:tcPr>
          <w:p>
            <w:pPr>
              <w:jc w:val="right"/>
              <w:ind w:right="8"/>
              <w:spacing w:after="0"/>
              <w:rPr>
                <w:sz w:val="20"/>
                <w:szCs w:val="20"/>
                <w:color w:val="auto"/>
              </w:rPr>
            </w:pPr>
            <w:r>
              <w:rPr>
                <w:rFonts w:ascii="Arial" w:cs="Arial" w:eastAsia="Arial" w:hAnsi="Arial"/>
                <w:sz w:val="14"/>
                <w:szCs w:val="14"/>
                <w:color w:val="auto"/>
                <w:w w:val="91"/>
              </w:rPr>
              <w:t>57.75</w:t>
            </w:r>
          </w:p>
        </w:tc>
        <w:tc>
          <w:tcPr>
            <w:tcW w:w="4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55.07</w:t>
            </w:r>
          </w:p>
        </w:tc>
        <w:tc>
          <w:tcPr>
            <w:tcW w:w="4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56.12</w:t>
            </w:r>
          </w:p>
        </w:tc>
        <w:tc>
          <w:tcPr>
            <w:tcW w:w="44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57.91</w:t>
            </w:r>
          </w:p>
        </w:tc>
        <w:tc>
          <w:tcPr>
            <w:tcW w:w="4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57.49</w:t>
            </w:r>
          </w:p>
        </w:tc>
        <w:tc>
          <w:tcPr>
            <w:tcW w:w="4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55.82</w:t>
            </w:r>
          </w:p>
        </w:tc>
        <w:tc>
          <w:tcPr>
            <w:tcW w:w="4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55.99</w:t>
            </w:r>
          </w:p>
        </w:tc>
        <w:tc>
          <w:tcPr>
            <w:tcW w:w="4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53.42</w:t>
            </w:r>
          </w:p>
        </w:tc>
        <w:tc>
          <w:tcPr>
            <w:tcW w:w="200" w:type="dxa"/>
            <w:vAlign w:val="bottom"/>
          </w:tcPr>
          <w:p>
            <w:pPr>
              <w:spacing w:after="0"/>
              <w:rPr>
                <w:sz w:val="23"/>
                <w:szCs w:val="23"/>
                <w:color w:val="auto"/>
              </w:rPr>
            </w:pPr>
          </w:p>
        </w:tc>
      </w:tr>
      <w:tr>
        <w:trPr>
          <w:trHeight w:val="365"/>
        </w:trPr>
        <w:tc>
          <w:tcPr>
            <w:tcW w:w="42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42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4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44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4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2.98</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-617855</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-223520</wp:posOffset>
            </wp:positionV>
            <wp:extent cx="7246620"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60" w:space="720"/>
            <w:col w:w="7840"/>
          </w:cols>
          <w:pgMar w:left="240" w:top="125" w:right="239" w:bottom="1440" w:gutter="0" w:footer="0" w:header="0"/>
          <w:type w:val="continuous"/>
        </w:sectPr>
      </w:pPr>
    </w:p>
    <w:p>
      <w:pPr>
        <w:ind w:left="180" w:hanging="172"/>
        <w:spacing w:after="0" w:line="226" w:lineRule="auto"/>
        <w:tabs>
          <w:tab w:leader="none" w:pos="18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The efficiency ratio is defined as noninterest expense divided by total revenue (net interest income and noninterest income).</w:t>
      </w:r>
    </w:p>
    <w:p>
      <w:pPr>
        <w:ind w:left="180" w:hanging="172"/>
        <w:spacing w:after="0" w:line="225" w:lineRule="auto"/>
        <w:tabs>
          <w:tab w:leader="none" w:pos="180" w:val="left"/>
        </w:tabs>
        <w:numPr>
          <w:ilvl w:val="0"/>
          <w:numId w:val="41"/>
        </w:numPr>
        <w:rPr>
          <w:rFonts w:ascii="Arial" w:cs="Arial" w:eastAsia="Arial" w:hAnsi="Arial"/>
          <w:sz w:val="15"/>
          <w:szCs w:val="15"/>
          <w:color w:val="auto"/>
          <w:vertAlign w:val="superscript"/>
        </w:rPr>
      </w:pPr>
      <w:r>
        <w:rPr>
          <w:rFonts w:ascii="Arial" w:cs="Arial" w:eastAsia="Arial" w:hAnsi="Arial"/>
          <w:sz w:val="11"/>
          <w:szCs w:val="11"/>
          <w:color w:val="auto"/>
        </w:rPr>
        <w:t>The net interest margin is defined as net interest income, on a taxable-equivalent basis, as a percentage of average earning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 and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for the fourth quarter of 2018 was $53.9 million, an increase of $11.0 million or 26% compared to the fourth quarter of 2017. Diluted earnings per share were $1.30 for the fourth quarter of 2018, an increase of $0.29 or 29% compared to the fourth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interest income, on a taxable-equivalent basis, for the fourth quarter of 2018 was $125.2 million, an increase of $3.7 million or 3% compared to the fourth quarter of 2017. The increase was primarily due to the shift in the mix of our earning assets to loans, which generally have higher yields. Net interest margin was 3.10% for the fourth quarter of 2018, an increase of 12 basis point compared to the fourth quarter of 2017, primarily due to our loans, which generally have higher yields than our investment securities, comprising a larger percentage of our earning assets compared to 2017. In addition, yields increased for our commercial loans and investment portfolio. Yields on our loan portfolios increased primarily due to higher yields on floating rate loans.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recorded a Provision of $2.0 million in the fourth quarter of 2018 compared to a Provision of $4.3 million recorded in the fourth quarter of 2017, while recording net charge-offs of loans and leases of $4.0 million and $3.8 million in the fourth quarters of 2018 and 2017, respectively. The Provision recorded was based on our determination that the allowance for loan and lease losses should be $106.7 million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Noninterest income, other than net gains on sales of investment securities, was $42.9 million in the fourth quarter of 2018, an increase of $0.5 million or 1% compared to the fourth quarter of 2017. This increase was primarily due to fees, exchange, and other service charges of $0.6 million in merchant income, which was recorded as a reduction of other noninterest expense in 2017. This accounting change was related to the 2018 adoption of the new revenue recognition accounting guidance. This increase was partially offset by a $0.4 decrease in mortgage banking income. This decrease was primarily due to reduced sales and margins on sales of conforming saleable loans from current production and from our mortgage loan portfolio.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Noninterest expense was $95.9 million in the fourth quarter of 2018, an increase of $3.6 million or 4% compared to the fourth quarter of 2017. Salaries and benefit expense increased by $3.2 million primarily due to a $2.7 million increase in expenses related to our self-insured medical plans, a $2.5 million increase in merit and minimum wage increases, and a $1.0 million increase in separation expense. These increases were partially offset by a $0.9 million decrease in FDIC fees. In addition, during fourth quarter 2017 a one-time $2.2 million holiday bonus, inclusive of payroll taxes was paid.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provision for income taxes was $14.3 million in the fourth quarter of 2018, a decrease of $6.8 million or 32% compared to the fourth quarter of 2017. The effective tax rate for the fourth quarter of 2018 was 20.92% compared with an effective tax rate of 32.93% for the fourth quarter of 2017. The lower effective rate in the fourth quarter of 2018 compared to the same period of 2017 was primarily due to the federal corporate tax rate changing from 35% to 21% as a result of the passage of the Tax Act, which was signed into law on December 22,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fourth quarter of 2018, we repurchased 325,377 shares of our common stock under our share repurchase program at an average cost per share of $76.63 and a total cost of $24.9 million. See Note 11 to the Consolidated Financial Statements for more information related to our common stock repurchase program.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Market Risk section in Management’s Discussion and Analysis of Financial Condition and Results of Operation included in Item 7 of this report.</w:t>
      </w: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240" w:top="125" w:right="6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Bank of Hawaii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statements of condition of Bank of Hawaii Corporation and subsidiaries (the “Company”) as of December 31, 2018 and 2017, the related consolidated statements of income, comprehensive income,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37465</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2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410,597</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370,441</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333,239</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Available-for-Sale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50,152</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46,772</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41,892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Held-to-Maturity</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84,310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81,740</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79,087</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Deposits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3,723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3,882</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1,357</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944</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812</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2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550,173</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503,794</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457,900</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41,143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22,332</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12,647</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18,519</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19,592</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23,406</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2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3,405</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4,445</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4,256</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63,821</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46,556</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40,321</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486,352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457,238</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417,579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13,425</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16,900</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4,750</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2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472,927</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440,338</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412,829</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43,877</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45,430</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46,203</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8,437</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12,949</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19,895</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28,811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32,575</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33,654</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57,482</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54,845</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55,176</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10,430</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10,203</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5,822</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6,858</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7,017</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7,199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6,517</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6,561</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21,233</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15,813</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18,634</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2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168,923</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185,417</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197,343</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213,208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203,729</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199,353</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34,742</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32,536</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30,252</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23,852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22,078</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20,578</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17,846</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15,483</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15,208</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9,992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11,681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10,072</w:t>
            </w: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7,732</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8,666</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8,615</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64,252</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63,518</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66,500</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2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371,624</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357,691</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350,578</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270,226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268,064</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259,594</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50,624</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83,392</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78,133</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219,602</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184,672</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181,461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38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5.26</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4.37</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4.26</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5.23</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4.33</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2.34</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2.04</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33"/>
        </w:trPr>
        <w:tc>
          <w:tcPr>
            <w:tcW w:w="5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41,714,770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42,280,931</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42,644,100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2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41,999,399</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42,607,057</w:t>
            </w:r>
          </w:p>
        </w:tc>
        <w:tc>
          <w:tcPr>
            <w:tcW w:w="4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42,879,783</w:t>
            </w:r>
          </w:p>
        </w:tc>
      </w:tr>
      <w:tr>
        <w:trPr>
          <w:trHeight w:val="33"/>
        </w:trPr>
        <w:tc>
          <w:tcPr>
            <w:tcW w:w="5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0"/>
          </w:cols>
          <w:pgMar w:left="240" w:top="125" w:right="239" w:bottom="919"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919"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219,602</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184,672</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181,461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Losses on Investment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(6,525)</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(10,318)</w:t>
            </w: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Defined Benefit Plans</w:t>
            </w:r>
          </w:p>
        </w:tc>
        <w:tc>
          <w:tcPr>
            <w:tcW w:w="2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(2,326)</w:t>
            </w:r>
          </w:p>
        </w:tc>
        <w:tc>
          <w:tcPr>
            <w:tcW w:w="42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1,177</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54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(10,349)</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2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210,751</w:t>
            </w:r>
          </w:p>
        </w:tc>
        <w:tc>
          <w:tcPr>
            <w:tcW w:w="4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183,863</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171,112</w:t>
            </w:r>
          </w:p>
        </w:tc>
      </w:tr>
      <w:tr>
        <w:trPr>
          <w:trHeight w:val="33"/>
        </w:trPr>
        <w:tc>
          <w:tcPr>
            <w:tcW w:w="54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40" w:type="dxa"/>
            <w:vAlign w:val="bottom"/>
          </w:tcPr>
          <w:p>
            <w:pPr>
              <w:jc w:val="right"/>
              <w:ind w:right="150"/>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7"/>
                <w:szCs w:val="17"/>
                <w:color w:val="auto"/>
              </w:rPr>
            </w:pPr>
          </w:p>
        </w:tc>
        <w:tc>
          <w:tcPr>
            <w:tcW w:w="1340" w:type="dxa"/>
            <w:vAlign w:val="bottom"/>
          </w:tcPr>
          <w:p>
            <w:pPr>
              <w:jc w:val="right"/>
              <w:ind w:right="50"/>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b w:val="1"/>
                <w:bCs w:val="1"/>
                <w:color w:val="auto"/>
              </w:rPr>
              <w:t>2017</w:t>
            </w: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Interest-Bearing Deposits in Other Banks</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3,028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3,421</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Sold</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198,860</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181,413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2,007,942</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2,232,979</w:t>
            </w: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rPr>
              <w:t>Held-to-Maturity (Fair Value of $3,413,994 and $3,894,121)</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3,482,092</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3,928,170</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10,987</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19,231</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Loans and Leases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10,448,774</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9,796,947</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Loan and Lease Losses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(106,693)</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(107,346)</w:t>
            </w:r>
          </w:p>
        </w:tc>
      </w:tr>
      <w:tr>
        <w:trPr>
          <w:trHeight w:val="237"/>
        </w:trPr>
        <w:tc>
          <w:tcPr>
            <w:tcW w:w="63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Loans and Leases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10,342,081</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9,689,601</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Earning Assets</w:t>
            </w:r>
          </w:p>
        </w:tc>
        <w:tc>
          <w:tcPr>
            <w:tcW w:w="18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16,044,990</w:t>
            </w: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16,054,815</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Due From Banks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324,081</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263,017</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151,837</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130,926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Accrued Interest Receivable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51,230</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50,485</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Foreclosed Real Estate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24,310</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24,622</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31,517</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31,517</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Bank-Owned Life Insurance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283,771</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280,034</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230,882</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252,596</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17,143,974</w:t>
            </w:r>
          </w:p>
        </w:tc>
        <w:tc>
          <w:tcPr>
            <w:tcW w:w="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17,089,052</w:t>
            </w:r>
          </w:p>
        </w:tc>
      </w:tr>
      <w:tr>
        <w:trPr>
          <w:trHeight w:val="67"/>
        </w:trPr>
        <w:tc>
          <w:tcPr>
            <w:tcW w:w="63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51"/>
        </w:trPr>
        <w:tc>
          <w:tcPr>
            <w:tcW w:w="63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rPr>
              <w:t>Noninterest-Bearing Demand</w:t>
            </w: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4,739,596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4,724,300</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Interest-Bearing Demand</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3,002,925</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3,082,563</w:t>
            </w: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rPr>
              <w:t>Savings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5,539,199</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5,389,013</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Time</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1,745,522</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1,688,092</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Deposits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15,027,242</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14,883,968</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Securities Sold Under Agreements to Repurchase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504,296</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505,293</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135,643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260,716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Retirement Benefits Payable</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40,494</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37,312</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8,253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Taxes Payable and Deferred Taxes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19,736</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24,009</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139,911</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138,940</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15,875,774</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15,857,184</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Contingencies, and Guarantees (Note 20)</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($.01 par value; authorized 500,000,000 shares;</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issued / outstanding: December 31, 2018 - 58,063,689 / 41,499,898</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December 31, 2017 - 57,959,074 / 42,401,443)</w:t>
            </w:r>
          </w:p>
        </w:tc>
        <w:tc>
          <w:tcPr>
            <w:tcW w:w="18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577</w:t>
            </w: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Capital Surplus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571,704</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561,161</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(51,043)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8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1,641,314</w:t>
            </w:r>
          </w:p>
        </w:tc>
        <w:tc>
          <w:tcPr>
            <w:tcW w:w="4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1,512,218</w:t>
            </w:r>
          </w:p>
        </w:tc>
      </w:tr>
      <w:tr>
        <w:trPr>
          <w:trHeight w:val="27"/>
        </w:trPr>
        <w:tc>
          <w:tcPr>
            <w:tcW w:w="6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Treasury Stock, at Cost (Shares: December 31, 2018 - 16,563,791</w:t>
            </w: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2"/>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December 31, 2017 - 15,557,631)</w:t>
            </w:r>
          </w:p>
        </w:tc>
        <w:tc>
          <w:tcPr>
            <w:tcW w:w="18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(894,352)</w:t>
            </w: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(807,372)</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8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1,268,200</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1,231,868</w:t>
            </w:r>
          </w:p>
        </w:tc>
      </w:tr>
      <w:tr>
        <w:trPr>
          <w:trHeight w:val="27"/>
        </w:trPr>
        <w:tc>
          <w:tcPr>
            <w:tcW w:w="6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17,143,974</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17,089,052</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0"/>
          </w:cols>
          <w:pgMar w:left="240" w:top="125" w:right="239" w:bottom="433"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433"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b w:val="1"/>
                <w:bCs w:val="1"/>
                <w:color w:val="auto"/>
              </w:rPr>
              <w:t>Accum.</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Compre-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Common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hensive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w w:val="98"/>
              </w:rPr>
              <w:t>Common</w:t>
            </w:r>
          </w:p>
        </w:tc>
        <w:tc>
          <w:tcPr>
            <w:tcW w:w="260" w:type="dxa"/>
            <w:vAlign w:val="bottom"/>
          </w:tcPr>
          <w:p>
            <w:pPr>
              <w:spacing w:after="0"/>
              <w:rPr>
                <w:sz w:val="14"/>
                <w:szCs w:val="14"/>
                <w:color w:val="auto"/>
              </w:rPr>
            </w:pPr>
          </w:p>
        </w:tc>
        <w:tc>
          <w:tcPr>
            <w:tcW w:w="6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Capital</w:t>
            </w:r>
          </w:p>
        </w:tc>
        <w:tc>
          <w:tcPr>
            <w:tcW w:w="26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Income</w:t>
            </w:r>
          </w:p>
        </w:tc>
        <w:tc>
          <w:tcPr>
            <w:tcW w:w="26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Retained</w:t>
            </w:r>
          </w:p>
        </w:tc>
        <w:tc>
          <w:tcPr>
            <w:tcW w:w="220" w:type="dxa"/>
            <w:vAlign w:val="bottom"/>
          </w:tcPr>
          <w:p>
            <w:pPr>
              <w:spacing w:after="0"/>
              <w:rPr>
                <w:sz w:val="14"/>
                <w:szCs w:val="14"/>
                <w:color w:val="auto"/>
              </w:rPr>
            </w:pPr>
          </w:p>
        </w:tc>
        <w:tc>
          <w:tcPr>
            <w:tcW w:w="7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w w:val="97"/>
              </w:rPr>
              <w:t>Treasury</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share amounts)</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Outstanding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Stock</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3"/>
              </w:rPr>
              <w:t>Surplus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(Loss)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Stock</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Total</w:t>
            </w:r>
          </w:p>
        </w:tc>
      </w:tr>
      <w:tr>
        <w:trPr>
          <w:trHeight w:val="268"/>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2015</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43,282,153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575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542,041</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(23,557)</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1,316,260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(719,059)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1,116,260</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181,461</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181,461</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Loss</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(10,349)</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(10,349)</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6,786</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6,786</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3720" w:type="dxa"/>
            <w:vAlign w:val="bottom"/>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259,985</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2,801</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(1,124)</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8,665</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10,343</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(906,160)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(61,807)</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(61,807)</w:t>
            </w:r>
          </w:p>
        </w:tc>
      </w:tr>
      <w:tr>
        <w:trPr>
          <w:trHeight w:val="26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Cash Dividends Declared ($1.89 per share)</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(81,157)</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(81,157)</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2016</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42,635,978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551,628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(33,906)</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1,415,440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(772,201)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1,161,537</w:t>
            </w:r>
          </w:p>
        </w:tc>
      </w:tr>
      <w:tr>
        <w:trPr>
          <w:trHeight w:val="268"/>
        </w:trPr>
        <w:tc>
          <w:tcPr>
            <w:tcW w:w="37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184,672</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184,672</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Other Comprehensive Loss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(809)</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(809)</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7,369</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7,369</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37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337,091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2,164</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(828)</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11,905</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13,241</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(571,626)</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(47,076)</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(47,076)</w:t>
            </w:r>
          </w:p>
        </w:tc>
      </w:tr>
      <w:tr>
        <w:trPr>
          <w:trHeight w:val="270"/>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Cash Dividends Declared ($2.04 per share)</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(87,066)</w:t>
            </w: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(87,066)</w:t>
            </w:r>
          </w:p>
        </w:tc>
      </w:tr>
      <w:tr>
        <w:trPr>
          <w:trHeight w:val="26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42,401,443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561,161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(34,715)</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1,512,218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(807,372)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1,231,868</w:t>
            </w:r>
          </w:p>
        </w:tc>
      </w:tr>
      <w:tr>
        <w:trPr>
          <w:trHeight w:val="268"/>
        </w:trPr>
        <w:tc>
          <w:tcPr>
            <w:tcW w:w="37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219,602</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219,602</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Loss</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(8,851)</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(8,851)</w:t>
            </w:r>
          </w:p>
        </w:tc>
      </w:tr>
      <w:tr>
        <w:trPr>
          <w:trHeight w:val="212"/>
        </w:trPr>
        <w:tc>
          <w:tcPr>
            <w:tcW w:w="3720" w:type="dxa"/>
            <w:vAlign w:val="bottom"/>
          </w:tcPr>
          <w:p>
            <w:pPr>
              <w:ind w:left="40"/>
              <w:spacing w:after="0"/>
              <w:rPr>
                <w:sz w:val="20"/>
                <w:szCs w:val="20"/>
                <w:color w:val="auto"/>
              </w:rPr>
            </w:pPr>
            <w:r>
              <w:rPr>
                <w:rFonts w:ascii="Arial" w:cs="Arial" w:eastAsia="Arial" w:hAnsi="Arial"/>
                <w:sz w:val="15"/>
                <w:szCs w:val="15"/>
                <w:color w:val="auto"/>
              </w:rPr>
              <w:t>Reclassification of the Income Tax Effects of the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74"/>
        </w:trPr>
        <w:tc>
          <w:tcPr>
            <w:tcW w:w="3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Tax Cuts and Jobs Act from AOCI</w:t>
            </w:r>
          </w:p>
        </w:tc>
        <w:tc>
          <w:tcPr>
            <w:tcW w:w="1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(7,477)</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7,477</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3720" w:type="dxa"/>
            <w:vAlign w:val="bottom"/>
          </w:tcPr>
          <w:p>
            <w:pPr>
              <w:ind w:left="40"/>
              <w:spacing w:after="0"/>
              <w:rPr>
                <w:sz w:val="20"/>
                <w:szCs w:val="20"/>
                <w:color w:val="auto"/>
              </w:rPr>
            </w:pPr>
            <w:r>
              <w:rPr>
                <w:rFonts w:ascii="Arial" w:cs="Arial" w:eastAsia="Arial" w:hAnsi="Arial"/>
                <w:sz w:val="15"/>
                <w:szCs w:val="15"/>
                <w:color w:val="auto"/>
              </w:rPr>
              <w:t>Share-Based Compensation</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8,146</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8,146</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Issued under Purchase and Equity</w:t>
            </w: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3720" w:type="dxa"/>
            <w:vAlign w:val="bottom"/>
          </w:tcPr>
          <w:p>
            <w:pPr>
              <w:ind w:left="260"/>
              <w:spacing w:after="0"/>
              <w:rPr>
                <w:sz w:val="20"/>
                <w:szCs w:val="20"/>
                <w:color w:val="auto"/>
              </w:rPr>
            </w:pPr>
            <w:r>
              <w:rPr>
                <w:rFonts w:ascii="Arial" w:cs="Arial" w:eastAsia="Arial" w:hAnsi="Arial"/>
                <w:sz w:val="15"/>
                <w:szCs w:val="15"/>
                <w:color w:val="auto"/>
              </w:rPr>
              <w:t>Compensation Plans and Related Tax Benefits</w:t>
            </w:r>
          </w:p>
        </w:tc>
        <w:tc>
          <w:tcPr>
            <w:tcW w:w="1600" w:type="dxa"/>
            <w:vAlign w:val="bottom"/>
          </w:tcPr>
          <w:p>
            <w:pPr>
              <w:jc w:val="right"/>
              <w:ind w:right="83"/>
              <w:spacing w:after="0"/>
              <w:rPr>
                <w:sz w:val="20"/>
                <w:szCs w:val="20"/>
                <w:color w:val="auto"/>
              </w:rPr>
            </w:pPr>
            <w:r>
              <w:rPr>
                <w:rFonts w:ascii="Arial" w:cs="Arial" w:eastAsia="Arial" w:hAnsi="Arial"/>
                <w:sz w:val="15"/>
                <w:szCs w:val="15"/>
                <w:color w:val="auto"/>
              </w:rPr>
              <w:t>219,210</w:t>
            </w:r>
          </w:p>
        </w:tc>
        <w:tc>
          <w:tcPr>
            <w:tcW w:w="240" w:type="dxa"/>
            <w:vAlign w:val="bottom"/>
          </w:tcPr>
          <w:p>
            <w:pPr>
              <w:spacing w:after="0"/>
              <w:rPr>
                <w:sz w:val="23"/>
                <w:szCs w:val="23"/>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23"/>
                <w:szCs w:val="23"/>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2,397</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513</w:t>
            </w:r>
          </w:p>
        </w:tc>
        <w:tc>
          <w:tcPr>
            <w:tcW w:w="22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5,008</w:t>
            </w:r>
          </w:p>
        </w:tc>
        <w:tc>
          <w:tcPr>
            <w:tcW w:w="20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7,919</w:t>
            </w:r>
          </w:p>
        </w:tc>
      </w:tr>
      <w:tr>
        <w:trPr>
          <w:trHeight w:val="274"/>
        </w:trPr>
        <w:tc>
          <w:tcPr>
            <w:tcW w:w="3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Stock Repurchased</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(1,120,755)</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(91,988)</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(91,988)</w:t>
            </w:r>
          </w:p>
        </w:tc>
      </w:tr>
      <w:tr>
        <w:trPr>
          <w:trHeight w:val="26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Cash Dividends Declared ($2.34 per share)</w:t>
            </w:r>
          </w:p>
        </w:tc>
        <w:tc>
          <w:tcPr>
            <w:tcW w:w="1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(98,496)</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(98,496)</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1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41,499,898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577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571,704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(51,043)</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1,641,314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(894,352)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1,268,200</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219,602</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184,672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181,461</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13,425</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16,900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4,750</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14,389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13,048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12,871</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Amortization of Deferred Loan and Lease Fees</w:t>
            </w:r>
          </w:p>
        </w:tc>
        <w:tc>
          <w:tcPr>
            <w:tcW w:w="1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(372)</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(1,031)</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(1,467)</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32,966</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39,186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43,728</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Share-Based Compensation</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8,146</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7,369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6,786</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Benefit Plan Contributions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(11,454)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(6,274)</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4,177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7,187</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Gains on Sales of Loans and Leases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(3,834)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(6,780)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(11,113)</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Net (Gains) Losses on Investment Securities</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3,938</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(10,430)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(10,203)</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Proceeds from Sales of Loans Held for Sale</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275,943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323,784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273,597</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Originations of Loans Held for Sale</w:t>
            </w:r>
          </w:p>
        </w:tc>
        <w:tc>
          <w:tcPr>
            <w:tcW w:w="1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(267,066)</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(326,195)</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(280,391)</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Tax Benefits from Share-Based Compensation</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993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2,521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Excess Tax Benefits from Share-Based Compensation</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Change in Other Assets and Other Liabilities</w:t>
            </w:r>
          </w:p>
        </w:tc>
        <w:tc>
          <w:tcPr>
            <w:tcW w:w="1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27,815</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(60,622)</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w:t>
            </w:r>
          </w:p>
        </w:tc>
      </w:tr>
      <w:tr>
        <w:trPr>
          <w:trHeight w:val="231"/>
        </w:trPr>
        <w:tc>
          <w:tcPr>
            <w:tcW w:w="67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Net Cash Provided by Operating Activities</w:t>
            </w:r>
          </w:p>
        </w:tc>
        <w:tc>
          <w:tcPr>
            <w:tcW w:w="1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317,922</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175,145</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226,529</w:t>
            </w:r>
          </w:p>
        </w:tc>
      </w:tr>
      <w:tr>
        <w:trPr>
          <w:trHeight w:val="33"/>
        </w:trPr>
        <w:tc>
          <w:tcPr>
            <w:tcW w:w="6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Available-for-Sale:</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Proceeds from Sales, Prepayments and Maturities</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358,244</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365,239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408,835</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Purchases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(166,915)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(427,061)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(367,346)</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Investment Securities Held-to-Maturity:</w:t>
            </w: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Proceeds from Prepayments and Maturities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853,635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882,748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806,339</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1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(419,640)</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(995,076)</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(677,652)</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Loans and Leases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(664,692)</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(954,984)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(1,263,749)</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Proceeds from Sales of Loans</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137,717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147,898</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Premises and Equipment, Net</w:t>
            </w:r>
          </w:p>
        </w:tc>
        <w:tc>
          <w:tcPr>
            <w:tcW w:w="1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(35,300)</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(30,470)</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(15,177)</w:t>
            </w:r>
          </w:p>
        </w:tc>
      </w:tr>
      <w:tr>
        <w:trPr>
          <w:trHeight w:val="231"/>
        </w:trPr>
        <w:tc>
          <w:tcPr>
            <w:tcW w:w="670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Net Cash Used in Investing Activities</w:t>
            </w:r>
          </w:p>
        </w:tc>
        <w:tc>
          <w:tcPr>
            <w:tcW w:w="1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(74,668)</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(1,021,887)</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(960,852)</w:t>
            </w:r>
          </w:p>
        </w:tc>
      </w:tr>
      <w:tr>
        <w:trPr>
          <w:trHeight w:val="33"/>
        </w:trPr>
        <w:tc>
          <w:tcPr>
            <w:tcW w:w="6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Deposits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143,273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563,728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1,069,137</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Change in Short-Term Borrowings</w:t>
            </w:r>
          </w:p>
        </w:tc>
        <w:tc>
          <w:tcPr>
            <w:tcW w:w="1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(798)</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(27,701)</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(103,196)</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Debt</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50,000</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Repayments of Other Debt</w:t>
            </w:r>
          </w:p>
        </w:tc>
        <w:tc>
          <w:tcPr>
            <w:tcW w:w="1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(175,000)</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Benefits from Share-Based Compensation</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7,873</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13,101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9,079</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of Common Stock</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(91,988)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(47,076)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(61,807)</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112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(98,496)</w:t>
            </w:r>
          </w:p>
        </w:tc>
        <w:tc>
          <w:tcPr>
            <w:tcW w:w="3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(87,066)</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(81,157)</w:t>
            </w:r>
          </w:p>
        </w:tc>
      </w:tr>
      <w:tr>
        <w:trPr>
          <w:trHeight w:val="33"/>
        </w:trPr>
        <w:tc>
          <w:tcPr>
            <w:tcW w:w="6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(165,136)</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414,986</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858,209</w:t>
            </w:r>
          </w:p>
        </w:tc>
      </w:tr>
      <w:tr>
        <w:trPr>
          <w:trHeight w:val="237"/>
        </w:trPr>
        <w:tc>
          <w:tcPr>
            <w:tcW w:w="6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78,118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(431,756)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123,886</w:t>
            </w: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447,851</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879,607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755,721</w:t>
            </w:r>
          </w:p>
        </w:tc>
      </w:tr>
      <w:tr>
        <w:trPr>
          <w:trHeight w:val="33"/>
        </w:trPr>
        <w:tc>
          <w:tcPr>
            <w:tcW w:w="6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525,969</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447,851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879,607</w:t>
            </w:r>
          </w:p>
        </w:tc>
      </w:tr>
      <w:tr>
        <w:trPr>
          <w:trHeight w:val="20"/>
        </w:trPr>
        <w:tc>
          <w:tcPr>
            <w:tcW w:w="6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Interest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62,515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44,945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39,482</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Cash Paid for Income Taxes</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42,475</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67,883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57,005</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Investing and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Transfer from Loans to Foreclosed Real Estate</w:t>
            </w:r>
          </w:p>
        </w:tc>
        <w:tc>
          <w:tcPr>
            <w:tcW w:w="112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2,693</w:t>
            </w:r>
          </w:p>
        </w:tc>
        <w:tc>
          <w:tcPr>
            <w:tcW w:w="3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2,559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1,058</w:t>
            </w:r>
          </w:p>
        </w:tc>
      </w:tr>
      <w:tr>
        <w:trPr>
          <w:trHeight w:val="33"/>
        </w:trPr>
        <w:tc>
          <w:tcPr>
            <w:tcW w:w="6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6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Transfers from Loans to Loans Held for Sale</w:t>
            </w:r>
          </w:p>
        </w:tc>
        <w:tc>
          <w:tcPr>
            <w:tcW w:w="1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86,625</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189,972</w:t>
            </w:r>
          </w:p>
        </w:tc>
      </w:tr>
      <w:tr>
        <w:trPr>
          <w:trHeight w:val="33"/>
        </w:trPr>
        <w:tc>
          <w:tcPr>
            <w:tcW w:w="6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accounting and reporting principles of the Company conform to U.S. generally accepted accounting principles (“GAAP”) and prevailing practices within the financial services industry. 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the Parent and its subsidiaries. The Parent’s principal operating subsidiary is Bank of Hawaii (the “Bank”). All significant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 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Accounting Standards Update (“ASU”) No. 2014-01, </w:t>
      </w:r>
      <w:r>
        <w:rPr>
          <w:rFonts w:ascii="Arial" w:cs="Arial" w:eastAsia="Arial" w:hAnsi="Arial"/>
          <w:sz w:val="17"/>
          <w:szCs w:val="17"/>
          <w:i w:val="1"/>
          <w:iCs w:val="1"/>
          <w:color w:val="auto"/>
        </w:rPr>
        <w:t>“Accounting for Investments in Qualified Affordable Housing Projects”</w:t>
      </w:r>
      <w:r>
        <w:rPr>
          <w:rFonts w:ascii="Arial" w:cs="Arial" w:eastAsia="Arial" w:hAnsi="Arial"/>
          <w:sz w:val="17"/>
          <w:szCs w:val="17"/>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17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$15.2 million and $17.5 million as of December 31, 2018 and 2017, respectively. These unfunded commitments are unconditional and legally binding and are recorded in other liabilities in the consolidated statements of condition. See Note 18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investments in these entities are initially recorded at cost, which approximates the maximum exposure to loss as a result of the Company’s involvement with these unconsolidated entities. The balance of the Company’s investments in these entities was $85.9 million and $87.6 million as of December 31, 2018 and 2017, respectively, and is included in other assets in the consolidated statements of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securities are accounted for according to their purpose and holding period. Trading securities are those that are bought and held principally for the purpose of selling them in the near term. The Company held no trading securities as of December 31, 2018 and 2017. Available-for-sale investment securities, comprised of debt and mortgage-backed securities, are those that may be sold before maturity due to changes in the Company’s interest rate risk profile or funding needs, and are reported at fair value with unrealized gains and losses, net of taxes, reported as a component of other comprehensive income. Held-to-maturity investment securities, comprised of debt and mortgage-backed securities, are those that management has the positive intent and ability to hold to maturity and are reported at amortized cost.</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Realized gains and losses are recorded in noninterest income and are determined on a trade date basis using the specific identification method. Interest and dividends on investment securities are recognized in interest income on an accrual basis. Premiums and discounts are amortized or accreted into interest income using the interest method over the expected lives of the individual securities.</w:t>
      </w:r>
    </w:p>
    <w:p>
      <w:pPr>
        <w:spacing w:after="0" w:line="181"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Transfers of debt securities from the available-for-sale category to the held-to-maturity category are made at fair value at the date of transfer. The unrealized holding gain or loss at the date of transfer remains in accumulated other comprehensive income and in the carrying value of the held-to-maturity investment security. Premiums or discounts on investment securities are amortized or accreted as an adjustment of yield using the interest method over the estimated life of the security. Unrealized holding gains or losses that remain in accumulated other comprehensive income are also amortized or accreted over the estimated life of the security as an adjustment of yield, offsetting the related amortization of the premium or accretion of the discount.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Other-Than-Temporary-Impairments of Investment Securities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conducts an other-than-temporary-impairment (“OTTI”) analysis of investment securities on a quarterly basis or more often if a potential loss-triggering event occurs. A write-down of a debt security is recorded when fair value is below amortized cost in circumstances where: (1) the Company has the intent to sell a security; (2) it is more likely than not that the Company will be required to sell the security before recovery of its amortized cost basis; or (3) the Company does not expect to recover the entire amortized cost basis of the security. If the Company intends to sell a security or if it is more likely than not that the Company will be required to sell the security before recovery, an OTTI write-down is recognized in earnings equal to the entire difference between the security’s amortized cost basis and its fair value. If the Company does not intend to sell the security or it is not more likely than not that it will be required to sell the security before recovery, the OTTI write-down is separated into an amount representing credit loss, which is recognized in earnings, and an amount related to all other factors, which is recognized in other comprehensive income. To determine the amount related to credit loss on a debt security, the Company applies a methodology similar to that used for evaluating the impairment of loans. As of December 31, 2018, management determined that the Company did not own any investment securities that were other-than-temporarily-impaired.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Residential mortgage loans with the intent to be sold in the secondary market are accounted for on an aggregate basis under the fair value option. Fair value is primarily determined based on quoted prices for similar loans in active markets. Non-refundable fees and direct loan origination costs related to residential mortgage loans held for sale are recognized as part of the cost basis of the loan at the time of sale. Gains and losses on sales of residential mortgage loans (sales proceeds minus carrying value) are recorded in the mortgage banking component of noninterest income.</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Commercial loans that management has an active plan to sell are valued on an individual basis at the lower-of-cost-or fair value. Fair value is primarily determined based on quoted prices for similar loans in active markets or agreed upon sales prices. Any reduction in the loan’s value, prior to being transferred to the held-for-sale category, is reflected as a charge-off of the recorded investment in the loan resulting in a new cost basis, with a corresponding reduction in the allowance for loan and lease losses. Further decreases in the fair value of the loan are recognized in noninterest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Loans are reported at the principal amount outstanding, net of unearned income including unamortized deferred loan fees and costs, and cumulative net charge-offs. Interest income is recognized on an accrual basis. Loan origination fees, certain direct costs, and unearned discounts and premiums, if any, are deferred and are generally amortized into interest income as yield adjustments using the interest method over the contractual life of the loan. Loan commitment fees are generally recognized into noninterest income. Other credit-related fees are recognized as fee income, a component of noninterest income, when earned.</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Direct financing leases are carried at the aggregate of lease payments receivable plus the estimated residual value of leased property, less unearned income. Leveraged leases, which are a form of direct financing leases, are carried net of non-recourse debt. Unearned income on direct financing and leveraged leases is amortized over the lease term by methods that approximate the interest method. Residual values on leased assets are periodically reviewed for impairment.</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Portfolio segments are defined as the level at which an entity develops and documents a systematic methodology to determine its allowance for loan and lease losses (the “Allowance”). Management has determined that the Company has two portfolio segments of loans and leases (commercial and consumer) in determining the Allowance. Both quantitative and qualitative factors are used by management at the portfolio segment level in determining the adequacy of the Allowance for the Company. Classes of loans and leases are a disaggregation of a Company’s portfolio segments. Classes are defined as a group of loans and leases which share similar initial measurement attributes, risk characteristics, and methods for monitoring and assessing credit risk. Management has determined that the Company has seven classes of loans and leases (commercial and industrial, commercial mortgage, construction, lease financing, residential mortgage, home equity, automobile, and other). The “other” class of loans and leases is comprised of revolving credit, installment, and lease financing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 and Leases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Generally, all classes of commercial loans and leases are placed on non-accrual status upon becoming contractually past due 90 days as to principal or interest (unless loans and leases are adequately secured by collateral, are in the process of collection, and are reasonably expected to result in repayment), when terms are renegotiated below market levels, or where substantial doubt about full repayment of principal or interest is evident. For residential mortgage and home equity loan classes, loans past due 120 days as to principal or interest may be placed on non-accrual status, and a partial charge-off may be recorded, depending on the collateral value and/or the collectability of the loan. For automobile and other consumer loan classes, the entire outstanding balance of the loan is charged off when the loan becomes 120 days past due as to principal or interest.</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When a loan or lease is placed on non-accrual status, the accrued and unpaid interest receivable is reversed and the loan or lease is accounted for on the cash or cost recovery method until qualifying for return to accrual status. All payments received on non-accrual loans and leases are applied against the principal balance of the loan or lease. A loan or lease may be returned to accrual status when all delinquent interest and principal become current in accordance with the terms of the loan or lease agreement and when doubt about repayment is resolved.</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Generally, for all classes of loans and leases, a charge-off is recorded when it is probable that a loss has been incurred and when it is possible to determine a reasonable estimate of the loss. For all classes of commercial loans and leases, a charge-off is determined on a judgmental basis after due consideration of the debtor’s prospects for repayment and the fair value of collateral. For the pooled segment of the Company’s commercial and industrial loan class, which consists of small business loans, the entire outstanding balance of the loan remains on accrual status until it is charged off during the month that the loan becomes 120 days past due as to principal or interest. As previously mentioned, for residential mortgage and home equity loan classes, a partial charge-off may be recorded at 120 days past due as to principal or interest depending on the collateral value and/or the collectability of the loan. In the event that a loan or line in the home equity loan class is behind another financial institution’s first mortgage, the entire outstanding balance of the loan is charged off when the loan becomes 120 days past due as to principal or interest, unless the combined loan-to-value ratio is 60% or less. As noted above, loans in the automobile and other consumer loan classes are charged off in its entirety upon the loan becoming 120 days past due as to principal or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Company will not be able to collect all amounts due from the borrower in accordance with the contractual terms of the loan, including scheduled interest payments. Impaired loans include all classes of commercial non-accruing loans (except lease financing and small business loans), and all loans modified in a troubled debt restructuring. Impaired loans exclude lease financing and smaller balance homogeneous loans (consumer and small business non-accruing loans) that are collectively evaluated for impairment.</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all classes of commercial loans, a quarterly evaluation of individual commercial borrowers is performed to identify impaired loans. The identification of specific borrowers for review is based on a review of non-accrual loans as well as those loans specifically identified by management as exhibiting above average levels of risk.</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a loan has been identified as being impaired, the amount of impairment is measured based on the present value of expected future cash flows discounted at the loan’s effective interest rate, the loan’s observable market price, or the estimated fair value of the collateral, less any selling costs, if the loan is collateral-dependent. If the measurement of the impaired loan is less than the recorded investment in the loan (including accrued interest, net of deferred loan fees or costs, and unamortized premiums or discounts), impairment is recognized by establishing or adjusting an existing allocation of the Allowance, or by recording a partial charge-off of the loan to its fair value. Interest payments made on impaired loans are typically applied to principal unless collectability of the principal amount is reasonably assured, in which case interest income may be accrued or recognized on a cash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Modified in a Troubled Debt Restructuring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Loans are considered to have been modified in a troubled debt restructuring when, due to a borrower’s financial difficulties, the Company makes certain concessions to the borrower that it would not otherwise consider. Modifications may include interest rate reductions, principal or interest forgiveness, forbearance, and other actions intended to minimize economic loss and to avoid foreclosure or repossession of collateral. Generally, a non-accrual loan that has been modified in a troubled debt restructuring remains on non-accrual status for a period of at least 6 months to demonstrate that the borrower is able to meet the terms of the modified loan. However, performance prior to the modification, or significant events that coincide with the modification, are included in assessing whether the borrower can meet the new terms and may result in the loan being returned to accrual status at the time of loan modification or after a shorter performance period. If the borrower’s ability to meet the revised payment schedule is uncertain, the loan remains on non-accrual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reserve for credit losses is comprised of two components, the Allowance and the reserve for unfunded commitments (the “Unfunded Reserve”).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maintains an Allowance adequate to cover management’s estimate of probable credit losses as of the balance sheet date. Loans and leases that are charged off reduce the Allowance while recoveries of loans and leases previously charged off increase the Allowance. Other changes to the level of the Allowance are recognized through charges or credits to the provision for credit losses (the “Provision”). The Allowance considers both unimpaired and impaired loans and is developed and documented at the portfolio segment level (commercial and consumer).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level of the Allowance related to the Company’s commercial portfolio segment is generally based on the credit risk ratings and historical loss experience of individual borrowers. This is supplemented as necessary by credit judgment to address observed changes in trends and conditions, and other relevant environmental and economic factors that may affect the collectability of loans and leases. Excluding those loans and leases evaluated individually for impairment, the Company’s remaining commercial loans and leases are pooled and collectively evaluated for impairment based on business unit and internal risk rating segmentation.</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level of the Allowance related to the Company’s consumer portfolio segment is generally based on analyses of homogeneous pools of loans and leases. Loans and leases are pooled based on similar loan and lease risk characteristics for collective evaluation of impairment. Loss estimates are calculated based on historical rolling average loss rates and average delinquency flows to loss. Consumer loans that have been individually evaluated for impairment or modified in a troubled debt restructuring are excluded from the homogeneous pools. Impairment related to such loans is generally determined based on the present value of expected future cash flows discounted at the loan’s original effective interest rate.</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Allowance also includes an estimate for inherent losses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net charge-offs. In addition, the Company uses a variety of other tools to estimate probable credit losses including, but not limited to, a rolling quarterly forecast of asset quality metrics; stress testing; and performance indicators based on the Company’s own experience, peers, or other industry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Unfunded Reserve is a component of other liabilities and represents the estimate for probable credit losses inherent in unfunded commitments to extend credit. Unfunded commitments to extend credit include banker’s acceptances, and standby and commercial letters of credit. The process used to determine the Unfunded Reserve is consistent with the process for determining the Allowance, as adjusted for estimated funding probabilities or loan and lease equivalency factors. The level of the Unfunded Reserve is adjusted by recording an expense or recovery in other 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cash and due from banks, interest-bearing deposits in other banks, and funds sold. All amounts are readily convertible to cash and have maturities of less than 90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Premises and Equipment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Premises and equipment, including leasehold improvements, are stated at cost, less accumulated depreciation and amortization. Capital leases are included in premises and equipment at the capitalized amount less accumulated amortization.</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Premises and equipment are depreciated using the straight-line method over the estimated useful lives of the respective assets. Estimated useful lives generally range up to 30 years for buildings and up to 10 years for equipment. Capitalized leased assets and leasehold improvements are amortized over the shorter of the estimated useful life of the asset or the lease term. Repairs and maintenance are charged to expense as incurred, while improvements which extend the estimated useful life of the asset are capitalized and depreciated over the estimated remaining life of the asset.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Premises and equipment are periodically evaluated for impairment when events or changes in circumstances indicate the carrying amount may not be recoverable. Impairment exists when the expected undiscounted future cash flows of premises and equipment are less than its carrying amount. In that event, the Company records a loss for the difference between the carrying amount and the fair value of the asset based on quoted market prices, if applicable, or a discounted cash flow analysis.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Foreclosed Real Estate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Foreclosed real estate consists of properties acquired through foreclosure proceedings or acceptance of a deed-in-lieu of foreclosure. These properties are recorded at fair value less estimated costs to sell the property. If the recorded investment in the loan exceeds the property’s fair value at the time of acquisition, a charge-off is recorded against the Allowance. If the fair value of the property at the time of acquisition exceeds the carrying amount of the loan, the excess is recorded either as a recovery to the Allowance if a charge-off had previously been recorded, or as a gain on initial transfer in other noninterest income. Subsequent decreases in the property’s fair value and operating expenses of the property are recognized through charges to other noninterest expense. The fair value of the property acquired is based on third party appraisals, broker price opinions, recent sales activity, or a combination thereof, subject to management judgment.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Mortgage servicing rights are recognized as assets when mortgage loans are sold and the rights to service those loans are retained. Mortgage servicing rights are initially recorded at fair value by using a discounted cash flow model to calculate the present value of estimated future net servicing income.</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Company’s mortgage servicing rights accounted for under the fair value method are carried on the statements of condition at fair value with changes in fair value recorded in mortgage banking income in the period in which the change occurs. Changes in the fair value of mortgage servicing rights are primarily due to changes in valuation inputs, assumptions, and the collection and realization of expected cash flows.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mortgage servicing rights accounted for under the amortization method are initially recorded at fair value. However, these mortgage servicing rights are amortized in proportion to and over the period of estimated net servicing income. An impairment analysis is prepared on a quarterly basis by estimating the fair value of the mortgage servicing rights and comparing that value to the carrying amount. A valuation allowance is established when the carrying amount of these mortgage servicing rights exceeds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Goodwill is initially recorded as the excess of the purchase price over the fair value of the net assets acquired in a business combination and is subsequently evaluated at least annually for impairment. Goodwill impairment testing is performed at the reporting unit level, equivalent to a business segment or one level below. The Company has goodwill assigned to the following reporting units: Investment Services and Retail Banking.</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 Company performs its annual evaluation of goodwill impairment in the fourth quarter of each year and on an interim basis if events or changes in circumstances indicate that there may be impairment. The Company performs a qualitative assessment to determine whether it is more likely than not that the fair value of a reporting unit is less than its carrying amount. The qualitative factors considered include, but are not limited to, macroeconomic and State of Hawaii economic conditions, industry and market conditions and trends, the Company’s financial performance, market capitalization, stock price, and any Company-specific events relevant to the assessment. If the assessment of qualitative factors indicates that it is not more likely than not that an impairment exists, no further testing is performed; otherwise an impairment test is performed. Prior to 2017, the goodwill impairment test was a two-step test. The first step compared the estimated fair value of identified reporting units with their carrying amount, including goodwill. If the estimated fair value of a reporting unit was less than the carrying value, the second step was required to determine the implied fair value of the reporting unit’s goodwill and the amount of goodwill impairment, if any. In 2017, the Company elected to early adopt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The guidance removed Step 2 of the goodwill impairment test. Goodwill impairment will now be the amount by which a reporting unit’s carrying value exceeds its fair value, not to exceed the carrying amount of goodwill. All other goodwill impairment guidance remained largely unchanged. Subsequent reversals of goodwill impairment are prohibited. For the year ended December 31, 2018, the Company’s goodwill impairment evaluation, based on its qualitative assessment, indicated there was no impairment.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required to own Federal Home Loan Bank (“FHLB”) of Des Moines and Federal Reserve Bank (“FRB”) stock as a condition of membership. These non-marketable equity securities are accounted for at cost which equals par or redemption value. These securities do not have a readily determinable fair value as their ownership is restricted and there is no market for these securities. These securities can only be redeemed or sold at their par value and only to the respective issuing government supported institution or to another member institution. The Company records these non-marketable equity securities as a component of other assets, which are periodically evaluated for impairment. Management considers these non-marketable equity securities to be long-term investments. Accordingly, when evaluating these securities for impairment, management considers the ultimate recoverability of the par value rather than by recognizing temporary declines in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Bank-Owned Life Insurance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purchases life insurance policies on the lives of certain officers and employees and is the owner and beneficiary of the policies. The Company invests in these Bank-Owned Life Insurance (“BOLI”) policies to provide an efficient form of funding for long-term retirement and other employee benefits costs. The Company records these BOLI policies in the consolidated statements of condition at cash surrender value, with changes recorded in noninterest income in the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securities sold under agreements to repurchase are accounted for as collateralized financing arrangements (i.e., secured borrowings) and not as a sale and subsequent repurchase of securities. The obligation to repurchase the securities is reflected as a liability in the Company’s consolidated statements of condition, while the securities underlying the securities sold under agreements to repurchase remain in the respective asset accounts. See Note 19 </w:t>
      </w:r>
      <w:r>
        <w:rPr>
          <w:rFonts w:ascii="Arial" w:cs="Arial" w:eastAsia="Arial" w:hAnsi="Arial"/>
          <w:sz w:val="17"/>
          <w:szCs w:val="17"/>
          <w:i w:val="1"/>
          <w:iCs w:val="1"/>
          <w:color w:val="auto"/>
        </w:rPr>
        <w:t>Balance Sheet Offsetting</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incurs certain employment-related expenses associated with its two frozen pension plans and a postretirement benefit plan (the “Plans”). In order to measure the expense associated with the Plans, various assumptions are made including the discount rate, expected return on plan assets, anticipated mortality rates, and expected future healthcare costs. The assumptions are based on historical experience as well as current facts and circumstances. The Company uses a December 31 measurement date for its Plans. As of the measurement date, plan assets are determined based on fair value, generally representing observable market prices. The projected benefit obligation is primarily determined based on the present value of projected benefit distributions at an assumed discount rate.</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periodic pension benefit costs include interest costs based on an assumed discount rate, the expected return on plan assets based on actuarially derived market-related values, and the amortization of net actuarial gains or losses. Net periodic postretirement benefit costs include service costs, interest costs based on an assumed discount rate, and the amortization of prior service credits and net actuarial gains or losses. Differences between expected and actual results in each year are included in the net actuarial gain or loss amount, which is recognized in other comprehensive income. The net actuarial gain or loss in excess of a 10% corridor is amortized in net periodic benefit cost over the average remaining expected lives of the pension plan participants and over the average remaining future service years of the postretirement benefit plan participants. The prior service credit is amortized over the average remaining service period to full eligibility for participating employees expected to receive benefits.</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recognizes in its consolidated statements of condition an asset for a plan’s overfunded status or a liability for a plan’s underfunded status. The Company also measures the Plans’ assets and obligations that determine its funded status as of the end of the year and recognizes those changes in other comprehensive income, net of tax.</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Parent files a consolidated federal income tax return with the Bank and its subsidiaries. Calculation of the Company’s provision for income taxes requires the interpretation of income tax laws and regulations and the use of estimates and judgments in its determination. The Company is subject to examination by governmental authorities that may give rise to income tax issues due to differing interpretations. Changes to the liability for income taxes also occur due to changes in income tax rates, implementation of new business strategies, resolution of issues with taxing authorities, and newly enacted statutory, judicial, and regulatory guidance.</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Deferred income taxes are provided to reflect the tax effect of temporary differences between financial statement carrying amounts and the corresponding tax basis of assets and liabilities. Deferred income taxes are calculated by applying enacted statutory tax rates and tax laws to future years in which temporary differences are expected to reverse. The impact on deferred tax assets and liabilities from a change in tax rates is recognized in income in the period that the tax rate change is enacted. A deferred tax valuation allowance is established if it is more likely than not that a deferred tax asset will not be realized.</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tax sharing policy provides for the settlement of income taxes between each relevant subsidiary as if the subsidiary had filed a separate return. Payments are made to the Parent by subsidiaries with tax liabilities and subsidiaries that generate tax benefits receive payments for those benefits as used.</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maintains reserves for certain tax positions that arise in the normal course of business. As of December 31, 2018, these positions were evaluated based on an assessment of probabilities as to the likelihood of whether a liability had been incurred. Such assessments are reviewed as events occur and adjustments to the reserves are made as appropriate. In evaluating a tax position for recognition, the Company evaluates whether it is more likely than not that a tax position will be sustained upon examination, including resolution of related appeals or litigation processes, based on the technical merits of the position. If the tax position meets the more likely than not recognition threshold, the tax position is measured and recognized in the Company’s Consolidated Financial Statements as the largest amount of tax benefit that, in management’s judgment, is greater than 50% likely of being realized upon ultimate settlement.</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Public law No. 115-97, known as the Tax Cuts and Jobs Act (the "Tax Act"), which was enacted on December 22, 2017, reduced the U.S. federal corporate tax rate from 35% to 21% effective January 1, 2018. Also on December 22, 2017, the Securities and Exchange Commission issued Staff Accounting Bulletin No. 118 (“SAB 118”), which provides guidance on accounting for tax effects of the Tax Act. SAB 118 provides a measurement period of up to one year from the enactment date to complete the accounting. As such, adjustments during this measurement period were included in net earnings from continuing operations as an adjustment to income tax expense in the reporting period when such adjustments were determined. The provisional amount recorded in the fourth quarter of 2017 related to the remeasurement of the Company's deferred tax balance resulted in additional income tax expense of $3.6 million. An additional $0.1 million was expensed in the first quarter of 2018 due to the remeasurement of the Company’s deferred tax balance. In addition, during the first quarter of 2018, the Company recorded a $2.0 million basis adjustment on its low income housing partnership investments, which consequently reduced income tax expense by the same amount. The remeasurement of the Company’s deferred tax balance in the third quarter of 2018 resulted in an income tax expense reduction of $0.3 million. The Company completed its analysis and finalized the impact of the Tax Act in the third quarter of 2018. See Note 16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Shares of the Parent’s common stock that are repurchased are recorded in treasury stock at cost. On the date of subsequent re-issuance, the treasury stock account is reduced by the cost of such stock on a first-in, first-out basis.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for the period. Diluted earnings per share is computed by dividing net income by the weighted average number of common shares outstanding for the period, assuming conversion of all potentially dilutive common stock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ordinary course of business, the Company enters into derivative financial instruments as an end-user in connection with its risk management activities and to accommodate the needs of its customers. The Company has elected not to qualify for hedge accounting methods addressed under current provisions of GAAP. Derivative financial instruments are stated at fair value on the consolidated statements of condition with changes in fair value reported in current period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may grant share-based compensation to employees and non-employee directors in the form of restricted stock, restricted stock units and stock options. The fair value of restricted stock is determined based on the closing price of the Parent’s common stock on the date of grant. The Company recognizes compensation expense related to restricted stock on a straight-line basis over the vesting period for service-based awards, plus additional recognition of costs associated with accelerated vesting based on the projected attainment of Company performance measures. Restricted stock units (“RSUs”) are payable solely in cash which are accounted for as other liabilities in the consolidated statements of condition. The fair value of RSUs is initially valued based on the closing price of the Parent’s common stock on the date of grant and is amortized in the statement of income over the vesting period. The RSUs are subsequently remeasured in the same manner described above at the end of each reporting period until settlement. The fair value of stock options is estimated at the date of grant using the Black-Scholes option pricing model and related assumptions. The Company uses historical data to predict option exercise and employee termination behavior. Expected volatilities are based on the historical volatility of the Parent’s common stock. The expected term of options granted is derived from actual historical exercise activity and represents the period of time that options granted are expected to be outstanding. The risk-free rate is derived from the U.S. Treasury yield curve in effect at the time of grant based on the expected life of the option. The dividend yield is equal to the dividend yield of the Parent’s common stock at the time of grant. The amortization of the expense related to stock options reflects estimated forfeitures, adjusted for actual forfeiture experience. Amortization expense related to stock options is recorded in the statements of income as a component of salaries and benefits for employees and as a component of other noninterest expense for non-employee directors, with a corresponding increase to capital surplus in shareholders’ equity. As the expense related to stock options is recognized, a deferred tax asset is established that represents an estimate of future income tax deductions from the release of restrictions or the exercise of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 Advertising costs were $6.0 million for the years ended December 31, 2018,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Bank has operations that are conducted in certain Pacific Islands that are denominated in U.S. dollars. These operations are classified as domestic.</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Fair value measurements apply whenever GAAP requires or permits assets or liabilities to be measured at fair value either on a recurring or nonrecurring basis. Fair value is defined as the price that would be received to sell an asset or paid to transfer a liability in the principal or most advantageous market for an asset or liability in an orderly transaction between market participants at the measurement date. Fair value is based on the assumptions that management believes market participants would use when pricing an asset or liability. Fair value measurement and disclosure guidance established a three-level fair value hierarchy that prioritizes the use of inputs used in valuation methodologies. Management maximizes the use of observable inputs and minimizes the use of unobservable inputs when determining fair value measurements. Management reviews and updates the fair value hierarchy classifications of the Company’s assets and liabilities on a quarterly basis. The three-level fair value hierarchy is as follows:</w:t>
      </w:r>
    </w:p>
    <w:p>
      <w:pPr>
        <w:spacing w:after="0" w:line="124" w:lineRule="exact"/>
        <w:rPr>
          <w:sz w:val="20"/>
          <w:szCs w:val="20"/>
          <w:color w:val="auto"/>
        </w:rPr>
      </w:pPr>
    </w:p>
    <w:p>
      <w:pPr>
        <w:jc w:val="both"/>
        <w:ind w:left="1180" w:right="220" w:hanging="1147"/>
        <w:spacing w:after="0" w:line="264" w:lineRule="auto"/>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quoted prices, unadjusted, for identical assets or liabilities in active markets. A quoted price in an active market provides the most reliable evidence of fair value and shall be used to measure fair value whenever available. A contractually binding sales price also provides reliable evidence of fair value.</w:t>
      </w:r>
    </w:p>
    <w:p>
      <w:pPr>
        <w:spacing w:after="0" w:line="19" w:lineRule="exact"/>
        <w:rPr>
          <w:sz w:val="20"/>
          <w:szCs w:val="20"/>
          <w:color w:val="auto"/>
        </w:rPr>
      </w:pPr>
    </w:p>
    <w:p>
      <w:pPr>
        <w:ind w:left="1180" w:right="600" w:hanging="1147"/>
        <w:spacing w:after="0" w:line="305" w:lineRule="auto"/>
        <w:tabs>
          <w:tab w:leader="none" w:pos="11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1" w:lineRule="exact"/>
        <w:rPr>
          <w:sz w:val="20"/>
          <w:szCs w:val="20"/>
          <w:color w:val="auto"/>
        </w:rPr>
      </w:pPr>
    </w:p>
    <w:p>
      <w:pPr>
        <w:ind w:left="1180" w:right="20" w:hanging="1147"/>
        <w:spacing w:after="0" w:line="286" w:lineRule="auto"/>
        <w:tabs>
          <w:tab w:leader="none" w:pos="11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requires significant management judgment or estimation, some of which may be internally developed.</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and Note 21 </w:t>
      </w:r>
      <w:r>
        <w:rPr>
          <w:rFonts w:ascii="Arial" w:cs="Arial" w:eastAsia="Arial" w:hAnsi="Arial"/>
          <w:sz w:val="18"/>
          <w:szCs w:val="18"/>
          <w:i w:val="1"/>
          <w:iCs w:val="1"/>
          <w:color w:val="auto"/>
        </w:rPr>
        <w:t>Fair Value of Assets and Liabilities</w:t>
      </w:r>
      <w:r>
        <w:rPr>
          <w:rFonts w:ascii="Arial" w:cs="Arial" w:eastAsia="Arial" w:hAnsi="Arial"/>
          <w:sz w:val="18"/>
          <w:szCs w:val="18"/>
          <w:color w:val="auto"/>
        </w:rPr>
        <w:t xml:space="preserve"> for the required fair value measurement disclosures.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2018</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generally will be required to use more judgment and make more estimates than under prior guidance. These may include identifying performance obligations in the contract, estimating the amount of variable consideration to include in the transaction price and allocating the transaction price to each separate performance obligation. Subsequent to the issuance of ASU 2014-09, the FASB issued targeted updates to clarify specific implementation issues including ASU No. 2016-08, </w:t>
      </w:r>
      <w:r>
        <w:rPr>
          <w:rFonts w:ascii="Arial" w:cs="Arial" w:eastAsia="Arial" w:hAnsi="Arial"/>
          <w:sz w:val="16"/>
          <w:szCs w:val="16"/>
          <w:i w:val="1"/>
          <w:iCs w:val="1"/>
          <w:color w:val="auto"/>
        </w:rPr>
        <w:t>“Principal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Considerations (Reporting Revenue Gross versus Net),” </w:t>
      </w:r>
      <w:r>
        <w:rPr>
          <w:rFonts w:ascii="Arial" w:cs="Arial" w:eastAsia="Arial" w:hAnsi="Arial"/>
          <w:sz w:val="16"/>
          <w:szCs w:val="16"/>
          <w:color w:val="auto"/>
        </w:rPr>
        <w:t>ASU No.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ASU No. 2016-12,</w:t>
      </w:r>
      <w:r>
        <w:rPr>
          <w:rFonts w:ascii="Arial" w:cs="Arial" w:eastAsia="Arial" w:hAnsi="Arial"/>
          <w:sz w:val="16"/>
          <w:szCs w:val="16"/>
          <w:i w:val="1"/>
          <w:iCs w:val="1"/>
          <w:color w:val="auto"/>
        </w:rPr>
        <w:t xml:space="preserve"> “Narrow-Scope Improvements and Practical Expedients,” </w:t>
      </w:r>
      <w:r>
        <w:rPr>
          <w:rFonts w:ascii="Arial" w:cs="Arial" w:eastAsia="Arial" w:hAnsi="Arial"/>
          <w:sz w:val="16"/>
          <w:szCs w:val="16"/>
          <w:color w:val="auto"/>
        </w:rPr>
        <w:t>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For financial reporting purposes, the standard allows for either full retrospective adoption, meaning the standard is applied to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periods presented, or modified retrospective adoption, meaning the standard is applied only to the most current period presented in the financial statements with the cumulative effect of initially applying the standard recognized at the date of initial application. Since the standard does not apply to revenue associated with financial instruments, including loans and securities that are accounted for under other GAAP, the new standard did not have a material impact on revenue most closely associated with financial instruments, including interest income and expense. The Company completed its overall assessment of revenue streams and review of related contracts potentially affected by the ASUs, including trust and asset management fees, deposit related fees, interchange fees, merchant income, and annuity and insurance commissions. Based on this assessment, the Company concluded that ASU 2014-09 did not materially change the method in which the Company currently recognizes revenue for these revenue streams. The Company also completed its evaluation of certain costs related to these revenue streams to determine whether such costs should be presented as expenses or contra-revenue (i.e., gross vs. net). Based on its evaluation, the Company determined that the classification of certain debit and credit card related costs should change (i.e., costs previously recorded as expense is now recorded as contra-revenue, and vice versa). These classification changes resulted in immaterial changes to both revenue and expense. The Company also determined that certain costs related to ATMs should be recorded as an expense rather than a reduction of revenue. This change did not have a material effect to noninterest income or expense. The Company adopted ASU 2014-09 and its related amendments on its required effective date of January 1, 2018 utilizing the modified retrospective approach. Since there was no net income impact upon adoption of the new guidance, a cumulative effect adjustment to opening retained earnings was not deemed necessary. Consistent with the modified retrospective approach, the Company did not adjust prior period amounts for the debit and credit card costs and the ATM costs reclassifications noted above. See Note 22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for more information.</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ASU addresses certain aspects of recognition, measurement, presentation, and disclosure of financial instruments by making targeted improvements to GAAP as follows: (1) require equity investments (except those accounted for under the equity method of accounting or those that result in consolidation of the investee) to be 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(2)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(3) eliminate the requirement to disclose the fair value of financial instruments measured at amortized cost for entities that are not public business entities; (4) eliminate the requirement for public business entities to disclose the method(s) and significant assumptions used to estimate the fair value that is required to be disclosed for financial instruments measured at amortized cost on the balance sheet; (5) require public business entities to use the exit price notion when measuring the fair value of financial instruments for disclosure purposes; (6)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(7) require separate presentation of financial assets and financial liabilities by measurement category and form of financial asset (that is, securities or loans and receivables) on the balance sheet or the accompanying notes to the financial statements; and (8) clarify that an entity should evaluate the need for a valuation allowance on a deferred tax asset related to available-for-sale securities in combination with the entity’s other deferred tax assets. The Company’s adoption of ASU No. 2016-01 on January 1, 2018 did not have a material impact on the Company’s Consolidated Financial Statements. In accordance with (5) above, the Company measured the fair value of its loan portfolio as of December 31, 2018 using an exit price notion (see Note 21 </w:t>
      </w:r>
      <w:r>
        <w:rPr>
          <w:rFonts w:ascii="Arial" w:cs="Arial" w:eastAsia="Arial" w:hAnsi="Arial"/>
          <w:sz w:val="16"/>
          <w:szCs w:val="16"/>
          <w:i w:val="1"/>
          <w:iCs w:val="1"/>
          <w:color w:val="auto"/>
        </w:rPr>
        <w:t>Fair Value of Assets and Liabilities</w:t>
      </w: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At the time, GAAP was unclear or did not include specific guidance on how to classify certain transactions in the statement of cash flows. This ASU is intended to reduce diversity in practice in how eight particular transactions are classified in the statement of cash flows. ASU No. 2016-15 was effective for interim and annual reporting periods beginning after December 15, 2017. Entities were required to apply the guidance retrospectively. If it is impracticable to apply the guidance retrospectively for an issue, the amendments related to that issue would be applied prospectively. The Company adopted ASU No. 2016-15 on January 1, 2018. ASU No. 2016-15 did not have a material impact on the Company’s Consolidated Financial Statements.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Under the new guidance, employers are required to present the service cost component of the net periodic benefit cost in the same income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(e.g., Salaries and Benefits) as other employee compensation costs arising from services rendered during the period. In addition, only the service cost component will be eligible for capitalization in assets. Employers will present the other components of net periodic benefit cost separately (e.g., Other Noninterest Expense) from the line item that includes the service cost. ASU No. 2017-07 became effective for interim and annual reporting periods beginning after December 15, 2017. Employers will apply the guidance on the presentation of the components of net periodic benefit cost in the income statement retrospectively. The guidance limiting the capitalization of net periodic benefit cost in assets to the service cost component will be applied prospectively. The Company adopted ASU No. 2017-07 on January 1, 2018 and utilized the ASU’s practical expedient allowing entities to estimate amounts for comparative periods using the information previously disclosed in their pension and other postretirement benefit plan footnote. ASU No. 2017-07 did not have a material impact on the Company’s Consolidated Financial Statements.</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This ASU allows a reclassification from accumulated other comprehensive income (“AOCI”) to retained earnings for certain income tax effects stranded in AOCI as a result of the Tax Act. Consequently, the reclassification eliminates the stranded tax effects resulting from the Tax Act and is intended to improve the usefulness of information reported to financial statement users. However, because the ASU only relates to the reclassification of the income tax effects of the Tax Act, the underlying guidance that requires the effect of a change in tax laws or rates to be included in income from continuing operations is not affected. ASU No. 2018-02 is effective for the Company's reporting period beginning on January 1, 2019; early adoption is permitted. The Company elected to adopt ASU No. 2018-02 during the first quarter of 2018, and elected to reclassify the income tax effects of the Tax Act from AOCI to retained earnings. The reclassification decreased AOCI and increased retained earnings by $7.5 million, with zero net effect on total shareholders’ equity. The Company utilizes the individual securities approach when releasing income tax effects from AOCI for its investment securities.</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“Disclosure Framework - Changes to the Disclosure Requirements for Defined Benefit Plans.”</w:t>
      </w:r>
      <w:r>
        <w:rPr>
          <w:rFonts w:ascii="Arial" w:cs="Arial" w:eastAsia="Arial" w:hAnsi="Arial"/>
          <w:sz w:val="17"/>
          <w:szCs w:val="17"/>
          <w:color w:val="auto"/>
        </w:rPr>
        <w:t xml:space="preserve"> This ASU makes minor changes to the disclosure requirements for employers that sponsor defined benefit pension and/or other postretirement benefit plans. ASU 2018-14 is effective for fiscal years ending after December 15, 2020; early adoption is permitted. The Company elected to early adopt ASU 2018-14 during the quarter ended December 31, 2018. As ASU 2018-14 only revises disclosure requirements (reflected in Note 14 </w:t>
      </w:r>
      <w:r>
        <w:rPr>
          <w:rFonts w:ascii="Arial" w:cs="Arial" w:eastAsia="Arial" w:hAnsi="Arial"/>
          <w:sz w:val="17"/>
          <w:szCs w:val="17"/>
          <w:i w:val="1"/>
          <w:iCs w:val="1"/>
          <w:color w:val="auto"/>
        </w:rPr>
        <w:t>Employee Benefits</w:t>
      </w:r>
      <w:r>
        <w:rPr>
          <w:rFonts w:ascii="Arial" w:cs="Arial" w:eastAsia="Arial" w:hAnsi="Arial"/>
          <w:sz w:val="17"/>
          <w:szCs w:val="17"/>
          <w:color w:val="auto"/>
        </w:rPr>
        <w:t>), the adoption did not have any impact on the Company’s Consolidated Financial Statements.</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September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This ASU requires an entity in a cloud computing arrangement (i.e., hosting arrangement) that is a service contract to follow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internal-use software guidance in ASC 350-40 to determine which implementation costs to capitalize as assets or expense as incurred. Capitalized implementation costs should be presented in the same line item on the balance sheet as amounts prepaid for the hosted service, if any (generally as an “other asset”). The capitalized costs will be amortized over the term of the hosting arrangement, with the amortization expense being presented in the same income statement line item as the fees paid for the hosted service. ASU 2018-15 is effective for interim and annual reporting periods beginning after December 15, 2019; early adoption is permitted. The Company elected to adopt ASU 2018-15 during the quarter ended September 30, 2018 on a prospective basis. ASU 2018-15 did not have a material impact on the Company’s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All entities are required to use a modified retrospective approach for leases that exist or are entered into after the beginning of the earliest comparative period in the financial statements. As the Company elected the transition option provided in ASU No. 2018-11 (see below), the modified retrospective approach was applied on January 1, 2019 (as opposed to January 1, 2017). The Company also elected certain relief options offered in ASU 2016-02 including the package of practical expedients, the option not to separate lease and non-lease components and instead to account for them as a single lease component, and the option not to recognize right-of-use assets and lease liabilities that arise from short-term leases (i.e., leases with terms of twelve months or less). The Company did not elect the hindsight practical expedient, which allows entities to use hindsight when determining lease term and impairment of right-of-use assets. The Company has several lease agreements, such as branch locations, which are currently considered operating leases, and therefore, not recognized on the Company’s consolidated statements of condition. The new guidance requires these lease agreements to be recognized on the consolidated statements of condition as a right-of-use asset and a corresponding lease liability. Upon adoption of ASU 2016-02 on its required effective date of January 1, 2019, the Company recorded an operating lease right-of-use asset of $106.5 million and a corresponding operating lease liability of $113.4 million. The Company expects its regulatory capital ratios to remain above the thresholds necessary to be classified as a “well capitalized” institution. The new guidance did not have a material impact on the consolidated statements of income. The Company is completing its evaluation of the ASU’s expanded disclosure requirements effective for the March 31, 2019 Form 10-Q.</w:t>
      </w:r>
    </w:p>
    <w:p>
      <w:pPr>
        <w:spacing w:after="0" w:line="39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This ASU significantly changes how entities will measure credit losses for most financial assets and certain other instruments that are not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is planning to adopt the standard in the first quarter of 2020 and is continuing its implementation efforts through its Company-wide implementation team. This team has assigned roles and responsibilities, key tasks to complete, and a general timeline to be followed. The team meets periodically to discuss the latest developments and ensure progress is being made. The team has been working with an advisory consultant and is finalizing the methodologies that will be utilized, which will be followed by developing and documenting processes, controls, policies and disclosure requirements in preparation for performing a full parallel run. The Company’s preliminary evaluation indicates the provisions of ASU No. 2016-13 are expected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early adoption is permitted. The Company currently does not designate any derivative financial instruments as formal hedging relationships, and therefore, does not utilize hedge accounting. However, the Company is currently evaluating this ASU to determine whether its provisions will enhance the Company’s ability to employ certain risk management strategies, while improving the transparency and understanding of those strategies for financial statement users.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July 2018, the FASB issued ASU No. 2018-11, </w:t>
      </w:r>
      <w:r>
        <w:rPr>
          <w:rFonts w:ascii="Arial" w:cs="Arial" w:eastAsia="Arial" w:hAnsi="Arial"/>
          <w:sz w:val="18"/>
          <w:szCs w:val="18"/>
          <w:i w:val="1"/>
          <w:iCs w:val="1"/>
          <w:color w:val="auto"/>
        </w:rPr>
        <w:t>“Leases - Targeted Improvements”</w:t>
      </w:r>
      <w:r>
        <w:rPr>
          <w:rFonts w:ascii="Arial" w:cs="Arial" w:eastAsia="Arial" w:hAnsi="Arial"/>
          <w:sz w:val="18"/>
          <w:szCs w:val="18"/>
          <w:color w:val="auto"/>
        </w:rPr>
        <w:t xml:space="preserve"> to provide entities with relief from the costs of implementing certain aspects of the new leasing standard, ASU No. 2016-02. Specifically, under the amendments in ASU 2018-11: (1) entities may elect not to recast the comparative periods presented when transitioning to the new leasing standard, and (2) lessors may elect not to separate lease and non-lease components when certain conditions are met. The amendments have the same effective date as ASU 2016-02 (January 1, 2019 for the Company). The Company adopted ASU 2018-11 on its required effective date of January 1, 2019 and elected both transition options mentioned above. ASU 2018-11 did not have a material impact on the Company’s Consolidated Financial Statements.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is effective for interim and annual reporting periods beginning after December 15, 2019; early adoption is permitted. Entities are also allowed to elect early adoption of the eliminated or modified disclosure requirements and delay adoption of the new disclosure requirements until their effective date. As ASU No. 2018-13 only revises disclosure requirements, it will not have a material impact on the Company’s Consolidated Financial Statements.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December 2018, the FASB issued ASU No. 2018-20, </w:t>
      </w:r>
      <w:r>
        <w:rPr>
          <w:rFonts w:ascii="Arial" w:cs="Arial" w:eastAsia="Arial" w:hAnsi="Arial"/>
          <w:sz w:val="17"/>
          <w:szCs w:val="17"/>
          <w:i w:val="1"/>
          <w:iCs w:val="1"/>
          <w:color w:val="auto"/>
        </w:rPr>
        <w:t>“Narrow-Scope Improvements for Lessors.”</w:t>
      </w:r>
      <w:r>
        <w:rPr>
          <w:rFonts w:ascii="Arial" w:cs="Arial" w:eastAsia="Arial" w:hAnsi="Arial"/>
          <w:sz w:val="17"/>
          <w:szCs w:val="17"/>
          <w:color w:val="auto"/>
        </w:rPr>
        <w:t xml:space="preserve"> This ASU (1) allows lessors to make an accounting policy election of presenting sales taxes and other similar taxes collected from lessees on a net basis, (2) requires a lessor to exclude lessor costs paid directly by a lessee to third parties on the lessor’s behalf and include lessor costs that are paid by the lessor and reimbursed by the lessee in the measurement of variable lease revenue and the associated expense, and (3) clarifies that when lessors allocate variable payments to lease and non-lease components they are required to follow the recognition guidance in the new leases standard for the lease component and other applicable guidance, such as the new revenue standard, for the non-lease component. The Company adopted ASU 2018-20 on its required effective date of January 1, 2019 and elected to present sales taxes and other similar taxes collected from lessees on a net basis as described in (1) above. ASU 2018-20 did not have a material impact on the Company’s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Restrictions on Cash and Cash and Cash Equivalents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is required to maintain cash on hand or on deposit with the Federal Reserve Bank based on the amount of certain customer deposits, mainly checking accounts. The Bank’s average required reserve balances were $72.3 million and $73.2 million as of December 31, 2018 and 2017, respectively.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005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44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3,028</w:t>
            </w: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3,421</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284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198,860</w:t>
            </w:r>
          </w:p>
        </w:tc>
        <w:tc>
          <w:tcPr>
            <w:tcW w:w="4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181,413</w:t>
            </w:r>
          </w:p>
        </w:tc>
      </w:tr>
      <w:tr>
        <w:trPr>
          <w:trHeight w:val="33"/>
        </w:trPr>
        <w:tc>
          <w:tcPr>
            <w:tcW w:w="5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28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324,081</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263,017</w:t>
            </w:r>
          </w:p>
        </w:tc>
      </w:tr>
      <w:tr>
        <w:trPr>
          <w:trHeight w:val="21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28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525,969</w:t>
            </w:r>
          </w:p>
        </w:tc>
        <w:tc>
          <w:tcPr>
            <w:tcW w:w="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447,851</w:t>
            </w:r>
          </w:p>
        </w:tc>
      </w:tr>
      <w:tr>
        <w:trPr>
          <w:trHeight w:val="33"/>
        </w:trPr>
        <w:tc>
          <w:tcPr>
            <w:tcW w:w="5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5" w:right="279" w:bottom="1440" w:gutter="0" w:footer="0" w:header="0"/>
        </w:sectPr>
      </w:pPr>
    </w:p>
    <w:bookmarkStart w:id="82" w:name="page83"/>
    <w:bookmarkEnd w:id="82"/>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December 31, 2018, 2017, and 2016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2"/>
                <w:szCs w:val="12"/>
                <w:color w:val="auto"/>
              </w:rPr>
            </w:pPr>
          </w:p>
        </w:tc>
        <w:tc>
          <w:tcPr>
            <w:tcW w:w="9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Unrealized</w:t>
            </w:r>
          </w:p>
        </w:tc>
        <w:tc>
          <w:tcPr>
            <w:tcW w:w="4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Cost</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Gains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394,485</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(2,577)</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392,401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559,800</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5,227</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(1,031)</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563,996</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U.S. Government-Sponsored Enterprises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224,997</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223,140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Government Agencies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189,645</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1,726</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(929)</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190,442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589,311</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(12,563)</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578,527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Commercial - Government Agencies</w:t>
            </w:r>
          </w:p>
        </w:tc>
        <w:tc>
          <w:tcPr>
            <w:tcW w:w="1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63,864</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59,380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842,820</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3,505</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(17,976)</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828,349</w:t>
            </w:r>
          </w:p>
        </w:tc>
        <w:tc>
          <w:tcPr>
            <w:tcW w:w="0" w:type="dxa"/>
            <w:vAlign w:val="bottom"/>
          </w:tcPr>
          <w:p>
            <w:pPr>
              <w:spacing w:after="0"/>
              <w:rPr>
                <w:sz w:val="1"/>
                <w:szCs w:val="1"/>
                <w:color w:val="auto"/>
              </w:rPr>
            </w:pPr>
          </w:p>
        </w:tc>
      </w:tr>
      <w:tr>
        <w:trPr>
          <w:trHeight w:val="30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2,022,158</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9,225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(23,441)</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2,007,942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353,122</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352,215</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234,602</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6,150</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240,752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97,266</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(1,755)</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95,511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Government Agencies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1,861,874</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3,886</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(51,773)</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1,813,987</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758,835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1,590</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(20,259)</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740,166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Commercial - Government Agencies</w:t>
            </w:r>
          </w:p>
        </w:tc>
        <w:tc>
          <w:tcPr>
            <w:tcW w:w="1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176,393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(5,177)</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171,363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2,797,102</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5,623</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(77,209)</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2,725,516</w:t>
            </w:r>
          </w:p>
        </w:tc>
        <w:tc>
          <w:tcPr>
            <w:tcW w:w="0" w:type="dxa"/>
            <w:vAlign w:val="bottom"/>
          </w:tcPr>
          <w:p>
            <w:pPr>
              <w:spacing w:after="0"/>
              <w:rPr>
                <w:sz w:val="1"/>
                <w:szCs w:val="1"/>
                <w:color w:val="auto"/>
              </w:rPr>
            </w:pPr>
          </w:p>
        </w:tc>
      </w:tr>
      <w:tr>
        <w:trPr>
          <w:trHeight w:val="30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3,482,092</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11,959</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(80,057)</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3,413,994</w:t>
            </w:r>
          </w:p>
        </w:tc>
        <w:tc>
          <w:tcPr>
            <w:tcW w:w="0" w:type="dxa"/>
            <w:vAlign w:val="bottom"/>
          </w:tcPr>
          <w:p>
            <w:pPr>
              <w:spacing w:after="0"/>
              <w:rPr>
                <w:sz w:val="1"/>
                <w:szCs w:val="1"/>
                <w:color w:val="auto"/>
              </w:rPr>
            </w:pPr>
          </w:p>
        </w:tc>
      </w:tr>
      <w:tr>
        <w:trPr>
          <w:trHeight w:val="122"/>
        </w:trPr>
        <w:tc>
          <w:tcPr>
            <w:tcW w:w="5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December 31, 2017</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424,912</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2,053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(1,035)</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425,930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618,167</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9,894</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627,019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268,003</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(2,091)</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266,111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Government Agencies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233,268</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3,129</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(1,037)</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235,360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619,795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(10,403)</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609,812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Commercial - Government Agencies</w:t>
            </w:r>
          </w:p>
        </w:tc>
        <w:tc>
          <w:tcPr>
            <w:tcW w:w="1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71,999</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(3,252)</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68,747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925,062</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3,549</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(14,692)</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913,919</w:t>
            </w:r>
          </w:p>
        </w:tc>
        <w:tc>
          <w:tcPr>
            <w:tcW w:w="0" w:type="dxa"/>
            <w:vAlign w:val="bottom"/>
          </w:tcPr>
          <w:p>
            <w:pPr>
              <w:spacing w:after="0"/>
              <w:rPr>
                <w:sz w:val="1"/>
                <w:szCs w:val="1"/>
                <w:color w:val="auto"/>
              </w:rPr>
            </w:pPr>
          </w:p>
        </w:tc>
      </w:tr>
      <w:tr>
        <w:trPr>
          <w:trHeight w:val="30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2,236,144</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15,695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(18,860)</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2,232,979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375,074</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(1,451)</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373,641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238,504</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9,125</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247,629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119,635</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(1,591)</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118,167</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Government Agencies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2,229,985</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9,975</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(37,047)</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2,202,913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763,312</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(11,255)</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752,968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Commercial - Government Agencies</w:t>
            </w:r>
          </w:p>
        </w:tc>
        <w:tc>
          <w:tcPr>
            <w:tcW w:w="1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201,660</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198,803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3,194,957</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11,683</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(51,956)</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3,154,684</w:t>
            </w:r>
          </w:p>
        </w:tc>
        <w:tc>
          <w:tcPr>
            <w:tcW w:w="0" w:type="dxa"/>
            <w:vAlign w:val="bottom"/>
          </w:tcPr>
          <w:p>
            <w:pPr>
              <w:spacing w:after="0"/>
              <w:rPr>
                <w:sz w:val="1"/>
                <w:szCs w:val="1"/>
                <w:color w:val="auto"/>
              </w:rPr>
            </w:pPr>
          </w:p>
        </w:tc>
      </w:tr>
      <w:tr>
        <w:trPr>
          <w:trHeight w:val="30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3,928,170</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20,949</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(54,998)</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3,894,121</w:t>
            </w:r>
          </w:p>
        </w:tc>
        <w:tc>
          <w:tcPr>
            <w:tcW w:w="0" w:type="dxa"/>
            <w:vAlign w:val="bottom"/>
          </w:tcPr>
          <w:p>
            <w:pPr>
              <w:spacing w:after="0"/>
              <w:rPr>
                <w:sz w:val="1"/>
                <w:szCs w:val="1"/>
                <w:color w:val="auto"/>
              </w:rPr>
            </w:pPr>
          </w:p>
        </w:tc>
      </w:tr>
      <w:tr>
        <w:trPr>
          <w:trHeight w:val="122"/>
        </w:trPr>
        <w:tc>
          <w:tcPr>
            <w:tcW w:w="5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December 31, 2016</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407,478</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2,531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(1,294)</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408,715</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662,231</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11,455</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(1,887)</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671,799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273,044</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(3,870)</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269,179</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Government Agencies</w:t>
            </w:r>
          </w:p>
        </w:tc>
        <w:tc>
          <w:tcPr>
            <w:tcW w:w="1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240,412</w:t>
            </w:r>
          </w:p>
        </w:tc>
        <w:tc>
          <w:tcPr>
            <w:tcW w:w="3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4,577</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243,844</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511,234</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(5,218)</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506,987</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ind w:left="420"/>
              <w:spacing w:after="0"/>
              <w:rPr>
                <w:sz w:val="20"/>
                <w:szCs w:val="20"/>
                <w:color w:val="auto"/>
              </w:rPr>
            </w:pPr>
            <w:r>
              <w:rPr>
                <w:rFonts w:ascii="Arial" w:cs="Arial" w:eastAsia="Arial" w:hAnsi="Arial"/>
                <w:sz w:val="14"/>
                <w:szCs w:val="14"/>
                <w:color w:val="auto"/>
              </w:rPr>
              <w:t>Commercial - Government Agencies</w:t>
            </w:r>
          </w:p>
        </w:tc>
        <w:tc>
          <w:tcPr>
            <w:tcW w:w="136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89,544</w:t>
            </w:r>
          </w:p>
        </w:tc>
        <w:tc>
          <w:tcPr>
            <w:tcW w:w="54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(4,027)</w:t>
            </w:r>
          </w:p>
        </w:tc>
        <w:tc>
          <w:tcPr>
            <w:tcW w:w="4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85,517</w:t>
            </w:r>
          </w:p>
        </w:tc>
      </w:tr>
      <w:tr>
        <w:trPr>
          <w:trHeight w:val="80"/>
        </w:trPr>
        <w:tc>
          <w:tcPr>
            <w:tcW w:w="51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8"/>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841,190</w:t>
            </w:r>
          </w:p>
        </w:tc>
        <w:tc>
          <w:tcPr>
            <w:tcW w:w="5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5,548</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(10,390)</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836,348</w:t>
            </w:r>
          </w:p>
        </w:tc>
      </w:tr>
      <w:tr>
        <w:trPr>
          <w:trHeight w:val="30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2,183,943</w:t>
            </w:r>
          </w:p>
        </w:tc>
        <w:tc>
          <w:tcPr>
            <w:tcW w:w="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19,539</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(17,441)</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2,186,041</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the U.S. Treasury and Government Agencies</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530,149</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1,562</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(771)</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530,940</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 and Political Subdivisions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242,295</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9,991</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252,286</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36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135,620</w:t>
            </w:r>
          </w:p>
        </w:tc>
        <w:tc>
          <w:tcPr>
            <w:tcW w:w="5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(1,528)</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134,508</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160" w:type="dxa"/>
            <w:vAlign w:val="bottom"/>
          </w:tcPr>
          <w:p>
            <w:pPr>
              <w:ind w:left="420"/>
              <w:spacing w:after="0"/>
              <w:rPr>
                <w:sz w:val="20"/>
                <w:szCs w:val="20"/>
                <w:color w:val="auto"/>
              </w:rPr>
            </w:pPr>
            <w:r>
              <w:rPr>
                <w:rFonts w:ascii="Arial" w:cs="Arial" w:eastAsia="Arial" w:hAnsi="Arial"/>
                <w:sz w:val="14"/>
                <w:szCs w:val="14"/>
                <w:color w:val="auto"/>
              </w:rPr>
              <w:t>Residential - Government Agencies</w:t>
            </w:r>
          </w:p>
        </w:tc>
        <w:tc>
          <w:tcPr>
            <w:tcW w:w="136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1,940,076</w:t>
            </w:r>
          </w:p>
        </w:tc>
        <w:tc>
          <w:tcPr>
            <w:tcW w:w="5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20,567</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(23,861)</w:t>
            </w: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1,936,782</w:t>
            </w:r>
          </w:p>
        </w:tc>
      </w:tr>
      <w:tr>
        <w:trPr>
          <w:trHeight w:val="276"/>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Residential - U.S. Government-Sponsored Enterprises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752,768</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(10,919)</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742,647</w:t>
            </w:r>
          </w:p>
        </w:tc>
      </w:tr>
      <w:tr>
        <w:trPr>
          <w:trHeight w:val="264"/>
        </w:trPr>
        <w:tc>
          <w:tcPr>
            <w:tcW w:w="51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Commercial - Government Agencies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232,089</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940</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230,364</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2,924,933</w:t>
            </w:r>
          </w:p>
        </w:tc>
        <w:tc>
          <w:tcPr>
            <w:tcW w:w="5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22,305</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(37,445)</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2,909,793</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3,832,997</w:t>
            </w:r>
          </w:p>
        </w:tc>
        <w:tc>
          <w:tcPr>
            <w:tcW w:w="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34,274</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(39,744)</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3,827,527</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December 31, 2018.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57,119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57,094</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613,577</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613,408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92,306</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94,126</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22,830</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23,536</w:t>
            </w:r>
          </w:p>
        </w:tc>
      </w:tr>
      <w:tr>
        <w:trPr>
          <w:trHeight w:val="231"/>
        </w:trPr>
        <w:tc>
          <w:tcPr>
            <w:tcW w:w="616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785,832</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788,164</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393,506</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391,429</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189,645</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190,442</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589,311</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578,527</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63,864</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59,380</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842,820</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828,349</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2,022,158</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2,007,942</w:t>
            </w:r>
          </w:p>
        </w:tc>
      </w:tr>
      <w:tr>
        <w:trPr>
          <w:trHeight w:val="73"/>
        </w:trPr>
        <w:tc>
          <w:tcPr>
            <w:tcW w:w="61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51"/>
        </w:trPr>
        <w:tc>
          <w:tcPr>
            <w:tcW w:w="616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164,868</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164,518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311,016</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312,837</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201,389</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203,010</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7,717</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8,113</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684,990</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688,478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1,861,874</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1,813,987</w:t>
            </w:r>
          </w:p>
        </w:tc>
      </w:tr>
      <w:tr>
        <w:trPr>
          <w:trHeight w:val="237"/>
        </w:trPr>
        <w:tc>
          <w:tcPr>
            <w:tcW w:w="616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5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758,835</w:t>
            </w:r>
          </w:p>
        </w:tc>
        <w:tc>
          <w:tcPr>
            <w:tcW w:w="4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740,166</w:t>
            </w:r>
          </w:p>
        </w:tc>
      </w:tr>
      <w:tr>
        <w:trPr>
          <w:trHeight w:val="33"/>
        </w:trPr>
        <w:tc>
          <w:tcPr>
            <w:tcW w:w="6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176,393</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171,363</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2,797,102</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2,725,516</w:t>
            </w:r>
          </w:p>
        </w:tc>
      </w:tr>
      <w:tr>
        <w:trPr>
          <w:trHeight w:val="33"/>
        </w:trPr>
        <w:tc>
          <w:tcPr>
            <w:tcW w:w="6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3,482,092</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3,413,994</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Investment securities with carrying values of $2.3 billion as of December 31, 2018, and $2.4 billion as of December 31, 2017 and 2016, were pledged to secure deposits of governmental entities and securities sold under agreements to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gains and losses from the sales of investment securities for the years ended December 31, 2018,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23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12,467</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11,180</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2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(3,938)</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(2,037)</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33"/>
        </w:trPr>
        <w:tc>
          <w:tcPr>
            <w:tcW w:w="5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23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(3,938)</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10,430</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10,203</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losses during the year ended December 31, 2018, 2017, and 2016 were due to fees paid to the counterparties of the Company’s prior Visa Class B share sale transactions which are expensed as incurred. In addition, losses during the year ended December 31, 2018 included $1.0 million related to a change in the Visa Class B conversion ratio.</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income tax expense related to the Company’s net realized gains (losses) on the sales of investment securities was $(1.0) million in 2018, $4.1 million in 2017 and $4.0 million in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securities in an unrealized loss position, segregated by continuous length of impairment,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200" w:type="dxa"/>
            <w:vAlign w:val="bottom"/>
          </w:tcPr>
          <w:p>
            <w:pPr>
              <w:spacing w:after="0"/>
              <w:rPr>
                <w:sz w:val="18"/>
                <w:szCs w:val="18"/>
                <w:color w:val="auto"/>
              </w:rPr>
            </w:pPr>
          </w:p>
        </w:tc>
        <w:tc>
          <w:tcPr>
            <w:tcW w:w="2300" w:type="dxa"/>
            <w:vAlign w:val="bottom"/>
            <w:gridSpan w:val="4"/>
          </w:tcPr>
          <w:p>
            <w:pPr>
              <w:ind w:left="260"/>
              <w:spacing w:after="0"/>
              <w:rPr>
                <w:sz w:val="20"/>
                <w:szCs w:val="20"/>
                <w:color w:val="auto"/>
              </w:rPr>
            </w:pPr>
            <w:r>
              <w:rPr>
                <w:rFonts w:ascii="Arial" w:cs="Arial" w:eastAsia="Arial" w:hAnsi="Arial"/>
                <w:sz w:val="16"/>
                <w:szCs w:val="16"/>
                <w:b w:val="1"/>
                <w:bCs w:val="1"/>
                <w:color w:val="auto"/>
              </w:rPr>
              <w:t>12 Months or Longer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88"/>
              </w:rPr>
              <w:t>Total</w:t>
            </w:r>
          </w:p>
        </w:tc>
        <w:tc>
          <w:tcPr>
            <w:tcW w:w="9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67"/>
              <w:spacing w:after="0"/>
              <w:rPr>
                <w:sz w:val="20"/>
                <w:szCs w:val="20"/>
                <w:color w:val="auto"/>
              </w:rPr>
            </w:pPr>
            <w:r>
              <w:rPr>
                <w:rFonts w:ascii="Arial" w:cs="Arial" w:eastAsia="Arial" w:hAnsi="Arial"/>
                <w:sz w:val="16"/>
                <w:szCs w:val="16"/>
                <w:b w:val="1"/>
                <w:bCs w:val="1"/>
                <w:color w:val="auto"/>
              </w:rPr>
              <w:t>Gross</w:t>
            </w: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Unrealized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Unrealized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67"/>
              <w:spacing w:after="0"/>
              <w:rPr>
                <w:sz w:val="20"/>
                <w:szCs w:val="20"/>
                <w:color w:val="auto"/>
              </w:rPr>
            </w:pPr>
            <w:r>
              <w:rPr>
                <w:rFonts w:ascii="Arial" w:cs="Arial" w:eastAsia="Arial" w:hAnsi="Arial"/>
                <w:sz w:val="16"/>
                <w:szCs w:val="16"/>
                <w:b w:val="1"/>
                <w:bCs w:val="1"/>
                <w:color w:val="auto"/>
                <w:w w:val="96"/>
              </w:rPr>
              <w:t>Unrealized</w:t>
            </w: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b w:val="1"/>
                <w:bCs w:val="1"/>
                <w:color w:val="auto"/>
              </w:rPr>
              <w:t>Losses</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Available-for-Sales: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157,058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173,763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330,821</w:t>
            </w:r>
          </w:p>
        </w:tc>
        <w:tc>
          <w:tcPr>
            <w:tcW w:w="4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Political Subdivisions</w:t>
            </w:r>
          </w:p>
        </w:tc>
        <w:tc>
          <w:tcPr>
            <w:tcW w:w="220" w:type="dxa"/>
            <w:vAlign w:val="bottom"/>
          </w:tcPr>
          <w:p>
            <w:pPr>
              <w:spacing w:after="0"/>
              <w:rPr>
                <w:sz w:val="16"/>
                <w:szCs w:val="16"/>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38,138</w:t>
            </w:r>
          </w:p>
        </w:tc>
        <w:tc>
          <w:tcPr>
            <w:tcW w:w="28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156,772</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194,910</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59,770</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163,371</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223,141</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6,299</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19,011</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25,310</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473,380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473,380</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(12,563)</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59,380</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59,380</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6,299</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551,771</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558,070</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(17,976)</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261,265</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(1,264)</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1,045,677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1,306,942</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(23,441)</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99,440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134,239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233,679</w:t>
            </w:r>
          </w:p>
        </w:tc>
        <w:tc>
          <w:tcPr>
            <w:tcW w:w="4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(1,093)</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95,511</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95,511</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12,974</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1,491,747</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1,504,721</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(51,773)</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617,000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617,000</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(20,259)</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19,217</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145,715</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(5,116)</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164,932</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32,191</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2,254,462</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(77,103)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2,286,653</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(77,209)</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131,631</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2,484,212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(79,714)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2,615,843</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(80,057)</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Available-for-Sales: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Government Agencies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103,842</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132,071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235,913</w:t>
            </w:r>
          </w:p>
        </w:tc>
        <w:tc>
          <w:tcPr>
            <w:tcW w:w="4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80"/>
              <w:spacing w:after="0"/>
              <w:rPr>
                <w:sz w:val="20"/>
                <w:szCs w:val="20"/>
                <w:color w:val="auto"/>
              </w:rPr>
            </w:pPr>
            <w:r>
              <w:rPr>
                <w:rFonts w:ascii="Arial" w:cs="Arial" w:eastAsia="Arial" w:hAnsi="Arial"/>
                <w:sz w:val="14"/>
                <w:szCs w:val="14"/>
                <w:color w:val="auto"/>
              </w:rPr>
              <w:t>and Political Subdivisions</w:t>
            </w:r>
          </w:p>
        </w:tc>
        <w:tc>
          <w:tcPr>
            <w:tcW w:w="220" w:type="dxa"/>
            <w:vAlign w:val="bottom"/>
          </w:tcPr>
          <w:p>
            <w:pPr>
              <w:spacing w:after="0"/>
              <w:rPr>
                <w:sz w:val="16"/>
                <w:szCs w:val="16"/>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172,343</w:t>
            </w:r>
          </w:p>
        </w:tc>
        <w:tc>
          <w:tcPr>
            <w:tcW w:w="28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734</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173,077</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(1,042)</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12,985</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192,927</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205,912</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11,035</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10,618</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21,653</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429,342</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(5,720)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150,887</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580,229</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(10,403)</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68,747</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68,747</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440,377</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(5,724)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230,252</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670,629</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(14,692)</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729,547</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(7,370)</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555,984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(11,490)</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1,285,531</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(18,860)</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57"/>
        </w:trPr>
        <w:tc>
          <w:tcPr>
            <w:tcW w:w="40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4000" w:type="dxa"/>
            <w:vAlign w:val="bottom"/>
          </w:tcPr>
          <w:p>
            <w:pPr>
              <w:ind w:left="40"/>
              <w:spacing w:after="0"/>
              <w:rPr>
                <w:sz w:val="20"/>
                <w:szCs w:val="20"/>
                <w:color w:val="auto"/>
              </w:rPr>
            </w:pPr>
            <w:r>
              <w:rPr>
                <w:rFonts w:ascii="Arial" w:cs="Arial" w:eastAsia="Arial" w:hAnsi="Arial"/>
                <w:sz w:val="14"/>
                <w:szCs w:val="14"/>
                <w:color w:val="auto"/>
              </w:rPr>
              <w:t>and Government Agencies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254,283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89,391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343,674</w:t>
            </w:r>
          </w:p>
        </w:tc>
        <w:tc>
          <w:tcPr>
            <w:tcW w:w="4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(1,451)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25,490</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58,869</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84,359</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1,030,472</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704,545</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1,735,017</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(37,047)</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20" w:type="dxa"/>
            <w:vAlign w:val="bottom"/>
          </w:tcPr>
          <w:p>
            <w:pPr>
              <w:spacing w:after="0"/>
              <w:rPr>
                <w:sz w:val="22"/>
                <w:szCs w:val="22"/>
                <w:color w:val="auto"/>
              </w:rPr>
            </w:pPr>
          </w:p>
        </w:tc>
        <w:tc>
          <w:tcPr>
            <w:tcW w:w="960" w:type="dxa"/>
            <w:vAlign w:val="bottom"/>
          </w:tcPr>
          <w:p>
            <w:pPr>
              <w:jc w:val="right"/>
              <w:ind w:right="67"/>
              <w:spacing w:after="0"/>
              <w:rPr>
                <w:sz w:val="20"/>
                <w:szCs w:val="20"/>
                <w:color w:val="auto"/>
              </w:rPr>
            </w:pPr>
            <w:r>
              <w:rPr>
                <w:rFonts w:ascii="Arial" w:cs="Arial" w:eastAsia="Arial" w:hAnsi="Arial"/>
                <w:sz w:val="14"/>
                <w:szCs w:val="14"/>
                <w:color w:val="auto"/>
              </w:rPr>
              <w:t>293,530</w:t>
            </w:r>
          </w:p>
        </w:tc>
        <w:tc>
          <w:tcPr>
            <w:tcW w:w="2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14"/>
                <w:szCs w:val="14"/>
                <w:color w:val="auto"/>
              </w:rPr>
              <w:t>(3,106)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339,232</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632,762</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(11,255)</w:t>
            </w:r>
          </w:p>
        </w:tc>
      </w:tr>
      <w:tr>
        <w:trPr>
          <w:trHeight w:val="27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497</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82,288</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82,785</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(3,654)</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1,324,499</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(15,373)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1,126,065</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2,450,564</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(51,956)</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1,604,272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(16,015)</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1,274,325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2,878,597</w:t>
            </w:r>
          </w:p>
        </w:tc>
        <w:tc>
          <w:tcPr>
            <w:tcW w:w="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(54,998)</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does not believe that the investment securities that were in an unrealized loss position as of December 31, 2018, which were comprised of 464 securities, represent an other-than-temporary impairment. Total gross unrealized losses were primarily attributable to changes in interest rates, relative to when the investment securities were purchased, and not due to the credit quality of the investment securities. As of December 31, 2018,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bases, which may be at maturity.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from taxable and non-taxable investment securities for the years ended December 31, 2018, 2017, and 2016 were as follows:</w:t>
      </w:r>
    </w:p>
    <w:p>
      <w:pPr>
        <w:spacing w:after="0" w:line="185"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2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115,947</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108,787</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100,541</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2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18,515</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19,725</w:t>
            </w: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20,438</w:t>
            </w:r>
          </w:p>
        </w:tc>
      </w:tr>
      <w:tr>
        <w:trPr>
          <w:trHeight w:val="33"/>
        </w:trPr>
        <w:tc>
          <w:tcPr>
            <w:tcW w:w="54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Interest Income from Investment Securities</w:t>
            </w:r>
          </w:p>
        </w:tc>
        <w:tc>
          <w:tcPr>
            <w:tcW w:w="2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134,462</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128,512</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120,979</w:t>
            </w:r>
          </w:p>
        </w:tc>
      </w:tr>
      <w:tr>
        <w:trPr>
          <w:trHeight w:val="20"/>
        </w:trPr>
        <w:tc>
          <w:tcPr>
            <w:tcW w:w="54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included in the Company’s investment securities portfolio were debt securities issued by political subdivisions within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Hawaii of $451.1 million, representing 56% of the total fair value of the Company’s municipal debt securities. Of the entire Hawaii municipal bond portfolio,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96% were credit-rated Aa2 or better by Moody’s while the remaining Hawaii municipal bonds were credit-rated A1 or better by at least one nationally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recognized statistical rating organization. Of the Company’s total Hawaii municipal bond holdings, 79% were general obligation issuances.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there were no other holdings of municipal debt securities that were issued by a single state or political subdivision which comprised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10% of the total fair value of the Company’s municipal debt securities.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2018 and 2017, the carrying value of the Company’s Federal Home Loan Bank of Des Moines (“FHLB Des Moines”) stock and Federal Reserve Bank stock was as follows:</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6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15,000</w:t>
            </w:r>
          </w:p>
        </w:tc>
        <w:tc>
          <w:tcPr>
            <w:tcW w:w="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6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20,858</w:t>
            </w:r>
          </w:p>
        </w:tc>
        <w:tc>
          <w:tcPr>
            <w:tcW w:w="5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20,645</w:t>
            </w:r>
          </w:p>
        </w:tc>
      </w:tr>
      <w:tr>
        <w:trPr>
          <w:trHeight w:val="33"/>
        </w:trPr>
        <w:tc>
          <w:tcPr>
            <w:tcW w:w="54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35,858</w:t>
            </w:r>
          </w:p>
        </w:tc>
        <w:tc>
          <w:tcPr>
            <w:tcW w:w="5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by recognizing temporary declines in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As of December 31, 2018, the conversion ratio was 1.6298. See Note 17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83,014 Class B shares (135,296 Class A equivalents) that the Company owns as of December 31, 2018 are carried at a zero cost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December 31, 2018 and 2017:</w:t>
      </w:r>
    </w:p>
    <w:p>
      <w:pPr>
        <w:spacing w:after="0" w:line="185"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37465</wp:posOffset>
            </wp:positionV>
            <wp:extent cx="1878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1,331,149</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2,302,356</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170,061</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5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176,226</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3,979,792</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5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3,673,796</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1,681,442</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658,133</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5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455,611</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5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6,468,982</w:t>
            </w:r>
          </w:p>
        </w:tc>
        <w:tc>
          <w:tcPr>
            <w:tcW w:w="5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5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10,448,774</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00" w:hanging="92"/>
        <w:spacing w:after="0"/>
        <w:tabs>
          <w:tab w:leader="none" w:pos="10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Comprised of other revolving credit, installment, and lease financing.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Total loans and leases were reported net of unearned income of $15.1 million and $20.2 million as of December 31, 2018 and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Commercial loans and residential mortgage loans of $1.0 billion were pledged to secure an undrawn FRB line of credit as of December 31, 2018 and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and 2017, residential mortgage loans of $2.9 billion, were pledged under a blanket pledge arrangement to secure FHLB advances.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Other Debt</w:t>
      </w:r>
      <w:r>
        <w:rPr>
          <w:rFonts w:ascii="Arial" w:cs="Arial" w:eastAsia="Arial" w:hAnsi="Arial"/>
          <w:sz w:val="18"/>
          <w:szCs w:val="18"/>
          <w:color w:val="auto"/>
        </w:rPr>
        <w:t xml:space="preserve"> for FHLB advances outstanding as of December 31, 2018 and 2017.</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$1.5 million, $4.9 million, and $11.8 million for the years ended December 31, 2018, 2017, and 2016, respectively. Net gains on sales of commercial loans were not material for the years ended December 31, 2018, 2017, and 2016.</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Substantially all of the Company’s lending activity is with customers located in Hawaii. A substantial portion of the Company’s real estate loans are secured by real estate in Hawaii.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8" w:name="page89"/>
    <w:bookmarkEnd w:id="88"/>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years ended December 31, 2018, 2017, and 2016. The following also presents by portfolio segment, the balance in the Allowance disaggregated on the basis of the Company’s impairment measurement method and the related recorded investment in loans and leases as of December 31, 2018, 2017, and 2016.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Consumer</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2018</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(23,059)</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(24,564)</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2,039</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8,447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10,486</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534</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(14,078)</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518</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12,907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13,425</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66,874</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39,819</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106,693</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66,652</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36,065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102,717</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66,874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39,819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106,693</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12,298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42,327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54,625</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3,967,494</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6,426,655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10,394,149</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3,979,792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6,468,982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2017</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65,680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38,593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(21,847)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(23,255)</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7,943</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9,428</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(13,904)</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(13,827)</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16,835</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16,900</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41,524</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107,346</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65,681</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37,749</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103,430</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65,822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20,216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41,002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61,218</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3,746,282</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5,989,447</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9,735,729</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3,766,498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6,030,449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2016</w:t>
            </w: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Balance at Beginning of Period</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60,714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42,166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102,880</w:t>
            </w:r>
          </w:p>
        </w:tc>
      </w:tr>
      <w:tr>
        <w:trPr>
          <w:trHeight w:val="237"/>
        </w:trPr>
        <w:tc>
          <w:tcPr>
            <w:tcW w:w="5880" w:type="dxa"/>
            <w:vAlign w:val="bottom"/>
          </w:tcPr>
          <w:p>
            <w:pPr>
              <w:ind w:left="720"/>
              <w:spacing w:after="0"/>
              <w:rPr>
                <w:sz w:val="20"/>
                <w:szCs w:val="20"/>
                <w:color w:val="auto"/>
              </w:rPr>
            </w:pPr>
            <w:r>
              <w:rPr>
                <w:rFonts w:ascii="Arial" w:cs="Arial" w:eastAsia="Arial" w:hAnsi="Arial"/>
                <w:sz w:val="16"/>
                <w:szCs w:val="16"/>
                <w:color w:val="auto"/>
              </w:rPr>
              <w:t>Loans and Leases Charged-Off</w:t>
            </w:r>
          </w:p>
        </w:tc>
        <w:tc>
          <w:tcPr>
            <w:tcW w:w="17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(17,644)</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(18,509)</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Recoveries on Loans and Leases Previously Charged-Off</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8,137</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7,015</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15,152</w:t>
            </w:r>
          </w:p>
        </w:tc>
      </w:tr>
      <w:tr>
        <w:trPr>
          <w:trHeight w:val="231"/>
        </w:trPr>
        <w:tc>
          <w:tcPr>
            <w:tcW w:w="5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Net Loans and Leases Recovered (Charged-Off)</w:t>
            </w:r>
          </w:p>
        </w:tc>
        <w:tc>
          <w:tcPr>
            <w:tcW w:w="1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7,272</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(10,629)</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(3,357)</w:t>
            </w: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Credit Losses</w:t>
            </w:r>
          </w:p>
        </w:tc>
        <w:tc>
          <w:tcPr>
            <w:tcW w:w="1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(2,306)</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7,056</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w:t>
            </w:r>
          </w:p>
        </w:tc>
      </w:tr>
      <w:tr>
        <w:trPr>
          <w:trHeight w:val="231"/>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65,680</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38,593</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104,273</w:t>
            </w:r>
          </w:p>
        </w:tc>
      </w:tr>
      <w:tr>
        <w:trPr>
          <w:trHeight w:val="73"/>
        </w:trPr>
        <w:tc>
          <w:tcPr>
            <w:tcW w:w="58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31"/>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Allowance for Loan and Lease Losses:</w:t>
            </w:r>
          </w:p>
        </w:tc>
        <w:tc>
          <w:tcPr>
            <w:tcW w:w="1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3,555</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65,635</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35,083</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100,718</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65,680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38,593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880" w:type="dxa"/>
            <w:vAlign w:val="bottom"/>
          </w:tcPr>
          <w:p>
            <w:pPr>
              <w:ind w:left="280"/>
              <w:spacing w:after="0"/>
              <w:rPr>
                <w:sz w:val="20"/>
                <w:szCs w:val="20"/>
                <w:color w:val="auto"/>
              </w:rPr>
            </w:pPr>
            <w:r>
              <w:rPr>
                <w:rFonts w:ascii="Arial" w:cs="Arial" w:eastAsia="Arial" w:hAnsi="Arial"/>
                <w:sz w:val="16"/>
                <w:szCs w:val="16"/>
                <w:b w:val="1"/>
                <w:bCs w:val="1"/>
                <w:color w:val="auto"/>
              </w:rPr>
              <w:t>Recorded Investment in Loans and Leases:</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Individually Evaluated for Impairment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21,572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39,126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60,698</w:t>
            </w: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Collectively Evaluated for Impairment</w:t>
            </w:r>
          </w:p>
        </w:tc>
        <w:tc>
          <w:tcPr>
            <w:tcW w:w="17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3,596,120</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5,292,967</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8,889,087</w:t>
            </w:r>
          </w:p>
        </w:tc>
      </w:tr>
      <w:tr>
        <w:trPr>
          <w:trHeight w:val="33"/>
        </w:trPr>
        <w:tc>
          <w:tcPr>
            <w:tcW w:w="5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64"/>
        </w:trPr>
        <w:tc>
          <w:tcPr>
            <w:tcW w:w="588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125" w:right="239" w:bottom="0" w:gutter="0" w:footer="0" w:header="0"/>
        </w:sectPr>
      </w:pPr>
    </w:p>
    <w:bookmarkStart w:id="89" w:name="page90"/>
    <w:bookmarkEnd w:id="89"/>
    <w:p>
      <w:pPr>
        <w:spacing w:after="0"/>
        <w:tabs>
          <w:tab w:leader="none" w:pos="6820" w:val="left"/>
          <w:tab w:leader="none" w:pos="7420" w:val="left"/>
          <w:tab w:leader="none" w:pos="8340" w:val="left"/>
          <w:tab w:leader="none" w:pos="8800" w:val="left"/>
          <w:tab w:leader="none" w:pos="9680" w:val="left"/>
          <w:tab w:leader="none" w:pos="1014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3,617,692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5,332,093</w:t>
        <w:tab/>
        <w:t>$</w:t>
      </w:r>
      <w:r>
        <w:rPr>
          <w:sz w:val="20"/>
          <w:szCs w:val="20"/>
          <w:color w:val="auto"/>
        </w:rPr>
        <w:tab/>
      </w:r>
      <w:r>
        <w:rPr>
          <w:rFonts w:ascii="Arial" w:cs="Arial" w:eastAsia="Arial" w:hAnsi="Arial"/>
          <w:sz w:val="14"/>
          <w:szCs w:val="14"/>
          <w:color w:val="auto"/>
        </w:rPr>
        <w:t>8,949,785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-109855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20"/>
          </w:cols>
          <w:pgMar w:left="740" w:top="130"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25" w:right="25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47" w:lineRule="exact"/>
        <w:rPr>
          <w:sz w:val="20"/>
          <w:szCs w:val="20"/>
          <w:color w:val="auto"/>
        </w:rPr>
      </w:pPr>
    </w:p>
    <w:p>
      <w:pPr>
        <w:sectPr>
          <w:pgSz w:w="11900" w:h="16838" w:orient="portrait"/>
          <w:cols w:equalWidth="0" w:num="2">
            <w:col w:w="1080" w:space="720"/>
            <w:col w:w="9600"/>
          </w:cols>
          <w:pgMar w:left="240" w:top="12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68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560" w:space="240"/>
            <w:col w:w="9600"/>
          </w:cols>
          <w:pgMar w:left="240" w:top="12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100" w:space="700"/>
            <w:col w:w="9600"/>
          </w:cols>
          <w:pgMar w:left="240" w:top="125"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December 31,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December 31, 2018</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4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Industrial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Construction</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Financing</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1,302,278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2,256,128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168,740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175,223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3,902,369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17,688</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30,468</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48,161</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11,183</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15,760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1,321</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29,262</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1,331,149</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2,302,356</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170,061</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176,226</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Residential</w:t>
            </w:r>
          </w:p>
        </w:tc>
        <w:tc>
          <w:tcPr>
            <w:tcW w:w="400" w:type="dxa"/>
            <w:vAlign w:val="bottom"/>
          </w:tcPr>
          <w:p>
            <w:pPr>
              <w:spacing w:after="0"/>
              <w:rPr>
                <w:sz w:val="24"/>
                <w:szCs w:val="24"/>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Home</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Automobile</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3,668,475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1,677,193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657,620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454,697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6,457,985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5,321</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4,249</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513</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10,997</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3,673,796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1,681,442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658,133</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455,611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6,468,982</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Total Recorded Investment in Loans and Leases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69"/>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December 31, 2017</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4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Industrial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Construction</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Financing</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1,234,738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2,046,745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198,926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180,522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3,660,931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15,394</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35,762</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51,173</w:t>
            </w: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29,215</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21,460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3,321</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54,394</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1,279,347</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2,103,967</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202,253</w:t>
            </w:r>
          </w:p>
        </w:tc>
        <w:tc>
          <w:tcPr>
            <w:tcW w:w="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180,931</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Residential</w:t>
            </w:r>
          </w:p>
        </w:tc>
        <w:tc>
          <w:tcPr>
            <w:tcW w:w="400" w:type="dxa"/>
            <w:vAlign w:val="bottom"/>
          </w:tcPr>
          <w:p>
            <w:pPr>
              <w:spacing w:after="0"/>
              <w:rPr>
                <w:sz w:val="24"/>
                <w:szCs w:val="24"/>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Home</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Mortgage</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Automobile</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3,457,531</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1,580,917</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527,587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449,008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6,015,043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9,242</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4,538</w:t>
            </w:r>
          </w:p>
        </w:tc>
        <w:tc>
          <w:tcPr>
            <w:tcW w:w="4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887</w:t>
            </w:r>
          </w:p>
        </w:tc>
        <w:tc>
          <w:tcPr>
            <w:tcW w:w="4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739</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15,406</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3,466,773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1,585,455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528,474</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449,747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6,030,449</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540" w:type="dxa"/>
            <w:vAlign w:val="bottom"/>
          </w:tcPr>
          <w:p>
            <w:pPr>
              <w:ind w:left="40"/>
              <w:spacing w:after="0"/>
              <w:rPr>
                <w:sz w:val="20"/>
                <w:szCs w:val="20"/>
                <w:color w:val="auto"/>
              </w:rPr>
            </w:pPr>
            <w:r>
              <w:rPr>
                <w:rFonts w:ascii="Arial" w:cs="Arial" w:eastAsia="Arial" w:hAnsi="Arial"/>
                <w:sz w:val="16"/>
                <w:szCs w:val="16"/>
                <w:color w:val="auto"/>
              </w:rPr>
              <w:t>Total Recorded Investment in Loans and Leases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3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an aging analysis of the Company’s loan and lease portfolio as of December 31, 2018 and 2017.</w:t>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60 - 89</w:t>
            </w:r>
          </w:p>
        </w:tc>
        <w:tc>
          <w:tcPr>
            <w:tcW w:w="2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3"/>
              </w:rPr>
              <w:t>Past Due</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4"/>
        </w:trPr>
        <w:tc>
          <w:tcPr>
            <w:tcW w:w="21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62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b w:val="1"/>
                <w:bCs w:val="1"/>
                <w:color w:val="auto"/>
              </w:rPr>
              <w:t>90 Days</w:t>
            </w:r>
          </w:p>
        </w:tc>
        <w:tc>
          <w:tcPr>
            <w:tcW w:w="260" w:type="dxa"/>
            <w:vAlign w:val="bottom"/>
          </w:tcPr>
          <w:p>
            <w:pPr>
              <w:spacing w:after="0"/>
              <w:rPr>
                <w:sz w:val="12"/>
                <w:szCs w:val="12"/>
                <w:color w:val="auto"/>
              </w:rPr>
            </w:pPr>
          </w:p>
        </w:tc>
        <w:tc>
          <w:tcPr>
            <w:tcW w:w="64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98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w w:val="90"/>
              </w:rPr>
              <w:t>Past Due and</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92"/>
              <w:spacing w:after="0" w:line="144" w:lineRule="exact"/>
              <w:rPr>
                <w:sz w:val="20"/>
                <w:szCs w:val="20"/>
                <w:color w:val="auto"/>
              </w:rPr>
            </w:pPr>
            <w:r>
              <w:rPr>
                <w:rFonts w:ascii="Arial" w:cs="Arial" w:eastAsia="Arial" w:hAnsi="Arial"/>
                <w:sz w:val="14"/>
                <w:szCs w:val="14"/>
                <w:b w:val="1"/>
                <w:bCs w:val="1"/>
                <w:color w:val="auto"/>
                <w:w w:val="96"/>
              </w:rPr>
              <w:t>Total Loans</w:t>
            </w:r>
          </w:p>
        </w:tc>
        <w:tc>
          <w:tcPr>
            <w:tcW w:w="26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3"/>
        </w:trPr>
        <w:tc>
          <w:tcPr>
            <w:tcW w:w="2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Past Due</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Past Due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or More</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Accrual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Non-Accrual</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and Leases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
              <w:spacing w:after="0" w:line="193" w:lineRule="exact"/>
              <w:rPr>
                <w:sz w:val="20"/>
                <w:szCs w:val="20"/>
                <w:color w:val="auto"/>
              </w:rPr>
            </w:pPr>
            <w:r>
              <w:rPr>
                <w:rFonts w:ascii="Arial" w:cs="Arial" w:eastAsia="Arial" w:hAnsi="Arial"/>
                <w:sz w:val="14"/>
                <w:szCs w:val="14"/>
                <w:b w:val="1"/>
                <w:bCs w:val="1"/>
                <w:color w:val="auto"/>
                <w:w w:val="93"/>
              </w:rPr>
              <w:t xml:space="preserve">are Current </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Commercial and Industrial</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3,653</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118</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542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4,323</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1,326,826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1,331,149</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Commercial Mortgage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561</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2,040</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2,601</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2,299,755</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2,302,356</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Construction</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170,061</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170,061</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Lease Financing</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176,226</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176,226</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Commercial</w:t>
            </w:r>
          </w:p>
        </w:tc>
        <w:tc>
          <w:tcPr>
            <w:tcW w:w="6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4,214</w:t>
            </w: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118</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2,582</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6,924</w:t>
            </w:r>
          </w:p>
        </w:tc>
        <w:tc>
          <w:tcPr>
            <w:tcW w:w="2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3,972,868</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3,979,792</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263"/>
        </w:trPr>
        <w:tc>
          <w:tcPr>
            <w:tcW w:w="2160" w:type="dxa"/>
            <w:vAlign w:val="bottom"/>
          </w:tcPr>
          <w:p>
            <w:pPr>
              <w:ind w:left="20"/>
              <w:spacing w:after="0"/>
              <w:rPr>
                <w:sz w:val="20"/>
                <w:szCs w:val="20"/>
                <w:color w:val="auto"/>
              </w:rPr>
            </w:pPr>
            <w:r>
              <w:rPr>
                <w:rFonts w:ascii="Arial" w:cs="Arial" w:eastAsia="Arial" w:hAnsi="Arial"/>
                <w:sz w:val="14"/>
                <w:szCs w:val="14"/>
                <w:color w:val="auto"/>
              </w:rPr>
              <w:t>Consumer</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Residential Mortgage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5,319</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638</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2,446</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5,321</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13,724</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3,660,072</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3,673,796</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Home Equity</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3,323</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1,581</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2,684</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3,671</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11,259</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1,670,183</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1,681,442</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Automobile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12,372</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2,240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513</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15,125</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643,008</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658,133</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1</w:t>
            </w:r>
          </w:p>
        </w:tc>
        <w:tc>
          <w:tcPr>
            <w:tcW w:w="6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2,913</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1,245</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914</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5,072</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450,539</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455,611</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Consumer</w:t>
            </w:r>
          </w:p>
        </w:tc>
        <w:tc>
          <w:tcPr>
            <w:tcW w:w="6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23,927</w:t>
            </w: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5,704</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6,557</w:t>
            </w: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8,992</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45,180</w:t>
            </w:r>
          </w:p>
        </w:tc>
        <w:tc>
          <w:tcPr>
            <w:tcW w:w="2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6,423,802</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6,468,982</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30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28,141</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5,822</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6,567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11,574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52,104</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6"/>
              </w:rPr>
              <w:t>10,396,670</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10,448,774</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Commercial and Industrial</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4,196</w:t>
            </w:r>
          </w:p>
        </w:tc>
        <w:tc>
          <w:tcPr>
            <w:tcW w:w="3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641</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448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5,285</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1,274,062</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1,279,347</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Commercial Mortgage</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187</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404</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1,398</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1,989</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2,101,978</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2,103,967</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Construction</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202,253</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202,253</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2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Lease Financing</w:t>
            </w:r>
          </w:p>
        </w:tc>
        <w:tc>
          <w:tcPr>
            <w:tcW w:w="6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180,931</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180,931</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Commercial</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4,383</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1,045</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1,846</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7,274</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3,759,224</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3,766,498</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w:t>
            </w:r>
          </w:p>
        </w:tc>
        <w:tc>
          <w:tcPr>
            <w:tcW w:w="6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7,815</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2,703</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9,243</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21,769</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3,445,004</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3,466,773</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Home Equity</w:t>
            </w: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2,532</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2,736</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1,624</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3,991</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10,883</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1,574,572</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1,585,455</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64"/>
        </w:trPr>
        <w:tc>
          <w:tcPr>
            <w:tcW w:w="2160" w:type="dxa"/>
            <w:vAlign w:val="bottom"/>
          </w:tcPr>
          <w:p>
            <w:pPr>
              <w:ind w:left="260"/>
              <w:spacing w:after="0"/>
              <w:rPr>
                <w:sz w:val="20"/>
                <w:szCs w:val="20"/>
                <w:color w:val="auto"/>
              </w:rPr>
            </w:pPr>
            <w:r>
              <w:rPr>
                <w:rFonts w:ascii="Arial" w:cs="Arial" w:eastAsia="Arial" w:hAnsi="Arial"/>
                <w:sz w:val="14"/>
                <w:szCs w:val="14"/>
                <w:color w:val="auto"/>
              </w:rPr>
              <w:t>Automobile</w:t>
            </w:r>
          </w:p>
        </w:tc>
        <w:tc>
          <w:tcPr>
            <w:tcW w:w="62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11,728</w:t>
            </w:r>
          </w:p>
        </w:tc>
        <w:tc>
          <w:tcPr>
            <w:tcW w:w="300" w:type="dxa"/>
            <w:vAlign w:val="bottom"/>
          </w:tcPr>
          <w:p>
            <w:pPr>
              <w:spacing w:after="0"/>
              <w:rPr>
                <w:sz w:val="22"/>
                <w:szCs w:val="22"/>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2,232</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886</w:t>
            </w:r>
          </w:p>
        </w:tc>
        <w:tc>
          <w:tcPr>
            <w:tcW w:w="26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14,846</w:t>
            </w:r>
          </w:p>
        </w:tc>
        <w:tc>
          <w:tcPr>
            <w:tcW w:w="28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513,628</w:t>
            </w:r>
          </w:p>
        </w:tc>
        <w:tc>
          <w:tcPr>
            <w:tcW w:w="28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528,474</w:t>
            </w:r>
          </w:p>
        </w:tc>
        <w:tc>
          <w:tcPr>
            <w:tcW w:w="2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1</w:t>
            </w:r>
          </w:p>
        </w:tc>
        <w:tc>
          <w:tcPr>
            <w:tcW w:w="6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3,007</w:t>
            </w:r>
          </w:p>
        </w:tc>
        <w:tc>
          <w:tcPr>
            <w:tcW w:w="3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1,639</w:t>
            </w:r>
          </w:p>
        </w:tc>
        <w:tc>
          <w:tcPr>
            <w:tcW w:w="2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1,934</w:t>
            </w:r>
          </w:p>
        </w:tc>
        <w:tc>
          <w:tcPr>
            <w:tcW w:w="2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6,580</w:t>
            </w:r>
          </w:p>
        </w:tc>
        <w:tc>
          <w:tcPr>
            <w:tcW w:w="2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443,167</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449,747</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Consumer</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25,082</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8,615</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7,147</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13,234</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54,078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5,976,371</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6,030,449</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29,465</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9,660</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7,147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15,080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61,352</w:t>
            </w:r>
          </w:p>
        </w:tc>
        <w:tc>
          <w:tcPr>
            <w:tcW w:w="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9,735,595</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9,796,947</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4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8" w:lineRule="exact"/>
        <w:rPr>
          <w:sz w:val="20"/>
          <w:szCs w:val="20"/>
          <w:color w:val="auto"/>
        </w:rPr>
      </w:pPr>
    </w:p>
    <w:p>
      <w:pPr>
        <w:ind w:left="80" w:hanging="72"/>
        <w:spacing w:after="0"/>
        <w:tabs>
          <w:tab w:leader="none" w:pos="80" w:val="left"/>
        </w:tabs>
        <w:numPr>
          <w:ilvl w:val="0"/>
          <w:numId w:val="45"/>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3" w:name="page94"/>
    <w:bookmarkEnd w:id="9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December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r>
      <w:tr>
        <w:trPr>
          <w:trHeight w:val="203"/>
        </w:trPr>
        <w:tc>
          <w:tcPr>
            <w:tcW w:w="5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4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Allowance for</w:t>
            </w:r>
          </w:p>
        </w:tc>
      </w:tr>
      <w:tr>
        <w:trPr>
          <w:trHeight w:val="237"/>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4,587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4,587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6,212</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1,321</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1,321</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8,620</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12,120</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8,620</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12,120</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240"/>
              <w:spacing w:after="0"/>
              <w:rPr>
                <w:sz w:val="20"/>
                <w:szCs w:val="20"/>
                <w:color w:val="auto"/>
              </w:rPr>
            </w:pPr>
            <w:r>
              <w:rPr>
                <w:rFonts w:ascii="Arial" w:cs="Arial" w:eastAsia="Arial" w:hAnsi="Arial"/>
                <w:sz w:val="16"/>
                <w:szCs w:val="16"/>
                <w:b w:val="1"/>
                <w:bCs w:val="1"/>
                <w:color w:val="auto"/>
              </w:rPr>
              <w:t>Impaired Loans with an Allowance Recorded:</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1,856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2,099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1,822</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1,822</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3,678</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3,921</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19,753</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23,635</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3,051</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3,359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3,359</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17,117</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17,117</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7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2,098</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2,098</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1"/>
        </w:trPr>
        <w:tc>
          <w:tcPr>
            <w:tcW w:w="570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42,327</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46,209</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3,754</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an Allowance Recorded</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46,005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50,130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0"/>
        </w:trPr>
        <w:tc>
          <w:tcPr>
            <w:tcW w:w="5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Impaired Loans:</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12,298</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16,041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42,327</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46,209</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54,625</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62,250</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3,976</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8,094</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15,747</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8,696</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12,196</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w:t>
            </w:r>
          </w:p>
        </w:tc>
        <w:tc>
          <w:tcPr>
            <w:tcW w:w="1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1,415</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18,205</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29,358</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18,205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29,358</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0"/>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Impaired Loans with an Allowance Recorded:</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811</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1,200</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2,011</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1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21,581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26,324</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1,965</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1,965</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1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14,811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14,811</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70"/>
        </w:trPr>
        <w:tc>
          <w:tcPr>
            <w:tcW w:w="5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7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2,645</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2,645</w:t>
            </w: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41,002</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45,745</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3,775</w:t>
            </w:r>
          </w:p>
        </w:tc>
      </w:tr>
      <w:tr>
        <w:trPr>
          <w:trHeight w:val="231"/>
        </w:trPr>
        <w:tc>
          <w:tcPr>
            <w:tcW w:w="570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Impaired Loans with an Allowance Recorded</w:t>
            </w: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43,013</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47,756</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3,916</w:t>
            </w:r>
          </w:p>
        </w:tc>
      </w:tr>
      <w:tr>
        <w:trPr>
          <w:trHeight w:val="73"/>
        </w:trPr>
        <w:tc>
          <w:tcPr>
            <w:tcW w:w="57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70"/>
        </w:trPr>
        <w:tc>
          <w:tcPr>
            <w:tcW w:w="57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6"/>
                <w:szCs w:val="16"/>
                <w:b w:val="1"/>
                <w:bCs w:val="1"/>
                <w:color w:val="auto"/>
              </w:rPr>
              <w:t>Impaired Loans:</w:t>
            </w: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20,216</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31,369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37"/>
        </w:trPr>
        <w:tc>
          <w:tcPr>
            <w:tcW w:w="570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6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41,002</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45,745</w:t>
            </w:r>
          </w:p>
        </w:tc>
        <w:tc>
          <w:tcPr>
            <w:tcW w:w="3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3,775</w:t>
            </w:r>
          </w:p>
        </w:tc>
      </w:tr>
      <w:tr>
        <w:trPr>
          <w:trHeight w:val="33"/>
        </w:trPr>
        <w:tc>
          <w:tcPr>
            <w:tcW w:w="5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57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bl>
    <w:p>
      <w:pPr>
        <w:sectPr>
          <w:pgSz w:w="11900" w:h="16900" w:orient="portrait"/>
          <w:cols w:equalWidth="0" w:num="1">
            <w:col w:w="11420"/>
          </w:cols>
          <w:pgMar w:left="240" w:top="125" w:right="239" w:bottom="0" w:gutter="0" w:footer="0" w:header="0"/>
        </w:sectPr>
      </w:pPr>
    </w:p>
    <w:bookmarkStart w:id="94" w:name="page95"/>
    <w:bookmarkEnd w:id="94"/>
    <w:p>
      <w:pPr>
        <w:ind w:left="272"/>
        <w:spacing w:after="0"/>
        <w:tabs>
          <w:tab w:leader="none" w:pos="7212" w:val="left"/>
          <w:tab w:leader="none" w:pos="7892" w:val="left"/>
          <w:tab w:leader="none" w:pos="8612" w:val="left"/>
          <w:tab w:leader="none" w:pos="9272" w:val="left"/>
          <w:tab w:leader="none" w:pos="9952" w:val="left"/>
          <w:tab w:leader="none" w:pos="10912" w:val="left"/>
        </w:tabs>
        <w:rPr>
          <w:sz w:val="20"/>
          <w:szCs w:val="20"/>
          <w:color w:val="auto"/>
        </w:rPr>
      </w:pPr>
      <w:r>
        <w:rPr>
          <w:rFonts w:ascii="Arial" w:cs="Arial" w:eastAsia="Arial" w:hAnsi="Arial"/>
          <w:sz w:val="16"/>
          <w:szCs w:val="16"/>
          <w:color w:val="auto"/>
        </w:rPr>
        <w:t>Total Impaired Loans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61,218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77,114</w:t>
        <w:tab/>
        <w:t>$</w:t>
      </w:r>
      <w:r>
        <w:rPr>
          <w:sz w:val="20"/>
          <w:szCs w:val="20"/>
          <w:color w:val="auto"/>
        </w:rPr>
        <w:tab/>
      </w:r>
      <w:r>
        <w:rPr>
          <w:rFonts w:ascii="Arial" w:cs="Arial" w:eastAsia="Arial" w:hAnsi="Arial"/>
          <w:sz w:val="15"/>
          <w:szCs w:val="15"/>
          <w:color w:val="auto"/>
        </w:rPr>
        <w:t>3,916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79" w:lineRule="exact"/>
        <w:rPr>
          <w:sz w:val="20"/>
          <w:szCs w:val="20"/>
          <w:color w:val="auto"/>
        </w:rPr>
      </w:pPr>
    </w:p>
    <w:p>
      <w:pPr>
        <w:ind w:left="72" w:hanging="72"/>
        <w:spacing w:after="0"/>
        <w:tabs>
          <w:tab w:leader="none" w:pos="72" w:val="left"/>
        </w:tabs>
        <w:numPr>
          <w:ilvl w:val="0"/>
          <w:numId w:val="46"/>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24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12"/>
          </w:cols>
          <w:pgMar w:left="248" w:top="130"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years ended December 31,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left="599"/>
              <w:spacing w:after="0"/>
              <w:rPr>
                <w:sz w:val="20"/>
                <w:szCs w:val="20"/>
                <w:color w:val="auto"/>
              </w:rPr>
            </w:pPr>
            <w:r>
              <w:rPr>
                <w:rFonts w:ascii="Arial" w:cs="Arial" w:eastAsia="Arial" w:hAnsi="Arial"/>
                <w:sz w:val="16"/>
                <w:szCs w:val="16"/>
                <w:b w:val="1"/>
                <w:bCs w:val="1"/>
                <w:color w:val="auto"/>
                <w:w w:val="90"/>
              </w:rPr>
              <w:t>Year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December 31, 2018</w:t>
            </w:r>
          </w:p>
        </w:tc>
        <w:tc>
          <w:tcPr>
            <w:tcW w:w="240" w:type="dxa"/>
            <w:vAlign w:val="bottom"/>
          </w:tcPr>
          <w:p>
            <w:pPr>
              <w:spacing w:after="0"/>
              <w:rPr>
                <w:sz w:val="18"/>
                <w:szCs w:val="18"/>
                <w:color w:val="auto"/>
              </w:rPr>
            </w:pPr>
          </w:p>
        </w:tc>
        <w:tc>
          <w:tcPr>
            <w:tcW w:w="23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Average</w:t>
            </w:r>
          </w:p>
        </w:tc>
        <w:tc>
          <w:tcPr>
            <w:tcW w:w="4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Interest</w:t>
            </w:r>
          </w:p>
        </w:tc>
        <w:tc>
          <w:tcPr>
            <w:tcW w:w="2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Average</w:t>
            </w:r>
          </w:p>
        </w:tc>
        <w:tc>
          <w:tcPr>
            <w:tcW w:w="32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Interest</w:t>
            </w: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4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Recorded</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Income</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Recognized</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Recognized</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6,342</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4,642</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9,251</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1,360</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1"/>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12,344</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19,525</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744</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 with No Related Allowance Recorded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12,344</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19,525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 with an Allowance Recorded: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623</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2,098</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31"/>
        </w:trPr>
        <w:tc>
          <w:tcPr>
            <w:tcW w:w="60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20,324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22,981</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r>
      <w:tr>
        <w:trPr>
          <w:trHeight w:val="237"/>
        </w:trPr>
        <w:tc>
          <w:tcPr>
            <w:tcW w:w="6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2,676</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1,707</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16,190</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12,235</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w:t>
            </w:r>
          </w:p>
        </w:tc>
      </w:tr>
      <w:tr>
        <w:trPr>
          <w:trHeight w:val="270"/>
        </w:trPr>
        <w:tc>
          <w:tcPr>
            <w:tcW w:w="60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2,624</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2,571</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41,814</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39,494</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Impaired Loans with an Allowance Recorded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43,912</w:t>
            </w:r>
          </w:p>
        </w:tc>
        <w:tc>
          <w:tcPr>
            <w:tcW w:w="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40,893</w:t>
            </w: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2,063</w:t>
            </w:r>
          </w:p>
        </w:tc>
      </w:tr>
      <w:tr>
        <w:trPr>
          <w:trHeight w:val="73"/>
        </w:trPr>
        <w:tc>
          <w:tcPr>
            <w:tcW w:w="6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Impaired Loans: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14,442</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20,924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41,814</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39,494</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1,967</w:t>
            </w:r>
          </w:p>
        </w:tc>
      </w:tr>
      <w:tr>
        <w:trPr>
          <w:trHeight w:val="33"/>
        </w:trPr>
        <w:tc>
          <w:tcPr>
            <w:tcW w:w="6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Impaired Loans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56,256</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60,418</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2,807</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and installment financing.</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 ended December 31, 2016, the average recorded investment in impaired loans was $62.1 million and the interest income recognized on impaired loans was $2.7 million. For the years ended December 31, 2018, 2017, and 2016, the amount of interest income recognized by the Company within the period that the loans were impaired were primarily related to loans modified in a troubled debt restructuring that were on accrual status. For the years ended December 31, 2018, 2017, and 2016, the amount of interest income recognized using a cash-basis method of accounting during the time within that period that the loans were impaired was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$54.0 million and $60.1 million as of December 31, 2018 and 2017, respectively. As of December 31, 2018, there were $0.2 million commitments to lend additional funds on loans modified in a TDR. As of December 31, 2017, there were $1.5 million commitments to lend additional funds on loans modified in a TDR.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loans modified in a TDR during the years ended December 31, 2018 and 2017.</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jc w:val="center"/>
        <w:ind w:left="2540"/>
        <w:spacing w:after="0"/>
        <w:rPr>
          <w:sz w:val="20"/>
          <w:szCs w:val="20"/>
          <w:color w:val="auto"/>
        </w:rPr>
      </w:pPr>
      <w:r>
        <w:rPr>
          <w:rFonts w:ascii="Arial" w:cs="Arial" w:eastAsia="Arial" w:hAnsi="Arial"/>
          <w:sz w:val="15"/>
          <w:szCs w:val="15"/>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40005</wp:posOffset>
            </wp:positionV>
            <wp:extent cx="2718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92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jc w:val="center"/>
        <w:ind w:right="920"/>
        <w:spacing w:after="0"/>
        <w:rPr>
          <w:sz w:val="20"/>
          <w:szCs w:val="20"/>
          <w:color w:val="auto"/>
        </w:rPr>
      </w:pPr>
      <w:r>
        <w:rPr>
          <w:rFonts w:ascii="Arial" w:cs="Arial" w:eastAsia="Arial" w:hAnsi="Arial"/>
          <w:sz w:val="15"/>
          <w:szCs w:val="15"/>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40005</wp:posOffset>
            </wp:positionV>
            <wp:extent cx="2632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500" w:space="720"/>
            <w:col w:w="32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340" w:type="dxa"/>
            <w:vAlign w:val="bottom"/>
          </w:tcPr>
          <w:p>
            <w:pPr>
              <w:jc w:val="right"/>
              <w:ind w:right="8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4"/>
                <w:szCs w:val="14"/>
                <w:color w:val="auto"/>
              </w:rPr>
            </w:pPr>
          </w:p>
        </w:tc>
        <w:tc>
          <w:tcPr>
            <w:tcW w:w="1400" w:type="dxa"/>
            <w:vAlign w:val="bottom"/>
          </w:tcPr>
          <w:p>
            <w:pPr>
              <w:jc w:val="right"/>
              <w:ind w:right="181"/>
              <w:spacing w:after="0"/>
              <w:rPr>
                <w:sz w:val="20"/>
                <w:szCs w:val="20"/>
                <w:color w:val="auto"/>
              </w:rPr>
            </w:pPr>
            <w:r>
              <w:rPr>
                <w:rFonts w:ascii="Arial" w:cs="Arial" w:eastAsia="Arial" w:hAnsi="Arial"/>
                <w:sz w:val="14"/>
                <w:szCs w:val="14"/>
                <w:b w:val="1"/>
                <w:bCs w:val="1"/>
                <w:color w:val="auto"/>
              </w:rPr>
              <w:t>Increase in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300" w:type="dxa"/>
            <w:vAlign w:val="bottom"/>
          </w:tcPr>
          <w:p>
            <w:pPr>
              <w:jc w:val="right"/>
              <w:ind w:right="8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Arial" w:cs="Arial" w:eastAsia="Arial" w:hAnsi="Arial"/>
                <w:sz w:val="14"/>
                <w:szCs w:val="14"/>
                <w:b w:val="1"/>
                <w:bCs w:val="1"/>
                <w:color w:val="auto"/>
              </w:rPr>
              <w:t>Increase in</w:t>
            </w:r>
          </w:p>
        </w:tc>
        <w:tc>
          <w:tcPr>
            <w:tcW w:w="0" w:type="dxa"/>
            <w:vAlign w:val="bottom"/>
          </w:tcPr>
          <w:p>
            <w:pPr>
              <w:spacing w:after="0"/>
              <w:rPr>
                <w:sz w:val="1"/>
                <w:szCs w:val="1"/>
                <w:color w:val="auto"/>
              </w:rPr>
            </w:pPr>
          </w:p>
        </w:tc>
      </w:tr>
      <w:tr>
        <w:trPr>
          <w:trHeight w:val="149"/>
        </w:trPr>
        <w:tc>
          <w:tcPr>
            <w:tcW w:w="26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2"/>
                <w:szCs w:val="12"/>
                <w:color w:val="auto"/>
              </w:rPr>
            </w:pPr>
          </w:p>
        </w:tc>
        <w:tc>
          <w:tcPr>
            <w:tcW w:w="1400" w:type="dxa"/>
            <w:vAlign w:val="bottom"/>
          </w:tcPr>
          <w:p>
            <w:pPr>
              <w:jc w:val="right"/>
              <w:ind w:right="181"/>
              <w:spacing w:after="0" w:line="149" w:lineRule="exact"/>
              <w:rPr>
                <w:sz w:val="20"/>
                <w:szCs w:val="20"/>
                <w:color w:val="auto"/>
              </w:rPr>
            </w:pPr>
            <w:r>
              <w:rPr>
                <w:rFonts w:ascii="Arial" w:cs="Arial" w:eastAsia="Arial" w:hAnsi="Arial"/>
                <w:sz w:val="14"/>
                <w:szCs w:val="14"/>
                <w:b w:val="1"/>
                <w:bCs w:val="1"/>
                <w:color w:val="auto"/>
              </w:rPr>
              <w:t>Allowance</w:t>
            </w: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12"/>
                <w:szCs w:val="12"/>
                <w:color w:val="auto"/>
              </w:rPr>
            </w:pPr>
          </w:p>
        </w:tc>
        <w:tc>
          <w:tcPr>
            <w:tcW w:w="12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 xml:space="preserve">(as of period end) </w:t>
            </w:r>
            <w:r>
              <w:rPr>
                <w:rFonts w:ascii="Arial" w:cs="Arial" w:eastAsia="Arial" w:hAnsi="Arial"/>
                <w:sz w:val="8"/>
                <w:szCs w:val="8"/>
                <w:b w:val="1"/>
                <w:bCs w:val="1"/>
                <w:color w:val="auto"/>
                <w:w w:val="95"/>
              </w:rPr>
              <w:t>1</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8"/>
              </w:rPr>
              <w:t>(as of period end)</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2"/>
              </w:rPr>
              <w:t xml:space="preserve">(as of period end) </w:t>
            </w:r>
            <w:r>
              <w:rPr>
                <w:rFonts w:ascii="Arial" w:cs="Arial" w:eastAsia="Arial" w:hAnsi="Arial"/>
                <w:sz w:val="8"/>
                <w:szCs w:val="8"/>
                <w:b w:val="1"/>
                <w:bCs w:val="1"/>
                <w:color w:val="auto"/>
                <w:w w:val="92"/>
              </w:rPr>
              <w:t>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1,449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96</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7,299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1,650</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74</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2,336</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1"/>
        </w:trPr>
        <w:tc>
          <w:tcPr>
            <w:tcW w:w="26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3,099</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170</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9,635</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1,458</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200</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368</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1,438</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77</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604</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26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366</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7,400</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128</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424</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8,623</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138</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927</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25</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171</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1,395</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1"/>
        </w:trPr>
        <w:tc>
          <w:tcPr>
            <w:tcW w:w="26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519</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11,223</w:t>
            </w:r>
          </w:p>
        </w:tc>
        <w:tc>
          <w:tcPr>
            <w:tcW w:w="3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Arial" w:cs="Arial" w:eastAsia="Arial" w:hAnsi="Arial"/>
                <w:sz w:val="16"/>
                <w:szCs w:val="16"/>
                <w:color w:val="auto"/>
              </w:rPr>
              <w:t>430</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601</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10,990</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14,322</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600</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20,625</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
        </w:trPr>
        <w:tc>
          <w:tcPr>
            <w:tcW w:w="2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9"/>
          <w:szCs w:val="9"/>
          <w:color w:val="auto"/>
        </w:rPr>
      </w:pPr>
      <w:r>
        <w:rPr>
          <w:rFonts w:ascii="Arial" w:cs="Arial" w:eastAsia="Arial" w:hAnsi="Arial"/>
          <w:sz w:val="14"/>
          <w:szCs w:val="14"/>
          <w:color w:val="auto"/>
        </w:rPr>
        <w:t>The period end balances reflect all partial paydowns and charge-offs since the modification date. TDRs fully paid off, charged off, or foreclosed upon by period end are not included.</w:t>
      </w:r>
    </w:p>
    <w:p>
      <w:pPr>
        <w:spacing w:after="0" w:line="190"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presents by class, loans modified in a TDR that defaulted during the year ended December 31, 2018 and 2017, and within twelve months of their modification date. A TDR is considered to be in default once it becomes 60 days or more past due following a modification.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560" w:type="dxa"/>
            <w:vAlign w:val="bottom"/>
            <w:gridSpan w:val="4"/>
          </w:tcPr>
          <w:p>
            <w:pPr>
              <w:ind w:left="540"/>
              <w:spacing w:after="0"/>
              <w:rPr>
                <w:sz w:val="20"/>
                <w:szCs w:val="20"/>
                <w:color w:val="auto"/>
              </w:rPr>
            </w:pPr>
            <w:r>
              <w:rPr>
                <w:rFonts w:ascii="Arial" w:cs="Arial" w:eastAsia="Arial" w:hAnsi="Arial"/>
                <w:sz w:val="16"/>
                <w:szCs w:val="16"/>
                <w:b w:val="1"/>
                <w:bCs w:val="1"/>
                <w:color w:val="auto"/>
              </w:rPr>
              <w:t>Year Ended December 31, 2018</w:t>
            </w:r>
          </w:p>
        </w:tc>
        <w:tc>
          <w:tcPr>
            <w:tcW w:w="3160" w:type="dxa"/>
            <w:vAlign w:val="bottom"/>
            <w:gridSpan w:val="3"/>
          </w:tcPr>
          <w:p>
            <w:pPr>
              <w:jc w:val="right"/>
              <w:ind w:right="401"/>
              <w:spacing w:after="0"/>
              <w:rPr>
                <w:sz w:val="20"/>
                <w:szCs w:val="20"/>
                <w:color w:val="auto"/>
              </w:rPr>
            </w:pPr>
            <w:r>
              <w:rPr>
                <w:rFonts w:ascii="Arial" w:cs="Arial" w:eastAsia="Arial" w:hAnsi="Arial"/>
                <w:sz w:val="16"/>
                <w:szCs w:val="16"/>
                <w:b w:val="1"/>
                <w:bCs w:val="1"/>
                <w:color w:val="auto"/>
              </w:rPr>
              <w:t>Year Ended December 31, 2017</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Recorded</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45"/>
        </w:trPr>
        <w:tc>
          <w:tcPr>
            <w:tcW w:w="47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2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2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7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Investment</w:t>
            </w:r>
          </w:p>
        </w:tc>
        <w:tc>
          <w:tcPr>
            <w:tcW w:w="12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xml:space="preserve">(as of period end) </w:t>
            </w:r>
            <w:r>
              <w:rPr>
                <w:rFonts w:ascii="Arial" w:cs="Arial" w:eastAsia="Arial" w:hAnsi="Arial"/>
                <w:sz w:val="8"/>
                <w:szCs w:val="8"/>
                <w:b w:val="1"/>
                <w:bCs w:val="1"/>
                <w:color w:val="auto"/>
              </w:rPr>
              <w:t>1</w:t>
            </w:r>
          </w:p>
        </w:tc>
        <w:tc>
          <w:tcPr>
            <w:tcW w:w="12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8"/>
              </w:rPr>
              <w:t xml:space="preserve">(as of period end)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12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28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color w:val="auto"/>
              </w:rPr>
              <w:t>1</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80"/>
              <w:spacing w:after="0"/>
              <w:rPr>
                <w:sz w:val="20"/>
                <w:szCs w:val="20"/>
                <w:color w:val="auto"/>
              </w:rPr>
            </w:pPr>
            <w:r>
              <w:rPr>
                <w:rFonts w:ascii="Arial" w:cs="Arial" w:eastAsia="Arial" w:hAnsi="Arial"/>
                <w:sz w:val="16"/>
                <w:szCs w:val="16"/>
                <w:color w:val="auto"/>
              </w:rPr>
              <w:t>2</w:t>
            </w:r>
          </w:p>
        </w:tc>
        <w:tc>
          <w:tcPr>
            <w:tcW w:w="5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2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38</w:t>
            </w:r>
          </w:p>
        </w:tc>
        <w:tc>
          <w:tcPr>
            <w:tcW w:w="5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680</w:t>
            </w:r>
          </w:p>
        </w:tc>
        <w:tc>
          <w:tcPr>
            <w:tcW w:w="34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28</w:t>
            </w:r>
          </w:p>
        </w:tc>
        <w:tc>
          <w:tcPr>
            <w:tcW w:w="5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2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34</w:t>
            </w:r>
          </w:p>
        </w:tc>
        <w:tc>
          <w:tcPr>
            <w:tcW w:w="5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194</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36</w:t>
            </w:r>
          </w:p>
        </w:tc>
        <w:tc>
          <w:tcPr>
            <w:tcW w:w="5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72</w:t>
            </w:r>
          </w:p>
        </w:tc>
        <w:tc>
          <w:tcPr>
            <w:tcW w:w="5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874</w:t>
            </w:r>
          </w:p>
        </w:tc>
        <w:tc>
          <w:tcPr>
            <w:tcW w:w="340" w:type="dxa"/>
            <w:vAlign w:val="bottom"/>
          </w:tcPr>
          <w:p>
            <w:pPr>
              <w:spacing w:after="0"/>
              <w:rPr>
                <w:sz w:val="20"/>
                <w:szCs w:val="20"/>
                <w:color w:val="auto"/>
              </w:rPr>
            </w:pPr>
          </w:p>
        </w:tc>
        <w:tc>
          <w:tcPr>
            <w:tcW w:w="1260" w:type="dxa"/>
            <w:vAlign w:val="bottom"/>
          </w:tcPr>
          <w:p>
            <w:pPr>
              <w:jc w:val="right"/>
              <w:ind w:right="280"/>
              <w:spacing w:after="0"/>
              <w:rPr>
                <w:sz w:val="20"/>
                <w:szCs w:val="20"/>
                <w:color w:val="auto"/>
              </w:rPr>
            </w:pPr>
            <w:r>
              <w:rPr>
                <w:rFonts w:ascii="Arial" w:cs="Arial" w:eastAsia="Arial" w:hAnsi="Arial"/>
                <w:sz w:val="16"/>
                <w:szCs w:val="16"/>
                <w:color w:val="auto"/>
              </w:rPr>
              <w:t>66</w:t>
            </w:r>
          </w:p>
        </w:tc>
        <w:tc>
          <w:tcPr>
            <w:tcW w:w="5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73</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877</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68</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00" w:hanging="92"/>
        <w:spacing w:after="0"/>
        <w:tabs>
          <w:tab w:leader="none" w:pos="100" w:val="left"/>
        </w:tabs>
        <w:numPr>
          <w:ilvl w:val="0"/>
          <w:numId w:val="49"/>
        </w:numPr>
        <w:rPr>
          <w:rFonts w:ascii="Arial" w:cs="Arial" w:eastAsia="Arial" w:hAnsi="Arial"/>
          <w:sz w:val="11"/>
          <w:szCs w:val="11"/>
          <w:color w:val="auto"/>
        </w:rPr>
      </w:pPr>
      <w:r>
        <w:rPr>
          <w:rFonts w:ascii="Arial" w:cs="Arial" w:eastAsia="Arial" w:hAnsi="Arial"/>
          <w:sz w:val="14"/>
          <w:szCs w:val="14"/>
          <w:color w:val="auto"/>
        </w:rPr>
        <w:t>The period end balances reflect all paydowns and charge-offs since the modification date. TDRs fully paid off, charged off, or foreclosed upon by period end are not included.</w:t>
      </w:r>
    </w:p>
    <w:p>
      <w:pPr>
        <w:spacing w:after="0" w:line="190"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$4.0 million as of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$2.9 billion as of December 31, 2018 and 2017, and $2.7 billion as of December 31, 2016. Substantially all of these loans were originated by the Company and sold to third parties on a non-recourse basis with servicing rights retained. These retained servicing rights are recorded as a servicing asset and are initially recorded at fair value (see Note 21 </w:t>
      </w:r>
      <w:r>
        <w:rPr>
          <w:rFonts w:ascii="Arial" w:cs="Arial" w:eastAsia="Arial" w:hAnsi="Arial"/>
          <w:sz w:val="18"/>
          <w:szCs w:val="18"/>
          <w:i w:val="1"/>
          <w:iCs w:val="1"/>
          <w:color w:val="auto"/>
        </w:rPr>
        <w:t>Fair Value of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for more information). Changes to the balance of mortgage servicing rights are recorded in mortgage banking income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$7.3 million, $7.1 million, and $6.9 million for the years ended December 31, 2018, 2017, and 2016,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2018, 2017, and 2016, the change in the fair value of the Company’s mortgage servicing rights accounted for under the fair value measurement method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1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1,454</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Changes in Fair Value:</w:t>
            </w:r>
          </w:p>
        </w:tc>
        <w:tc>
          <w:tcPr>
            <w:tcW w:w="2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Payoffs</w:t>
            </w:r>
          </w:p>
        </w:tc>
        <w:tc>
          <w:tcPr>
            <w:tcW w:w="2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31"/>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2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(164)</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(201)</w:t>
            </w: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w:t>
            </w:r>
          </w:p>
        </w:tc>
      </w:tr>
      <w:tr>
        <w:trPr>
          <w:trHeight w:val="33"/>
        </w:trPr>
        <w:tc>
          <w:tcPr>
            <w:tcW w:w="55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1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1,290</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years ended December 31, 2018, 2017, and 2016, the change in the carrying value of the Company’s mortgage servicing rights accounted for under the amortization method, net of valuation allowance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23,168</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22,008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21,032</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Servicing Rights that Resulted From Asset Transfers</w:t>
            </w:r>
          </w:p>
        </w:tc>
        <w:tc>
          <w:tcPr>
            <w:tcW w:w="222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2,470</w:t>
            </w:r>
          </w:p>
        </w:tc>
        <w:tc>
          <w:tcPr>
            <w:tcW w:w="54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3,976</w:t>
            </w: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3,847</w:t>
            </w: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2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(2,816)</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Valuation Allowance Recovery (Provision)</w:t>
            </w:r>
          </w:p>
        </w:tc>
        <w:tc>
          <w:tcPr>
            <w:tcW w:w="222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5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23,020</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23,168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22,008</w:t>
            </w: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2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Valuation Allowance Recovery (Provision)</w:t>
            </w:r>
          </w:p>
        </w:tc>
        <w:tc>
          <w:tcPr>
            <w:tcW w:w="2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1"/>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2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540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24"/>
        </w:trPr>
        <w:tc>
          <w:tcPr>
            <w:tcW w:w="54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Fair Value:</w:t>
            </w: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2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26,716</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25,148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24,804</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2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29,218</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26,716</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25,148</w:t>
            </w:r>
          </w:p>
        </w:tc>
      </w:tr>
    </w:tbl>
    <w:p>
      <w:pPr>
        <w:spacing w:after="0" w:line="2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December 31, 2018 and 2017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19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8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1"/>
        </w:trPr>
        <w:tc>
          <w:tcPr>
            <w:tcW w:w="8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r>
      <w:tr>
        <w:trPr>
          <w:trHeight w:val="33"/>
        </w:trPr>
        <w:tc>
          <w:tcPr>
            <w:tcW w:w="8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8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1160" w:type="dxa"/>
            <w:vAlign w:val="bottom"/>
          </w:tcPr>
          <w:p>
            <w:pPr>
              <w:jc w:val="right"/>
              <w:spacing w:after="0"/>
              <w:rPr>
                <w:sz w:val="20"/>
                <w:szCs w:val="20"/>
                <w:color w:val="auto"/>
              </w:rPr>
            </w:pPr>
            <w:r>
              <w:rPr>
                <w:rFonts w:ascii="Arial" w:cs="Arial" w:eastAsia="Arial" w:hAnsi="Arial"/>
                <w:sz w:val="16"/>
                <w:szCs w:val="16"/>
                <w:color w:val="auto"/>
              </w:rPr>
              <w:t>7.89</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7.09</w:t>
            </w:r>
          </w:p>
        </w:tc>
        <w:tc>
          <w:tcPr>
            <w:tcW w:w="20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8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6"/>
                <w:szCs w:val="16"/>
                <w:color w:val="auto"/>
              </w:rPr>
              <w:t>9.59</w:t>
            </w:r>
          </w:p>
        </w:tc>
        <w:tc>
          <w:tcPr>
            <w:tcW w:w="820" w:type="dxa"/>
            <w:vAlign w:val="bottom"/>
          </w:tcPr>
          <w:p>
            <w:pPr>
              <w:jc w:val="right"/>
              <w:ind w:right="579"/>
              <w:spacing w:after="0"/>
              <w:rPr>
                <w:sz w:val="20"/>
                <w:szCs w:val="20"/>
                <w:color w:val="auto"/>
              </w:rPr>
            </w:pPr>
            <w:r>
              <w:rPr>
                <w:rFonts w:ascii="Arial" w:cs="Arial" w:eastAsia="Arial" w:hAnsi="Arial"/>
                <w:sz w:val="16"/>
                <w:szCs w:val="16"/>
                <w:color w:val="auto"/>
                <w:w w:val="98"/>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8.87</w:t>
            </w:r>
          </w:p>
        </w:tc>
        <w:tc>
          <w:tcPr>
            <w:tcW w:w="20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ind w:left="180" w:hanging="172"/>
        <w:spacing w:after="0"/>
        <w:tabs>
          <w:tab w:leader="none" w:pos="180" w:val="left"/>
        </w:tabs>
        <w:numPr>
          <w:ilvl w:val="0"/>
          <w:numId w:val="51"/>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December 31, 2018 and 2017 is presented in the following table.</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280"/>
              <w:spacing w:after="0"/>
              <w:rPr>
                <w:sz w:val="20"/>
                <w:szCs w:val="20"/>
                <w:color w:val="auto"/>
              </w:rPr>
            </w:pPr>
            <w:r>
              <w:rPr>
                <w:rFonts w:ascii="Arial" w:cs="Arial" w:eastAsia="Arial" w:hAnsi="Arial"/>
                <w:sz w:val="16"/>
                <w:szCs w:val="16"/>
                <w:color w:val="auto"/>
              </w:rPr>
              <w:t>Decrease in fair value from 25 basis points (“bps”) adverse change</w:t>
            </w:r>
          </w:p>
        </w:tc>
        <w:tc>
          <w:tcPr>
            <w:tcW w:w="2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(361)</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6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fair value from 50 bps adverse change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(716)</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fair value from 25 bps adverse change</w:t>
            </w:r>
          </w:p>
        </w:tc>
        <w:tc>
          <w:tcPr>
            <w:tcW w:w="2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37"/>
        </w:trPr>
        <w:tc>
          <w:tcPr>
            <w:tcW w:w="6660" w:type="dxa"/>
            <w:vAlign w:val="bottom"/>
          </w:tcPr>
          <w:p>
            <w:pPr>
              <w:ind w:left="280"/>
              <w:spacing w:after="0"/>
              <w:rPr>
                <w:sz w:val="20"/>
                <w:szCs w:val="20"/>
                <w:color w:val="auto"/>
              </w:rPr>
            </w:pPr>
            <w:r>
              <w:rPr>
                <w:rFonts w:ascii="Arial" w:cs="Arial" w:eastAsia="Arial" w:hAnsi="Arial"/>
                <w:sz w:val="16"/>
                <w:szCs w:val="16"/>
                <w:color w:val="auto"/>
              </w:rPr>
              <w:t>Decrease in fair value from 50 bps adverse change</w:t>
            </w:r>
          </w:p>
        </w:tc>
        <w:tc>
          <w:tcPr>
            <w:tcW w:w="250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(643)</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(572)</w:t>
            </w:r>
          </w:p>
        </w:tc>
      </w:tr>
    </w:tbl>
    <w:p>
      <w:pPr>
        <w:spacing w:after="0" w:line="23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Premises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premises and equipment as of December 31, 2018 and 2017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Depreciation and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Cost</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Net Book Value</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Premises</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339,441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(238,450)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100,991</w:t>
            </w:r>
          </w:p>
        </w:tc>
      </w:tr>
      <w:tr>
        <w:trPr>
          <w:trHeight w:val="33"/>
        </w:trPr>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120,165</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(71,767)</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48,398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0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6,593</w:t>
            </w:r>
          </w:p>
        </w:tc>
        <w:tc>
          <w:tcPr>
            <w:tcW w:w="3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(4,145)</w:t>
            </w:r>
          </w:p>
        </w:tc>
        <w:tc>
          <w:tcPr>
            <w:tcW w:w="3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2,448</w:t>
            </w:r>
          </w:p>
        </w:tc>
      </w:tr>
      <w:tr>
        <w:trPr>
          <w:trHeight w:val="33"/>
        </w:trPr>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466,199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(314,362)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Premises</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331,566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(243,069)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88,497</w:t>
            </w:r>
          </w:p>
        </w:tc>
      </w:tr>
      <w:tr>
        <w:trPr>
          <w:trHeight w:val="33"/>
        </w:trPr>
        <w:tc>
          <w:tcPr>
            <w:tcW w:w="4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3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130,228</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(90,319)</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39,909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0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6,593</w:t>
            </w:r>
          </w:p>
        </w:tc>
        <w:tc>
          <w:tcPr>
            <w:tcW w:w="3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(4,073)</w:t>
            </w:r>
          </w:p>
        </w:tc>
        <w:tc>
          <w:tcPr>
            <w:tcW w:w="3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2,520</w:t>
            </w:r>
          </w:p>
        </w:tc>
      </w:tr>
      <w:tr>
        <w:trPr>
          <w:trHeight w:val="33"/>
        </w:trPr>
        <w:tc>
          <w:tcPr>
            <w:tcW w:w="4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468,387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(337,461)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130,926</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(including capital lease amortization) included in noninterest expense was $14.4 million, $13.0 million, and $12.9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of the Company’s premises and equipment for the years ended December 31, 2018,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other assets as of December 31, 2018 and 2017 were as follows:</w:t>
      </w:r>
    </w:p>
    <w:p>
      <w:pPr>
        <w:spacing w:after="0" w:line="185"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7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35,858</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14,604</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10,518</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85,860</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87,632</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76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31,871</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29,230</w:t>
            </w:r>
          </w:p>
        </w:tc>
      </w:tr>
      <w:tr>
        <w:trPr>
          <w:trHeight w:val="33"/>
        </w:trPr>
        <w:tc>
          <w:tcPr>
            <w:tcW w:w="6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8,533</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7,944</w:t>
            </w:r>
          </w:p>
        </w:tc>
      </w:tr>
      <w:tr>
        <w:trPr>
          <w:trHeight w:val="270"/>
        </w:trPr>
        <w:tc>
          <w:tcPr>
            <w:tcW w:w="6300" w:type="dxa"/>
            <w:vAlign w:val="bottom"/>
          </w:tcPr>
          <w:p>
            <w:pPr>
              <w:ind w:left="40"/>
              <w:spacing w:after="0"/>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color w:val="auto"/>
                <w:vertAlign w:val="superscript"/>
              </w:rPr>
              <w:t>1</w:t>
            </w:r>
          </w:p>
        </w:tc>
        <w:tc>
          <w:tcPr>
            <w:tcW w:w="276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18,996</w:t>
            </w:r>
          </w:p>
        </w:tc>
        <w:tc>
          <w:tcPr>
            <w:tcW w:w="5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49,264</w:t>
            </w:r>
          </w:p>
        </w:tc>
      </w:tr>
      <w:tr>
        <w:trPr>
          <w:trHeight w:val="270"/>
        </w:trPr>
        <w:tc>
          <w:tcPr>
            <w:tcW w:w="6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7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35,160</w:t>
            </w:r>
          </w:p>
        </w:tc>
        <w:tc>
          <w:tcPr>
            <w:tcW w:w="5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27,363</w:t>
            </w:r>
          </w:p>
        </w:tc>
      </w:tr>
      <w:tr>
        <w:trPr>
          <w:trHeight w:val="231"/>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230,882</w:t>
            </w: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252,596</w:t>
            </w:r>
          </w:p>
        </w:tc>
      </w:tr>
      <w:tr>
        <w:trPr>
          <w:trHeight w:val="33"/>
        </w:trPr>
        <w:tc>
          <w:tcPr>
            <w:tcW w:w="6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9"/>
          <w:szCs w:val="9"/>
          <w:color w:val="auto"/>
        </w:rPr>
      </w:pPr>
      <w:r>
        <w:rPr>
          <w:rFonts w:ascii="Arial" w:cs="Arial" w:eastAsia="Arial" w:hAnsi="Arial"/>
          <w:sz w:val="14"/>
          <w:szCs w:val="14"/>
          <w:color w:val="auto"/>
        </w:rPr>
        <w:t>Certain prior period information has been reclassified to conform to current presentation.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2018 and 2017, the Company’s total time deposits were $1.7 billion. As of December 31, 2018, the contractual maturities of these time deposits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1,441,580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2020</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119,894</w:t>
            </w:r>
          </w:p>
        </w:tc>
      </w:tr>
      <w:tr>
        <w:trPr>
          <w:trHeight w:val="27"/>
        </w:trPr>
        <w:tc>
          <w:tcPr>
            <w:tcW w:w="5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115,528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2022</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32,881</w:t>
            </w:r>
          </w:p>
        </w:tc>
      </w:tr>
      <w:tr>
        <w:trPr>
          <w:trHeight w:val="27"/>
        </w:trPr>
        <w:tc>
          <w:tcPr>
            <w:tcW w:w="5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28,035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7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7,604</w:t>
            </w:r>
          </w:p>
        </w:tc>
      </w:tr>
      <w:tr>
        <w:trPr>
          <w:trHeight w:val="27"/>
        </w:trPr>
        <w:tc>
          <w:tcPr>
            <w:tcW w:w="574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1,745,522</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amount of time deposits with balances of $100,000 or more was $1.5 billion and $1.4 billion as of December 31, 2018 and 2017, respectively.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contractual maturities of these time deposits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or Less</w:t>
            </w:r>
          </w:p>
        </w:tc>
        <w:tc>
          <w:tcPr>
            <w:tcW w:w="4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756,146</w:t>
            </w:r>
          </w:p>
        </w:tc>
      </w:tr>
      <w:tr>
        <w:trPr>
          <w:trHeight w:val="224"/>
        </w:trPr>
        <w:tc>
          <w:tcPr>
            <w:tcW w:w="6480" w:type="dxa"/>
            <w:vAlign w:val="bottom"/>
          </w:tcPr>
          <w:p>
            <w:pPr>
              <w:ind w:left="40"/>
              <w:spacing w:after="0"/>
              <w:rPr>
                <w:sz w:val="20"/>
                <w:szCs w:val="20"/>
                <w:color w:val="auto"/>
              </w:rPr>
            </w:pPr>
            <w:r>
              <w:rPr>
                <w:rFonts w:ascii="Arial" w:cs="Arial" w:eastAsia="Arial" w:hAnsi="Arial"/>
                <w:sz w:val="16"/>
                <w:szCs w:val="16"/>
                <w:color w:val="auto"/>
              </w:rPr>
              <w:t>Over Three Months through Six Months</w:t>
            </w:r>
          </w:p>
        </w:tc>
        <w:tc>
          <w:tcPr>
            <w:tcW w:w="40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197,485</w:t>
            </w:r>
          </w:p>
        </w:tc>
      </w:tr>
      <w:tr>
        <w:trPr>
          <w:trHeight w:val="33"/>
        </w:trPr>
        <w:tc>
          <w:tcPr>
            <w:tcW w:w="6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Over Six Months through Twelve Months</w:t>
            </w:r>
          </w:p>
        </w:tc>
        <w:tc>
          <w:tcPr>
            <w:tcW w:w="40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352,539</w:t>
            </w:r>
          </w:p>
        </w:tc>
      </w:tr>
      <w:tr>
        <w:trPr>
          <w:trHeight w:val="224"/>
        </w:trPr>
        <w:tc>
          <w:tcPr>
            <w:tcW w:w="6480" w:type="dxa"/>
            <w:vAlign w:val="bottom"/>
          </w:tcPr>
          <w:p>
            <w:pPr>
              <w:ind w:left="40"/>
              <w:spacing w:after="0"/>
              <w:rPr>
                <w:sz w:val="20"/>
                <w:szCs w:val="20"/>
                <w:color w:val="auto"/>
              </w:rPr>
            </w:pPr>
            <w:r>
              <w:rPr>
                <w:rFonts w:ascii="Arial" w:cs="Arial" w:eastAsia="Arial" w:hAnsi="Arial"/>
                <w:sz w:val="16"/>
                <w:szCs w:val="16"/>
                <w:color w:val="auto"/>
              </w:rPr>
              <w:t>Over Twelve Months</w:t>
            </w:r>
          </w:p>
        </w:tc>
        <w:tc>
          <w:tcPr>
            <w:tcW w:w="40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191,839</w:t>
            </w:r>
          </w:p>
        </w:tc>
      </w:tr>
      <w:tr>
        <w:trPr>
          <w:trHeight w:val="33"/>
        </w:trPr>
        <w:tc>
          <w:tcPr>
            <w:tcW w:w="64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1,498,009</w:t>
            </w:r>
          </w:p>
        </w:tc>
      </w:tr>
      <w:tr>
        <w:trPr>
          <w:trHeight w:val="20"/>
        </w:trPr>
        <w:tc>
          <w:tcPr>
            <w:tcW w:w="648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Deposits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2018 and 2017, deposits of governmental entities of $1.1 billion and $1.3 billion, respectively, required collateralization by acceptable investment securities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Company’s short-term borrowings (original term of one year or less) as of December 31, 2018 and 2017 were as follows:</w:t>
      </w:r>
    </w:p>
    <w:p>
      <w:pPr>
        <w:spacing w:after="0" w:line="185"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37465</wp:posOffset>
            </wp:positionV>
            <wp:extent cx="19208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Securities Sold Under Agreements to Repurchase (short-term) </w:t>
            </w:r>
            <w:r>
              <w:rPr>
                <w:rFonts w:ascii="Arial" w:cs="Arial" w:eastAsia="Arial" w:hAnsi="Arial"/>
                <w:sz w:val="21"/>
                <w:szCs w:val="21"/>
                <w:b w:val="1"/>
                <w:bCs w:val="1"/>
                <w:color w:val="auto"/>
                <w:vertAlign w:val="superscript"/>
              </w:rPr>
              <w:t>1</w:t>
            </w:r>
          </w:p>
        </w:tc>
        <w:tc>
          <w:tcPr>
            <w:tcW w:w="2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Amounts Outstanding</w:t>
            </w:r>
          </w:p>
        </w:tc>
        <w:tc>
          <w:tcPr>
            <w:tcW w:w="2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4,196</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1,603</w:t>
            </w:r>
          </w:p>
        </w:tc>
      </w:tr>
      <w:tr>
        <w:trPr>
          <w:trHeight w:val="270"/>
        </w:trPr>
        <w:tc>
          <w:tcPr>
            <w:tcW w:w="6420" w:type="dxa"/>
            <w:vAlign w:val="bottom"/>
          </w:tcPr>
          <w:p>
            <w:pPr>
              <w:ind w:left="280"/>
              <w:spacing w:after="0"/>
              <w:rPr>
                <w:sz w:val="20"/>
                <w:szCs w:val="20"/>
                <w:color w:val="auto"/>
              </w:rPr>
            </w:pPr>
            <w:r>
              <w:rPr>
                <w:rFonts w:ascii="Arial" w:cs="Arial" w:eastAsia="Arial" w:hAnsi="Arial"/>
                <w:sz w:val="16"/>
                <w:szCs w:val="16"/>
                <w:color w:val="auto"/>
              </w:rPr>
              <w:t>Weighted-Average Interest Rate</w:t>
            </w:r>
          </w:p>
        </w:tc>
        <w:tc>
          <w:tcPr>
            <w:tcW w:w="246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6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80" w:right="340" w:hanging="72"/>
        <w:spacing w:after="0" w:line="273" w:lineRule="auto"/>
        <w:tabs>
          <w:tab w:leader="none" w:pos="80" w:val="left"/>
        </w:tabs>
        <w:numPr>
          <w:ilvl w:val="0"/>
          <w:numId w:val="54"/>
        </w:numPr>
        <w:rPr>
          <w:rFonts w:ascii="Arial" w:cs="Arial" w:eastAsia="Arial" w:hAnsi="Arial"/>
          <w:sz w:val="9"/>
          <w:szCs w:val="9"/>
          <w:color w:val="auto"/>
        </w:rPr>
      </w:pPr>
      <w:r>
        <w:rPr>
          <w:rFonts w:ascii="Arial" w:cs="Arial" w:eastAsia="Arial" w:hAnsi="Arial"/>
          <w:sz w:val="14"/>
          <w:szCs w:val="14"/>
          <w:color w:val="auto"/>
        </w:rPr>
        <w:t>Consists entirely of repurchase agreements with government entities. Excludes long-term repurchase agreements with government entities of $0.1 million and $3.7 million as of December 31, 2018, and 2017, respectively, and long-term repurchase agreements with private institutions of $500.0 million as of December 31, 2018 and 2017.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securities sold under agreements to repurchase were $504.3 million and $505.3 million as of December 31,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all of our repurchase agreements were at fixed interest rates.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long-term repurchase agreements (original term over one year) placed with government entities were $0.1 million with a weighted-average interest rate of 1.30% and a weighted-average maturity of 56 days.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2018, long-term repurchase agreements placed with private institutions were $500.0 million with a weighted-average interest rate of 3.64%. Remaining terms ranged from 2020 to 2022 with a weighted-average maturity of 2.6 years.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2.0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debt as of December 31, 2018 and 2017 were as follows:</w:t>
      </w:r>
    </w:p>
    <w:p>
      <w:pPr>
        <w:spacing w:after="0" w:line="16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34290</wp:posOffset>
            </wp:positionV>
            <wp:extent cx="17322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125,000</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10,643</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10,716</w:t>
            </w:r>
          </w:p>
        </w:tc>
      </w:tr>
      <w:tr>
        <w:trPr>
          <w:trHeight w:val="33"/>
        </w:trPr>
        <w:tc>
          <w:tcPr>
            <w:tcW w:w="55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135,643</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260,716</w:t>
            </w: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3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As a member of the FHLB, the Bank may borrow funds from the FHLB in amounts up to 45% of the Bank’s total assets, provided the Bank is able to pledge an adequate amount of qualified assets to secure the borrowings. As of December 31, 2018, FHLB advances totaled $125.0 million with a weighted-average interest rate of 1.93% and maturity dates ranging from 2019 to 2020. As of December 31, 2018, the Company had a remaining line of credit with the FHLB of $2.2 billion. See Note 4 </w:t>
      </w:r>
      <w:r>
        <w:rPr>
          <w:rFonts w:ascii="Arial" w:cs="Arial" w:eastAsia="Arial" w:hAnsi="Arial"/>
          <w:sz w:val="16"/>
          <w:szCs w:val="16"/>
          <w:i w:val="1"/>
          <w:iCs w:val="1"/>
          <w:color w:val="auto"/>
        </w:rPr>
        <w:t>Loans and Leases and the Allowance for Loan and Lease Losses</w:t>
      </w:r>
      <w:r>
        <w:rPr>
          <w:rFonts w:ascii="Arial" w:cs="Arial" w:eastAsia="Arial" w:hAnsi="Arial"/>
          <w:sz w:val="16"/>
          <w:szCs w:val="16"/>
          <w:color w:val="auto"/>
        </w:rPr>
        <w:t xml:space="preserve"> for loans pledged to the FHLB as of December 31, 2018 and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Capital lease obligations relate to office space at the Company’s headquarters. The lease began in 1993 and has a 60 year term. Lease payments are fixed at $0.8 million per year through December 2022 and are negotiable thereafter.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As of December 31, 2018, the Company had an undrawn line of credit with the FRB of $538.5 million. See Note 4 </w:t>
      </w:r>
      <w:r>
        <w:rPr>
          <w:rFonts w:ascii="Arial" w:cs="Arial" w:eastAsia="Arial" w:hAnsi="Arial"/>
          <w:sz w:val="18"/>
          <w:szCs w:val="18"/>
          <w:i w:val="1"/>
          <w:iCs w:val="1"/>
          <w:color w:val="auto"/>
        </w:rPr>
        <w:t>Loans and Leases and the Allowance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Loan and Lease Losses </w:t>
      </w:r>
      <w:r>
        <w:rPr>
          <w:rFonts w:ascii="Arial" w:cs="Arial" w:eastAsia="Arial" w:hAnsi="Arial"/>
          <w:sz w:val="18"/>
          <w:szCs w:val="18"/>
          <w:color w:val="auto"/>
        </w:rPr>
        <w:t>for loans pledged to the FRB as of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the annual maturities of the Company’s other debt, exclusive of capital lease obligations, were expected to be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Amount</w:t>
            </w:r>
          </w:p>
        </w:tc>
      </w:tr>
      <w:tr>
        <w:trPr>
          <w:trHeight w:val="23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50,000</w:t>
            </w: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2020</w:t>
            </w:r>
          </w:p>
        </w:tc>
        <w:tc>
          <w:tcPr>
            <w:tcW w:w="464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75,000</w:t>
            </w:r>
          </w:p>
        </w:tc>
      </w:tr>
      <w:tr>
        <w:trPr>
          <w:trHeight w:val="33"/>
        </w:trPr>
        <w:tc>
          <w:tcPr>
            <w:tcW w:w="5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2022</w:t>
            </w:r>
          </w:p>
        </w:tc>
        <w:tc>
          <w:tcPr>
            <w:tcW w:w="464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7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64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7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125,000</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4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minimum required capital amounts and ratios for well capitalized institutions and the actual capital amounts and ratios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Bank as of December 31, 2018 and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4040" w:type="dxa"/>
            <w:vAlign w:val="bottom"/>
          </w:tcPr>
          <w:p>
            <w:pPr>
              <w:jc w:val="right"/>
              <w:ind w:right="959"/>
              <w:spacing w:after="0"/>
              <w:rPr>
                <w:sz w:val="20"/>
                <w:szCs w:val="20"/>
                <w:color w:val="auto"/>
              </w:rPr>
            </w:pPr>
            <w:r>
              <w:rPr>
                <w:rFonts w:ascii="Arial" w:cs="Arial" w:eastAsia="Arial" w:hAnsi="Arial"/>
                <w:sz w:val="16"/>
                <w:szCs w:val="16"/>
                <w:b w:val="1"/>
                <w:bCs w:val="1"/>
                <w:color w:val="auto"/>
              </w:rPr>
              <w:t>Well Capitalized</w:t>
            </w: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Minimum Ratio</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Company</w:t>
            </w: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1,268,200</w:t>
            </w: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1,195,132</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1,290,723</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1,229,227</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Tier 1 Capital</w:t>
            </w:r>
          </w:p>
        </w:tc>
        <w:tc>
          <w:tcPr>
            <w:tcW w:w="40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1,290,723</w:t>
            </w:r>
          </w:p>
        </w:tc>
        <w:tc>
          <w:tcPr>
            <w:tcW w:w="6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1,229,227</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1,404,238</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1,342,742</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Common Equity Tier 1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13.07%</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12.46%</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8.0%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13.07%</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Total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14.21%</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5.0%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7.60%</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270"/>
        </w:trPr>
        <w:tc>
          <w:tcPr>
            <w:tcW w:w="430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1,231,868</w:t>
            </w: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1,161,037</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1,238,063</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1,178,804</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Tier 1 Capital</w:t>
            </w:r>
          </w:p>
        </w:tc>
        <w:tc>
          <w:tcPr>
            <w:tcW w:w="40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1,238,063</w:t>
            </w:r>
          </w:p>
        </w:tc>
        <w:tc>
          <w:tcPr>
            <w:tcW w:w="6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1,178,804</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w:t>
            </w:r>
          </w:p>
        </w:tc>
        <w:tc>
          <w:tcPr>
            <w:tcW w:w="4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1,352,231</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1,292,972</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Common Equity Tier 1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13.24%</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12.62%</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40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8.0%</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13.24%</w:t>
            </w:r>
          </w:p>
        </w:tc>
        <w:tc>
          <w:tcPr>
            <w:tcW w:w="6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Total Capital Ratio</w:t>
            </w:r>
          </w:p>
        </w:tc>
        <w:tc>
          <w:tcPr>
            <w:tcW w:w="4040" w:type="dxa"/>
            <w:vAlign w:val="bottom"/>
          </w:tcPr>
          <w:p>
            <w:pPr>
              <w:jc w:val="right"/>
              <w:ind w:right="779"/>
              <w:spacing w:after="0"/>
              <w:rPr>
                <w:sz w:val="20"/>
                <w:szCs w:val="20"/>
                <w:color w:val="auto"/>
              </w:rPr>
            </w:pPr>
            <w:r>
              <w:rPr>
                <w:rFonts w:ascii="Arial" w:cs="Arial" w:eastAsia="Arial" w:hAnsi="Arial"/>
                <w:sz w:val="16"/>
                <w:szCs w:val="16"/>
                <w:color w:val="auto"/>
              </w:rPr>
              <w:t>10.0%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14.46%</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13.85%</w:t>
            </w:r>
          </w:p>
        </w:tc>
      </w:tr>
      <w:tr>
        <w:trPr>
          <w:trHeight w:val="33"/>
        </w:trPr>
        <w:tc>
          <w:tcPr>
            <w:tcW w:w="4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4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5.0%</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7.26%</w:t>
            </w:r>
          </w:p>
        </w:tc>
        <w:tc>
          <w:tcPr>
            <w:tcW w:w="6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33"/>
        </w:trPr>
        <w:tc>
          <w:tcPr>
            <w:tcW w:w="430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regulators about the components of regulatory capital, risk weightings, and other factors.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Quantitative measures established by regulation to ensure capital adequacy require the Company and the Bank to maintain minimum amounts and ratios of Common Equity Tier 1, Tier 1 and Total Capital. Both Common Equity Tier 1 Capital and Tier 1 Capital are common shareholders’ equity, reduced by certain intangible assets, postretirement benefit liability adjustments, and unrealized gains and losses on investment securities. Total Capital is Tier 1 Capital plus an allowable amount of the reserve for credit losses. Risk-weighted assets are calculated by taking assets and credit equivalent amounts of off-balance-sheet items and assigning them to one of several broad risk categories. Four capital ratios are used to measure capital adequacy: Common Equity Tier 1 Capital divided by risk-weighted assets, as defined; Tier 1 Capital divided by risk-weighted assets; Total Capital divided by risk-weighted assets; and the Tier 1 Leverage ratio, which is Tier 1 Capital divided by quarterly adjusted average total assets.</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to the minimum risk-based capital requirements, all banks must hold additional capital, referred to as the capital conservation buffer (which is in the form of common equity) under the U.S. Basel III capital framework, to avoid being subject to limits on capital distributions and certain discretionary bonus payments to officers. When fully phased-in on January 1, 2019 the capital conservation buffer will be a minimum of 2.5% additional capital in addition to the minimum risk-based capital ratios. For 2018, the phase-in transition portion of that buffer was a minimum of 1.875%.</w:t>
      </w:r>
    </w:p>
    <w:p>
      <w:pPr>
        <w:spacing w:after="0" w:line="17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2018, the Company and the Bank were well capitalized as defined in the regulatory framework for prompt corrective action. The capital conservation buffer requirements do not currently result in any limitations on distributions or discretionary bonuses for the Company or the Bank. There were no conditions or events since December 31, 2018 that management believes have changed the Company or the Bank’s capital classifications.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Dividends paid by the Parent are substantially funded from dividends received from the Bank. The Bank is subject to federal and state regulatory restrictions that limit cash dividends and loans to the Parent. These restrictions generally require advanced approval from the Bank’s regulator for payment of dividends in excess of the sum of net income for the current calendar year and the retained net income of the prior two calendar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Parent has a common stock repurchase program in which shares repurchased are held in treasury stock for reissuance in connection with share-based compensation plans and for general corporate purposes. For the year ended December 31, 2018, the Parent repurchased 1,079,397 shares of common stock under its share repurchase program at an average cost per share of $81.80 and total cost of $88.3 million. From the beginning of the stock repurchase program in July 2001 through December 31, 2018, the Parent repurchased a total of 55.3 million shares of common stock at an average cost of $39.14 per share and total cost over $2.1 billion. From January 1, 2019 through February 15, 2019, the Parent repurchased an additional 298,500 shares of common stock at an average cost of $75.46 per share for a total of $22.5 million. The actual amount and timing of future share repurchases, if any, will depend on market conditions, applicable SEC rules and various other factors.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other comprehensive income (loss), net of tax: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Before Tax</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(11,051)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2,164</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569</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1,595</w:t>
            </w:r>
          </w:p>
        </w:tc>
      </w:tr>
      <w:tr>
        <w:trPr>
          <w:trHeight w:val="231"/>
        </w:trPr>
        <w:tc>
          <w:tcPr>
            <w:tcW w:w="7380" w:type="dxa"/>
            <w:vAlign w:val="bottom"/>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(8,887)</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(2,362)</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(6,525)</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(4,468)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(3,284)</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1,835</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(3,200)</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(12,087)</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(3,236)</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(8,851)</w:t>
            </w:r>
          </w:p>
        </w:tc>
      </w:tr>
      <w:tr>
        <w:trPr>
          <w:trHeight w:val="73"/>
        </w:trPr>
        <w:tc>
          <w:tcPr>
            <w:tcW w:w="7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56"/>
        </w:trPr>
        <w:tc>
          <w:tcPr>
            <w:tcW w:w="7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(5,263)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(2,078)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(3,185)</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73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1,982</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783</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1,199</w:t>
            </w:r>
          </w:p>
        </w:tc>
      </w:tr>
      <w:tr>
        <w:trPr>
          <w:trHeight w:val="244"/>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(3,281)</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1,382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545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837</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31"/>
        </w:trPr>
        <w:tc>
          <w:tcPr>
            <w:tcW w:w="73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767</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1,177</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(18,647)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(11,289)</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1,605</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634</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971</w:t>
            </w:r>
          </w:p>
        </w:tc>
      </w:tr>
      <w:tr>
        <w:trPr>
          <w:trHeight w:val="231"/>
        </w:trPr>
        <w:tc>
          <w:tcPr>
            <w:tcW w:w="7380" w:type="dxa"/>
            <w:vAlign w:val="bottom"/>
          </w:tcPr>
          <w:p>
            <w:pPr>
              <w:ind w:left="500"/>
              <w:spacing w:after="0"/>
              <w:rPr>
                <w:sz w:val="20"/>
                <w:szCs w:val="20"/>
                <w:color w:val="auto"/>
              </w:rPr>
            </w:pPr>
            <w:r>
              <w:rPr>
                <w:rFonts w:ascii="Arial" w:cs="Arial" w:eastAsia="Arial" w:hAnsi="Arial"/>
                <w:sz w:val="16"/>
                <w:szCs w:val="16"/>
                <w:color w:val="auto"/>
              </w:rPr>
              <w:t>Net Unrealized Gains (Losses) on Investment Securities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(17,042)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(6,724)</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(10,318)</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Actuarial Gains (Losses) Arising During the Period</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33"/>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(17,094)</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(6,745)</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(10,349)</w:t>
            </w:r>
          </w:p>
        </w:tc>
      </w:tr>
      <w:tr>
        <w:trPr>
          <w:trHeight w:val="33"/>
        </w:trPr>
        <w:tc>
          <w:tcPr>
            <w:tcW w:w="7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540" w:hanging="172"/>
        <w:spacing w:after="0" w:line="273"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2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Available-For-</w:t>
            </w:r>
          </w:p>
        </w:tc>
        <w:tc>
          <w:tcPr>
            <w:tcW w:w="2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Securities-Held-</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3"/>
              </w:rPr>
              <w:t>Defined Benefit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Sale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To-Maturities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Plans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(27,715)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(11,404)</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1,595</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958</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2,553</w:t>
            </w: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(8,851)</w:t>
            </w:r>
          </w:p>
        </w:tc>
      </w:tr>
      <w:tr>
        <w:trPr>
          <w:trHeight w:val="220"/>
        </w:trPr>
        <w:tc>
          <w:tcPr>
            <w:tcW w:w="5520" w:type="dxa"/>
            <w:vAlign w:val="bottom"/>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5520" w:type="dxa"/>
            <w:vAlign w:val="bottom"/>
          </w:tcPr>
          <w:p>
            <w:pPr>
              <w:ind w:left="240"/>
              <w:spacing w:after="0"/>
              <w:rPr>
                <w:sz w:val="20"/>
                <w:szCs w:val="20"/>
                <w:color w:val="auto"/>
              </w:rPr>
            </w:pPr>
            <w:r>
              <w:rPr>
                <w:rFonts w:ascii="Arial" w:cs="Arial" w:eastAsia="Arial" w:hAnsi="Arial"/>
                <w:sz w:val="16"/>
                <w:szCs w:val="16"/>
                <w:color w:val="auto"/>
              </w:rPr>
              <w:t>Tax Act from AOCI</w:t>
            </w:r>
          </w:p>
        </w:tc>
        <w:tc>
          <w:tcPr>
            <w:tcW w:w="28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(5,969)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(7,477)</w:t>
            </w:r>
          </w:p>
        </w:tc>
      </w:tr>
      <w:tr>
        <w:trPr>
          <w:trHeight w:val="33"/>
        </w:trPr>
        <w:tc>
          <w:tcPr>
            <w:tcW w:w="58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(36,010)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Period</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(28,892)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(33,906)</w:t>
            </w: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1,199</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1,841</w:t>
            </w:r>
          </w:p>
        </w:tc>
      </w:tr>
      <w:tr>
        <w:trPr>
          <w:trHeight w:val="33"/>
        </w:trPr>
        <w:tc>
          <w:tcPr>
            <w:tcW w:w="5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(3,185)</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1,199</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31"/>
        </w:trPr>
        <w:tc>
          <w:tcPr>
            <w:tcW w:w="5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(27,715)</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(34,715)</w:t>
            </w:r>
          </w:p>
        </w:tc>
      </w:tr>
      <w:tr>
        <w:trPr>
          <w:trHeight w:val="73"/>
        </w:trPr>
        <w:tc>
          <w:tcPr>
            <w:tcW w:w="55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4"/>
        </w:trPr>
        <w:tc>
          <w:tcPr>
            <w:tcW w:w="5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Period</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(28,861)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(23,557)</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2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(11,289)</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(11,866)</w:t>
            </w: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4"/>
              </w:rPr>
              <w:t>Amounts Reclassified from 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971</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w:t>
            </w:r>
          </w:p>
        </w:tc>
      </w:tr>
      <w:tr>
        <w:trPr>
          <w:trHeight w:val="231"/>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(11,289)</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971</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(10,349)</w:t>
            </w:r>
          </w:p>
        </w:tc>
      </w:tr>
      <w:tr>
        <w:trPr>
          <w:trHeight w:val="33"/>
        </w:trPr>
        <w:tc>
          <w:tcPr>
            <w:tcW w:w="58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(28,892)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(33,906)</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w w:val="99"/>
              </w:rPr>
              <w:t>Details about Accumulated Other Comprehensive Income (Loss)</w:t>
            </w:r>
          </w:p>
        </w:tc>
        <w:tc>
          <w:tcPr>
            <w:tcW w:w="480" w:type="dxa"/>
            <w:vAlign w:val="bottom"/>
          </w:tcPr>
          <w:p>
            <w:pPr>
              <w:spacing w:after="0"/>
              <w:rPr>
                <w:sz w:val="17"/>
                <w:szCs w:val="17"/>
                <w:color w:val="auto"/>
              </w:rPr>
            </w:pPr>
          </w:p>
        </w:tc>
        <w:tc>
          <w:tcPr>
            <w:tcW w:w="384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Amount Reclassified from Accumulated Other</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w w:val="95"/>
              </w:rPr>
              <w:t>Statement Where Net Income</w:t>
            </w:r>
          </w:p>
        </w:tc>
      </w:tr>
      <w:tr>
        <w:trPr>
          <w:trHeight w:val="24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Components</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w w:val="98"/>
              </w:rPr>
              <w:t>Comprehensive Income (Loss)</w:t>
            </w:r>
            <w:r>
              <w:rPr>
                <w:rFonts w:ascii="Arial" w:cs="Arial" w:eastAsia="Arial" w:hAnsi="Arial"/>
                <w:sz w:val="21"/>
                <w:szCs w:val="21"/>
                <w:b w:val="1"/>
                <w:bCs w:val="1"/>
                <w:color w:val="auto"/>
                <w:w w:val="98"/>
                <w:vertAlign w:val="superscript"/>
              </w:rPr>
              <w:t>1</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Is Presented</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2160" w:type="dxa"/>
            <w:vAlign w:val="bottom"/>
          </w:tcPr>
          <w:p>
            <w:pPr>
              <w:spacing w:after="0"/>
              <w:rPr>
                <w:sz w:val="22"/>
                <w:szCs w:val="22"/>
                <w:color w:val="auto"/>
              </w:rPr>
            </w:pP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2160" w:type="dxa"/>
            <w:vAlign w:val="bottom"/>
          </w:tcPr>
          <w:p>
            <w:pPr>
              <w:spacing w:after="0"/>
              <w:rPr>
                <w:sz w:val="20"/>
                <w:szCs w:val="20"/>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0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Unrealized Holding Gains (Losses) on</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9"/>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(2,164)</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r>
      <w:tr>
        <w:trPr>
          <w:trHeight w:val="237"/>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569</w:t>
            </w:r>
          </w:p>
        </w:tc>
        <w:tc>
          <w:tcPr>
            <w:tcW w:w="4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783</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2160" w:type="dxa"/>
            <w:vAlign w:val="bottom"/>
          </w:tcPr>
          <w:p>
            <w:pPr>
              <w:ind w:left="40"/>
              <w:spacing w:after="0"/>
              <w:rPr>
                <w:sz w:val="20"/>
                <w:szCs w:val="20"/>
                <w:color w:val="auto"/>
              </w:rPr>
            </w:pPr>
            <w:r>
              <w:rPr>
                <w:rFonts w:ascii="Arial" w:cs="Arial" w:eastAsia="Arial" w:hAnsi="Arial"/>
                <w:sz w:val="16"/>
                <w:szCs w:val="16"/>
                <w:color w:val="auto"/>
              </w:rPr>
              <w:t>Provision for Income Tax</w:t>
            </w: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w:t>
            </w:r>
          </w:p>
        </w:tc>
      </w:tr>
      <w:tr>
        <w:trPr>
          <w:trHeight w:val="243"/>
        </w:trPr>
        <w:tc>
          <w:tcPr>
            <w:tcW w:w="4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Defined Benefit Plans Items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70"/>
        </w:trPr>
        <w:tc>
          <w:tcPr>
            <w:tcW w:w="4900" w:type="dxa"/>
            <w:vAlign w:val="bottom"/>
          </w:tcPr>
          <w:p>
            <w:pPr>
              <w:ind w:left="10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21"/>
                <w:szCs w:val="21"/>
                <w:color w:val="auto"/>
                <w:vertAlign w:val="superscript"/>
              </w:rPr>
              <w:t>2</w:t>
            </w:r>
          </w:p>
        </w:tc>
        <w:tc>
          <w:tcPr>
            <w:tcW w:w="4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567</w:t>
            </w:r>
          </w:p>
        </w:tc>
        <w:tc>
          <w:tcPr>
            <w:tcW w:w="40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322</w:t>
            </w:r>
          </w:p>
        </w:tc>
        <w:tc>
          <w:tcPr>
            <w:tcW w:w="5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2160" w:type="dxa"/>
            <w:vAlign w:val="bottom"/>
          </w:tcPr>
          <w:p>
            <w:pPr>
              <w:spacing w:after="0"/>
              <w:rPr>
                <w:sz w:val="23"/>
                <w:szCs w:val="23"/>
                <w:color w:val="auto"/>
              </w:rPr>
            </w:pPr>
          </w:p>
        </w:tc>
      </w:tr>
      <w:tr>
        <w:trPr>
          <w:trHeight w:val="270"/>
        </w:trPr>
        <w:tc>
          <w:tcPr>
            <w:tcW w:w="4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21"/>
                <w:szCs w:val="21"/>
                <w:color w:val="auto"/>
                <w:vertAlign w:val="superscript"/>
              </w:rPr>
              <w:t>2</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(1,835)</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2160" w:type="dxa"/>
            <w:vAlign w:val="bottom"/>
            <w:shd w:val="clear" w:color="auto" w:fill="CCEEFF"/>
          </w:tcPr>
          <w:p>
            <w:pPr>
              <w:spacing w:after="0"/>
              <w:rPr>
                <w:sz w:val="23"/>
                <w:szCs w:val="23"/>
                <w:color w:val="auto"/>
              </w:rPr>
            </w:pPr>
          </w:p>
        </w:tc>
      </w:tr>
      <w:tr>
        <w:trPr>
          <w:trHeight w:val="231"/>
        </w:trPr>
        <w:tc>
          <w:tcPr>
            <w:tcW w:w="4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(1,268)</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(1,060)</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(902)</w:t>
            </w:r>
          </w:p>
        </w:tc>
        <w:tc>
          <w:tcPr>
            <w:tcW w:w="2160" w:type="dxa"/>
            <w:vAlign w:val="bottom"/>
          </w:tcPr>
          <w:p>
            <w:pPr>
              <w:ind w:left="40"/>
              <w:spacing w:after="0"/>
              <w:rPr>
                <w:sz w:val="20"/>
                <w:szCs w:val="20"/>
                <w:color w:val="auto"/>
              </w:rPr>
            </w:pPr>
            <w:r>
              <w:rPr>
                <w:rFonts w:ascii="Arial" w:cs="Arial" w:eastAsia="Arial" w:hAnsi="Arial"/>
                <w:sz w:val="16"/>
                <w:szCs w:val="16"/>
                <w:color w:val="auto"/>
              </w:rPr>
              <w:t>Total Before Tax</w:t>
            </w:r>
          </w:p>
        </w:tc>
      </w:tr>
      <w:tr>
        <w:trPr>
          <w:trHeight w:val="33"/>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418</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w:t>
            </w:r>
          </w:p>
        </w:tc>
      </w:tr>
      <w:tr>
        <w:trPr>
          <w:trHeight w:val="231"/>
        </w:trPr>
        <w:tc>
          <w:tcPr>
            <w:tcW w:w="49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(958)</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2160" w:type="dxa"/>
            <w:vAlign w:val="bottom"/>
          </w:tcPr>
          <w:p>
            <w:pPr>
              <w:ind w:left="40"/>
              <w:spacing w:after="0"/>
              <w:rPr>
                <w:sz w:val="20"/>
                <w:szCs w:val="20"/>
                <w:color w:val="auto"/>
              </w:rPr>
            </w:pPr>
            <w:r>
              <w:rPr>
                <w:rFonts w:ascii="Arial" w:cs="Arial" w:eastAsia="Arial" w:hAnsi="Arial"/>
                <w:sz w:val="16"/>
                <w:szCs w:val="16"/>
                <w:color w:val="auto"/>
              </w:rPr>
              <w:t>Net of Tax</w:t>
            </w:r>
          </w:p>
        </w:tc>
      </w:tr>
      <w:tr>
        <w:trPr>
          <w:trHeight w:val="33"/>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23"/>
        </w:trPr>
        <w:tc>
          <w:tcPr>
            <w:tcW w:w="4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51"/>
        </w:trPr>
        <w:tc>
          <w:tcPr>
            <w:tcW w:w="4900" w:type="dxa"/>
            <w:vAlign w:val="bottom"/>
          </w:tcPr>
          <w:p>
            <w:pPr>
              <w:ind w:left="20"/>
              <w:spacing w:after="0"/>
              <w:rPr>
                <w:sz w:val="20"/>
                <w:szCs w:val="20"/>
                <w:color w:val="auto"/>
              </w:rPr>
            </w:pPr>
            <w:r>
              <w:rPr>
                <w:rFonts w:ascii="Arial" w:cs="Arial" w:eastAsia="Arial" w:hAnsi="Arial"/>
                <w:sz w:val="16"/>
                <w:szCs w:val="16"/>
                <w:color w:val="auto"/>
              </w:rPr>
              <w:t>Total Reclassifications for the Period</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(2,553)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(1,841)</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(1,517)</w:t>
            </w:r>
          </w:p>
        </w:tc>
        <w:tc>
          <w:tcPr>
            <w:tcW w:w="2160" w:type="dxa"/>
            <w:vAlign w:val="bottom"/>
          </w:tcPr>
          <w:p>
            <w:pPr>
              <w:ind w:left="40"/>
              <w:spacing w:after="0"/>
              <w:rPr>
                <w:sz w:val="20"/>
                <w:szCs w:val="20"/>
                <w:color w:val="auto"/>
              </w:rPr>
            </w:pPr>
            <w:r>
              <w:rPr>
                <w:rFonts w:ascii="Arial" w:cs="Arial" w:eastAsia="Arial" w:hAnsi="Arial"/>
                <w:sz w:val="16"/>
                <w:szCs w:val="16"/>
                <w:color w:val="auto"/>
              </w:rPr>
              <w:t>Net of Tax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12700</wp:posOffset>
            </wp:positionV>
            <wp:extent cx="274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-98425</wp:posOffset>
            </wp:positionV>
            <wp:extent cx="274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180" w:right="40" w:hanging="172"/>
        <w:spacing w:after="0" w:line="255" w:lineRule="auto"/>
        <w:tabs>
          <w:tab w:leader="none" w:pos="180" w:val="left"/>
        </w:tabs>
        <w:numPr>
          <w:ilvl w:val="0"/>
          <w:numId w:val="57"/>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14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basic earnings per share. The following is a reconciliation of the weighted average number of common shares outstanding for computing diluted earnings per share and antidilutive stock options and restricted stock outstanding for the years ended December 31, 2018, 2017, and 2016: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60" w:type="dxa"/>
            <w:vAlign w:val="bottom"/>
          </w:tcPr>
          <w:p>
            <w:pPr>
              <w:jc w:val="right"/>
              <w:ind w:right="419"/>
              <w:spacing w:after="0"/>
              <w:rPr>
                <w:sz w:val="20"/>
                <w:szCs w:val="20"/>
                <w:color w:val="auto"/>
              </w:rPr>
            </w:pPr>
            <w:r>
              <w:rPr>
                <w:rFonts w:ascii="Arial" w:cs="Arial" w:eastAsia="Arial" w:hAnsi="Arial"/>
                <w:sz w:val="16"/>
                <w:szCs w:val="16"/>
                <w:b w:val="1"/>
                <w:bCs w:val="1"/>
                <w:color w:val="auto"/>
                <w:w w:val="98"/>
              </w:rPr>
              <w:t>Weighted Average Shares</w:t>
            </w:r>
          </w:p>
        </w:tc>
        <w:tc>
          <w:tcPr>
            <w:tcW w:w="13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33"/>
        </w:trPr>
        <w:tc>
          <w:tcPr>
            <w:tcW w:w="5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41,714,770</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42,280,931</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42,644,100</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284,629</w:t>
            </w:r>
          </w:p>
        </w:tc>
        <w:tc>
          <w:tcPr>
            <w:tcW w:w="2460" w:type="dxa"/>
            <w:vAlign w:val="bottom"/>
          </w:tcPr>
          <w:p>
            <w:pPr>
              <w:jc w:val="right"/>
              <w:ind w:right="599"/>
              <w:spacing w:after="0"/>
              <w:rPr>
                <w:sz w:val="20"/>
                <w:szCs w:val="20"/>
                <w:color w:val="auto"/>
              </w:rPr>
            </w:pPr>
            <w:r>
              <w:rPr>
                <w:rFonts w:ascii="Arial" w:cs="Arial" w:eastAsia="Arial" w:hAnsi="Arial"/>
                <w:sz w:val="16"/>
                <w:szCs w:val="16"/>
                <w:color w:val="auto"/>
              </w:rPr>
              <w:t>326,126</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235,683</w:t>
            </w:r>
          </w:p>
        </w:tc>
      </w:tr>
      <w:tr>
        <w:trPr>
          <w:trHeight w:val="33"/>
        </w:trPr>
        <w:tc>
          <w:tcPr>
            <w:tcW w:w="5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41,999,399</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42,607,057</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42,879,783</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32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retail insurance products. Products and services from Retail Banking are delivered to customers through 69 branch locations and 382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years ended December 31, 2018, 2017, and 2016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Retail</w:t>
            </w:r>
          </w:p>
        </w:tc>
        <w:tc>
          <w:tcPr>
            <w:tcW w:w="32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2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Services and</w:t>
            </w:r>
          </w:p>
        </w:tc>
        <w:tc>
          <w:tcPr>
            <w:tcW w:w="32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Treasury</w:t>
            </w:r>
          </w:p>
        </w:tc>
        <w:tc>
          <w:tcPr>
            <w:tcW w:w="2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r>
      <w:tr>
        <w:trPr>
          <w:trHeight w:val="237"/>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Banking</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Private Banking</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264,459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179,577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41,222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486,352</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14,898</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13,425</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249,561</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180,337</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41,283</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1,746</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472,927</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79,004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23,733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55,338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10,848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168,923</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(211,761)</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(81,344)</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(65,847)</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(12,672)</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(371,624)</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116,804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122,726</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30,774</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270,226</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(29,172)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(28,496)</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(8,113)</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15,157</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(50,624)</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87,632</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94,230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22,661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219,602</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Total Assets as of December 31, 2018</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6,365,263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3,958,523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349,832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6,470,356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17,143,974</w:t>
            </w:r>
          </w:p>
        </w:tc>
      </w:tr>
      <w:tr>
        <w:trPr>
          <w:trHeight w:val="73"/>
        </w:trPr>
        <w:tc>
          <w:tcPr>
            <w:tcW w:w="39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78"/>
        </w:trPr>
        <w:tc>
          <w:tcPr>
            <w:tcW w:w="39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264,041</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171,038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29,693</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457,238</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14,008</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3,073</w:t>
            </w:r>
          </w:p>
        </w:tc>
        <w:tc>
          <w:tcPr>
            <w:tcW w:w="2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16,900</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250,033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171,198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29,714</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440,338</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85,042</w:t>
            </w:r>
          </w:p>
        </w:tc>
        <w:tc>
          <w:tcPr>
            <w:tcW w:w="3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21,670</w:t>
            </w: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57,105</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21,600</w:t>
            </w:r>
          </w:p>
        </w:tc>
        <w:tc>
          <w:tcPr>
            <w:tcW w:w="2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185,417</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(209,807)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(74,209)</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(61,674)</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(12,001)</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(357,691)</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125,268</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118,659</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25,145</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(1,008)</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268,064</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(44,545)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(41,797)</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(9,303)</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12,253</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(83,392)</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80,723</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76,862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15,842</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11,245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184,672</w:t>
            </w:r>
          </w:p>
        </w:tc>
      </w:tr>
      <w:tr>
        <w:trPr>
          <w:trHeight w:val="73"/>
        </w:trPr>
        <w:tc>
          <w:tcPr>
            <w:tcW w:w="39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as of December 31, 2017</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5,936,568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3,742,991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336,455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7,073,038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17,089,052</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242,967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156,080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24,714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(6,182)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417,579</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10,700</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(7,322)</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1,395</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w:t>
            </w:r>
          </w:p>
        </w:tc>
      </w:tr>
      <w:tr>
        <w:trPr>
          <w:trHeight w:val="231"/>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232,267</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163,402</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24,737</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(7,577)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412,829</w:t>
            </w:r>
          </w:p>
        </w:tc>
      </w:tr>
      <w:tr>
        <w:trPr>
          <w:trHeight w:val="33"/>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91,824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26,967</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57,396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21,156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197,343</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(208,389)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(70,405)</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(59,782)</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(12,002)</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(350,578)</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115,702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119,964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22,351</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259,594</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(41,067)</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(42,667)</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(8,270)</w:t>
            </w:r>
          </w:p>
        </w:tc>
        <w:tc>
          <w:tcPr>
            <w:tcW w:w="32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13,871</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(78,133)</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74,635</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77,297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14,081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181,461</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Total Assets as of December 31, 2016</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5,342,078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3,565,912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280,410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7,303,967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16,492,367</w:t>
            </w:r>
          </w:p>
        </w:tc>
      </w:tr>
      <w:tr>
        <w:trPr>
          <w:trHeight w:val="33"/>
        </w:trPr>
        <w:tc>
          <w:tcPr>
            <w:tcW w:w="3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defined contribution plans, defined benefit plans, and a postretirement benefit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Bank of Hawaii Retirement Savings Plan (the “Savings Plan”) has three Company contribution components in addition to employee contributions: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 401(k) matching, as described below; 2) a 3% fixed amount based on eligible compensation; and 3) a discretionary value-sharing contribution.</w:t>
      </w:r>
    </w:p>
    <w:p>
      <w:pPr>
        <w:spacing w:after="0" w:line="2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401(k) matching component, participating employees may contribute up to 50% of their eligible compensation (within federal limits) to the Savings Plan. The Company makes matching contributions on behalf of participants equal to $1.25 for each $1.00 contributed by participants, up to 2% of the participants’ eligible compensation, and $0.50 for every $1.00 contributed by participants over 2%, up to 5% of the participants’ eligible compensation. A 3% fixed contribution and a discretionary value-sharing contribution, that is linked to the Company’s financial goals, are made regardless of whether the participating employee contributes to the Savings Plan and are invested in accordance with the participant’s selection of investment options available under the Savings Plan. The Company also has a non-qualified savings plan which covers certain employees with compensation exceeding Internal Revenue Service (“IRS”) limits on pay amounts in the allocation of the Savings Plan’s benefits. Total expense for all components of the Company’s defined contribution plans was $14.5 million, $13.5 million, and $12.8 million for the years ended December 31, 2018,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Company has two defined benefit plans (the “Pension Plans”). In 1995, the Company froze its non-contributory, qualified defined benefit retirement plan (the “Retirement Plan”) and the excess retirement plan (the “Excess Plan”), which covered employees of the Company and participating subsidiaries who met certain eligibility requirements. Beginning January 1, 2001, the Pension Plans no longer provided for compensation increases in the determination of benefits. The projected benefit obligation is equal to the accumulated benefit obligation due to the frozen status of the Pension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assets of the Retirement Plan primarily consist of equity and fixed income mutual funds.</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Excess Plan is a non-qualified excess retirement benefit plan which covers certain employees of the Company and participating subsidiaries with compensation exceeding IRS limits on pay amounts applicable to the Pension Plan’s benefit formula. The Excess Plan has no plan assets. The Excess Plan’s projected benefit obligation and accumulated benefit obligation were $3.6 million and $3.9 million as of December 31,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postretirement benefit plan provides retirees hired before January 1, 2012 with medical and dental insurance coverage. For eligible participants that retired before 2008 and met certain age requirements, the Company and retiree share in the cost of providing postretirement benefits where both the employer and retiree pay a portion of the insurance premiums. Eligible participants who retired before 2008 who did not meet certain age requirements continued on the Company’s benefit plans, but pay for their full insurance premiums. Participants who retired on or after January 1, 2008, who had medical or dental coverage under the Company’s plans immediately before retirement and meet certain age and years of service requirements as of December 31, 2008 are also eligible to participate in the Company’s benefit plans, but must pay for their full insurance premiums. Retirees age 65 and older are provided with a Medicare supplemental plan subsidy. Most employees of the Company who have met certain eligibility requirements are covered by this plan. Participants who retired on or after January 1, 2008 who met certain age and/or years of service requirements are eligible for the Health Reimbursement Account (“HRA”) program. The HRA program provides retirees with an initial credit based on years of service. Thereafter, an annual credit up to a maximum of $1,200 is provided into the HRA. The retiree may use the HRA for medical, vision, prescription drug and dental premiums, co-payments, and medically necessary health care expenses that are not covered by any medical or dental insurance program or flexible health spending account. The plan was amended to provide access-only coverage for employees hired on or after January 1, 2012, and lowered eligibility for access from age 55 to age 50. These retirees continue on the medical and dental plan until age 65 paying the full premium. As of December 31, 2018 and 2017, the Company had no segregated assets to provide for postretirement benefits.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The following table provides a reconciliation of changes in benefit obligation and fair value of plan assets, as well as the funded status recognized in the Company’s consolidated statements of condition for the Pension Plans and postretirement benefit plan for the years ended December 31, 2018 and 2017.</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Pension Benefits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Postretirement Benefits</w:t>
            </w:r>
          </w:p>
        </w:tc>
      </w:tr>
      <w:tr>
        <w:trPr>
          <w:trHeight w:val="3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 at Beginning of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110,080</w:t>
            </w:r>
          </w:p>
        </w:tc>
        <w:tc>
          <w:tcPr>
            <w:tcW w:w="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107,593</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24,206</w:t>
            </w:r>
          </w:p>
        </w:tc>
        <w:tc>
          <w:tcPr>
            <w:tcW w:w="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24,308</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380" w:type="dxa"/>
            <w:vAlign w:val="bottom"/>
          </w:tcPr>
          <w:p>
            <w:pPr>
              <w:spacing w:after="0"/>
              <w:rPr>
                <w:sz w:val="20"/>
                <w:szCs w:val="20"/>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457</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4,193</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4,665</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936</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w:t>
            </w:r>
          </w:p>
        </w:tc>
      </w:tr>
      <w:tr>
        <w:trPr>
          <w:trHeight w:val="270"/>
        </w:trPr>
        <w:tc>
          <w:tcPr>
            <w:tcW w:w="5260" w:type="dxa"/>
            <w:vAlign w:val="bottom"/>
          </w:tcPr>
          <w:p>
            <w:pPr>
              <w:ind w:left="180"/>
              <w:spacing w:after="0"/>
              <w:rPr>
                <w:sz w:val="20"/>
                <w:szCs w:val="20"/>
                <w:color w:val="auto"/>
              </w:rPr>
            </w:pPr>
            <w:r>
              <w:rPr>
                <w:rFonts w:ascii="Arial" w:cs="Arial" w:eastAsia="Arial" w:hAnsi="Arial"/>
                <w:sz w:val="16"/>
                <w:szCs w:val="16"/>
                <w:color w:val="auto"/>
              </w:rPr>
              <w:t xml:space="preserve">Plan Amendment </w:t>
            </w:r>
            <w:r>
              <w:rPr>
                <w:rFonts w:ascii="Arial" w:cs="Arial" w:eastAsia="Arial" w:hAnsi="Arial"/>
                <w:sz w:val="21"/>
                <w:szCs w:val="21"/>
                <w:color w:val="auto"/>
                <w:vertAlign w:val="superscript"/>
              </w:rPr>
              <w:t>3</w:t>
            </w:r>
          </w:p>
        </w:tc>
        <w:tc>
          <w:tcPr>
            <w:tcW w:w="380" w:type="dxa"/>
            <w:vAlign w:val="bottom"/>
          </w:tcPr>
          <w:p>
            <w:pPr>
              <w:spacing w:after="0"/>
              <w:rPr>
                <w:sz w:val="23"/>
                <w:szCs w:val="23"/>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3"/>
                <w:szCs w:val="23"/>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(2,730)</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(5,031)</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6,828</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(869)</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r>
      <w:tr>
        <w:trPr>
          <w:trHeight w:val="27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Employer Benefits Paid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(6,580)</w:t>
            </w:r>
          </w:p>
        </w:tc>
        <w:tc>
          <w:tcPr>
            <w:tcW w:w="7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(9,006)</w:t>
            </w:r>
          </w:p>
        </w:tc>
        <w:tc>
          <w:tcPr>
            <w:tcW w:w="4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(1,278)</w:t>
            </w:r>
          </w:p>
        </w:tc>
        <w:tc>
          <w:tcPr>
            <w:tcW w:w="5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102,662</w:t>
            </w:r>
          </w:p>
        </w:tc>
        <w:tc>
          <w:tcPr>
            <w:tcW w:w="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110,080</w:t>
            </w:r>
          </w:p>
        </w:tc>
        <w:tc>
          <w:tcPr>
            <w:tcW w:w="4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23,452</w:t>
            </w:r>
          </w:p>
        </w:tc>
        <w:tc>
          <w:tcPr>
            <w:tcW w:w="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24,206</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of Plan Assets at Beginning of Year</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96,908</w:t>
            </w:r>
          </w:p>
        </w:tc>
        <w:tc>
          <w:tcPr>
            <w:tcW w:w="7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83,383</w:t>
            </w:r>
          </w:p>
        </w:tc>
        <w:tc>
          <w:tcPr>
            <w:tcW w:w="4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(5,246)</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12,047</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Employer Contributions</w:t>
            </w:r>
          </w:p>
        </w:tc>
        <w:tc>
          <w:tcPr>
            <w:tcW w:w="380" w:type="dxa"/>
            <w:vAlign w:val="bottom"/>
          </w:tcPr>
          <w:p>
            <w:pPr>
              <w:spacing w:after="0"/>
              <w:rPr>
                <w:sz w:val="20"/>
                <w:szCs w:val="20"/>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471</w:t>
            </w:r>
          </w:p>
        </w:tc>
        <w:tc>
          <w:tcPr>
            <w:tcW w:w="7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10,484</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1,278</w:t>
            </w:r>
          </w:p>
        </w:tc>
        <w:tc>
          <w:tcPr>
            <w:tcW w:w="5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970</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 xml:space="preserve">Employer Benefits Paid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(6,580)</w:t>
            </w:r>
          </w:p>
        </w:tc>
        <w:tc>
          <w:tcPr>
            <w:tcW w:w="7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4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(1,278)</w:t>
            </w: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Plan Assets at End of Year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85,553</w:t>
            </w:r>
          </w:p>
        </w:tc>
        <w:tc>
          <w:tcPr>
            <w:tcW w:w="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96,908</w:t>
            </w:r>
          </w:p>
        </w:tc>
        <w:tc>
          <w:tcPr>
            <w:tcW w:w="4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Funded Status at End of Year </w:t>
            </w:r>
            <w:r>
              <w:rPr>
                <w:rFonts w:ascii="Arial" w:cs="Arial" w:eastAsia="Arial" w:hAnsi="Arial"/>
                <w:sz w:val="21"/>
                <w:szCs w:val="21"/>
                <w:b w:val="1"/>
                <w:bCs w:val="1"/>
                <w:color w:val="auto"/>
                <w:vertAlign w:val="superscript"/>
              </w:rPr>
              <w:t>2</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(17,109)</w:t>
            </w:r>
          </w:p>
        </w:tc>
        <w:tc>
          <w:tcPr>
            <w:tcW w:w="7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(13,172)</w:t>
            </w:r>
          </w:p>
        </w:tc>
        <w:tc>
          <w:tcPr>
            <w:tcW w:w="4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(23,452)</w:t>
            </w:r>
          </w:p>
        </w:tc>
        <w:tc>
          <w:tcPr>
            <w:tcW w:w="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(24,206)</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60" w:hanging="172"/>
        <w:spacing w:after="0" w:line="261" w:lineRule="auto"/>
        <w:tabs>
          <w:tab w:leader="none" w:pos="180" w:val="left"/>
        </w:tabs>
        <w:numPr>
          <w:ilvl w:val="0"/>
          <w:numId w:val="58"/>
        </w:numPr>
        <w:rPr>
          <w:rFonts w:ascii="Arial" w:cs="Arial" w:eastAsia="Arial" w:hAnsi="Arial"/>
          <w:sz w:val="9"/>
          <w:szCs w:val="9"/>
          <w:color w:val="auto"/>
        </w:rPr>
      </w:pPr>
      <w:r>
        <w:rPr>
          <w:rFonts w:ascii="Arial" w:cs="Arial" w:eastAsia="Arial" w:hAnsi="Arial"/>
          <w:sz w:val="14"/>
          <w:szCs w:val="14"/>
          <w:color w:val="auto"/>
        </w:rPr>
        <w:t>Participants' contributions relative to the postretirement benefit plan were offset against employer benefits paid in the table above. Participants' contributions for postretirement benefits were $0.6 million and $0.5 million for the years ended December 31, 2018 and 2017, respectively.</w:t>
      </w:r>
    </w:p>
    <w:p>
      <w:pPr>
        <w:spacing w:after="0" w:line="1"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9"/>
          <w:szCs w:val="9"/>
          <w:color w:val="auto"/>
        </w:rPr>
      </w:pPr>
      <w:r>
        <w:rPr>
          <w:rFonts w:ascii="Arial" w:cs="Arial" w:eastAsia="Arial" w:hAnsi="Arial"/>
          <w:sz w:val="14"/>
          <w:szCs w:val="14"/>
          <w:color w:val="auto"/>
        </w:rPr>
        <w:t>Amounts are recognized in Retirement Benefits Payable in the consolidated statements of condition.</w:t>
      </w:r>
    </w:p>
    <w:p>
      <w:pPr>
        <w:spacing w:after="0" w:line="28"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9"/>
          <w:szCs w:val="9"/>
          <w:color w:val="auto"/>
        </w:rPr>
      </w:pPr>
      <w:r>
        <w:rPr>
          <w:rFonts w:ascii="Arial" w:cs="Arial" w:eastAsia="Arial" w:hAnsi="Arial"/>
          <w:sz w:val="14"/>
          <w:szCs w:val="14"/>
          <w:color w:val="auto"/>
        </w:rPr>
        <w:t>For certain retirees, medical premiums were changed to a full retiree rate instead of a blended rate.</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changes in actuarial losses and (gains) related to the Company’s Pension and postretirement benefit Plans are mainly due to changes in discount rates for the years ended December 31, 2018 and 2017. For the year ended December 31, 2018, the change in discount rate resulted in a $5.4 million reduction to the Company’s Pension Plans liability and a $1.6 million reduction to the Company’s postretirement benefit plan liability. For the year ended December 31, 2017, the change in discount rate resulted in a $6.0 million increase to the Company’s Pension Plans liability and a $1.8 million increase to the Company’s postretirement benefit plan liability.</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presents the amounts recognized in the Company’s accumulated other comprehensive income for the Pension Plans and postretirement benefit plan as of December 31,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Pension Benefits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0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15"/>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Recognized in Accumulated Other</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 Net of Tax</w:t>
            </w: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Actuarial Gains (Losses)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(42,127)</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(32,730)</w:t>
            </w:r>
          </w:p>
        </w:tc>
        <w:tc>
          <w:tcPr>
            <w:tcW w:w="34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4,261</w:t>
            </w:r>
          </w:p>
        </w:tc>
        <w:tc>
          <w:tcPr>
            <w:tcW w:w="9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3,143</w:t>
            </w:r>
          </w:p>
        </w:tc>
      </w:tr>
      <w:tr>
        <w:trPr>
          <w:trHeight w:val="33"/>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1,856</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1,872</w:t>
            </w:r>
          </w:p>
        </w:tc>
      </w:tr>
      <w:tr>
        <w:trPr>
          <w:trHeight w:val="209"/>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Amounts Recognized in Accumulated Other</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 Net of Tax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(42,127)</w:t>
            </w:r>
          </w:p>
        </w:tc>
        <w:tc>
          <w:tcPr>
            <w:tcW w:w="6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(32,730)</w:t>
            </w:r>
          </w:p>
        </w:tc>
        <w:tc>
          <w:tcPr>
            <w:tcW w:w="3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6,117</w:t>
            </w:r>
          </w:p>
        </w:tc>
        <w:tc>
          <w:tcPr>
            <w:tcW w:w="9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5,015</w:t>
            </w:r>
          </w:p>
        </w:tc>
      </w:tr>
      <w:tr>
        <w:trPr>
          <w:trHeight w:val="33"/>
        </w:trPr>
        <w:tc>
          <w:tcPr>
            <w:tcW w:w="5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years ended December 31, 2018,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Pension Benefits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Postretirement Benefits</w:t>
            </w:r>
          </w:p>
        </w:tc>
        <w:tc>
          <w:tcPr>
            <w:tcW w:w="6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457</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453</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2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4,193</w:t>
            </w:r>
          </w:p>
        </w:tc>
        <w:tc>
          <w:tcPr>
            <w:tcW w:w="48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4,665</w:t>
            </w: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4,882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936</w:t>
            </w:r>
          </w:p>
        </w:tc>
        <w:tc>
          <w:tcPr>
            <w:tcW w:w="440" w:type="dxa"/>
            <w:vAlign w:val="bottom"/>
          </w:tcPr>
          <w:p>
            <w:pPr>
              <w:spacing w:after="0"/>
              <w:rPr>
                <w:sz w:val="20"/>
                <w:szCs w:val="20"/>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1,093</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1,134</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(5,122)</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(5,011)</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(567)</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(322)</w:t>
            </w: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70"/>
        </w:trPr>
        <w:tc>
          <w:tcPr>
            <w:tcW w:w="41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Net Actuarial Losses (Gains)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2,099</w:t>
            </w: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1,817</w:t>
            </w: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1,617</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(264)</w:t>
            </w: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(435)</w:t>
            </w:r>
          </w:p>
        </w:tc>
        <w:tc>
          <w:tcPr>
            <w:tcW w:w="4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1,170</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1,471</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562</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789</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9"/>
          <w:szCs w:val="9"/>
          <w:color w:val="auto"/>
        </w:rPr>
      </w:pPr>
      <w:r>
        <w:rPr>
          <w:rFonts w:ascii="Arial" w:cs="Arial" w:eastAsia="Arial" w:hAnsi="Arial"/>
          <w:sz w:val="14"/>
          <w:szCs w:val="14"/>
          <w:color w:val="auto"/>
        </w:rPr>
        <w:t>Represents reclassification adjustments from accumulated other comprehensive income during the period.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Assumptions used to determine the benefit obligations as of December 31, 2018 and 2017 for the Company’s Pension Plans and postretirement benefit plan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120" w:type="dxa"/>
            <w:vAlign w:val="bottom"/>
          </w:tcPr>
          <w:p>
            <w:pPr>
              <w:jc w:val="right"/>
              <w:ind w:right="79"/>
              <w:spacing w:after="0"/>
              <w:rPr>
                <w:sz w:val="20"/>
                <w:szCs w:val="20"/>
                <w:color w:val="auto"/>
              </w:rPr>
            </w:pPr>
            <w:r>
              <w:rPr>
                <w:rFonts w:ascii="Arial" w:cs="Arial" w:eastAsia="Arial" w:hAnsi="Arial"/>
                <w:sz w:val="16"/>
                <w:szCs w:val="16"/>
                <w:b w:val="1"/>
                <w:bCs w:val="1"/>
                <w:color w:val="auto"/>
              </w:rPr>
              <w:t>Pension Benefits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120" w:type="dxa"/>
            <w:vAlign w:val="bottom"/>
          </w:tcPr>
          <w:p>
            <w:pPr>
              <w:jc w:val="right"/>
              <w:ind w:right="91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2260" w:type="dxa"/>
            <w:vAlign w:val="bottom"/>
          </w:tcPr>
          <w:p>
            <w:pPr>
              <w:jc w:val="right"/>
              <w:ind w:right="1059"/>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 as of December 31:</w:t>
            </w:r>
          </w:p>
        </w:tc>
        <w:tc>
          <w:tcPr>
            <w:tcW w:w="2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2120" w:type="dxa"/>
            <w:vAlign w:val="bottom"/>
          </w:tcPr>
          <w:p>
            <w:pPr>
              <w:jc w:val="right"/>
              <w:ind w:right="799"/>
              <w:spacing w:after="0"/>
              <w:rPr>
                <w:sz w:val="20"/>
                <w:szCs w:val="20"/>
                <w:color w:val="auto"/>
              </w:rPr>
            </w:pPr>
            <w:r>
              <w:rPr>
                <w:rFonts w:ascii="Arial" w:cs="Arial" w:eastAsia="Arial" w:hAnsi="Arial"/>
                <w:sz w:val="16"/>
                <w:szCs w:val="16"/>
                <w:color w:val="auto"/>
              </w:rPr>
              <w:t>4.41%</w:t>
            </w:r>
          </w:p>
        </w:tc>
        <w:tc>
          <w:tcPr>
            <w:tcW w:w="660" w:type="dxa"/>
            <w:vAlign w:val="bottom"/>
          </w:tcPr>
          <w:p>
            <w:pPr>
              <w:jc w:val="right"/>
              <w:spacing w:after="0"/>
              <w:rPr>
                <w:sz w:val="20"/>
                <w:szCs w:val="20"/>
                <w:color w:val="auto"/>
              </w:rPr>
            </w:pPr>
            <w:r>
              <w:rPr>
                <w:rFonts w:ascii="Arial" w:cs="Arial" w:eastAsia="Arial" w:hAnsi="Arial"/>
                <w:sz w:val="16"/>
                <w:szCs w:val="16"/>
                <w:color w:val="auto"/>
              </w:rPr>
              <w:t>3.90%</w:t>
            </w:r>
          </w:p>
        </w:tc>
        <w:tc>
          <w:tcPr>
            <w:tcW w:w="220" w:type="dxa"/>
            <w:vAlign w:val="bottom"/>
          </w:tcPr>
          <w:p>
            <w:pPr>
              <w:spacing w:after="0"/>
              <w:rPr>
                <w:sz w:val="20"/>
                <w:szCs w:val="20"/>
                <w:color w:val="auto"/>
              </w:rPr>
            </w:pPr>
          </w:p>
        </w:tc>
        <w:tc>
          <w:tcPr>
            <w:tcW w:w="2260" w:type="dxa"/>
            <w:vAlign w:val="bottom"/>
          </w:tcPr>
          <w:p>
            <w:pPr>
              <w:jc w:val="right"/>
              <w:ind w:right="919"/>
              <w:spacing w:after="0"/>
              <w:rPr>
                <w:sz w:val="20"/>
                <w:szCs w:val="20"/>
                <w:color w:val="auto"/>
              </w:rPr>
            </w:pPr>
            <w:r>
              <w:rPr>
                <w:rFonts w:ascii="Arial" w:cs="Arial" w:eastAsia="Arial" w:hAnsi="Arial"/>
                <w:sz w:val="16"/>
                <w:szCs w:val="16"/>
                <w:color w:val="auto"/>
              </w:rPr>
              <w:t>4.48%</w:t>
            </w:r>
          </w:p>
        </w:tc>
        <w:tc>
          <w:tcPr>
            <w:tcW w:w="54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33"/>
        </w:trPr>
        <w:tc>
          <w:tcPr>
            <w:tcW w:w="5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Care Cost Trend Rate Assumed For Next Year</w:t>
            </w:r>
          </w:p>
        </w:tc>
        <w:tc>
          <w:tcPr>
            <w:tcW w:w="2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6.00%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r>
      <w:tr>
        <w:trPr>
          <w:trHeight w:val="33"/>
        </w:trPr>
        <w:tc>
          <w:tcPr>
            <w:tcW w:w="56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health care cost trend rate is assumed to decrease annually, until reaching the ultimate trend rate of 4.5% in 2036.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to determine the net periodic benefit cost for the Company’s Pension Plans and postretirement benefit plan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Pension Benefits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Postretirement Benefits</w:t>
            </w:r>
          </w:p>
        </w:tc>
        <w:tc>
          <w:tcPr>
            <w:tcW w:w="68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r>
      <w:tr>
        <w:trPr>
          <w:trHeight w:val="33"/>
        </w:trPr>
        <w:tc>
          <w:tcPr>
            <w:tcW w:w="4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Assumptions as of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4560" w:type="dxa"/>
            <w:vAlign w:val="bottom"/>
          </w:tcPr>
          <w:p>
            <w:pPr>
              <w:ind w:left="280"/>
              <w:spacing w:after="0"/>
              <w:rPr>
                <w:sz w:val="20"/>
                <w:szCs w:val="20"/>
                <w:color w:val="auto"/>
              </w:rPr>
            </w:pPr>
            <w:r>
              <w:rPr>
                <w:rFonts w:ascii="Arial" w:cs="Arial" w:eastAsia="Arial" w:hAnsi="Arial"/>
                <w:sz w:val="16"/>
                <w:szCs w:val="16"/>
                <w:color w:val="auto"/>
              </w:rPr>
              <w:t>Discount Rate</w:t>
            </w:r>
          </w:p>
        </w:tc>
        <w:tc>
          <w:tcPr>
            <w:tcW w:w="1080" w:type="dxa"/>
            <w:vAlign w:val="bottom"/>
          </w:tcPr>
          <w:p>
            <w:pPr>
              <w:jc w:val="right"/>
              <w:spacing w:after="0"/>
              <w:rPr>
                <w:sz w:val="20"/>
                <w:szCs w:val="20"/>
                <w:color w:val="auto"/>
              </w:rPr>
            </w:pPr>
            <w:r>
              <w:rPr>
                <w:rFonts w:ascii="Arial" w:cs="Arial" w:eastAsia="Arial" w:hAnsi="Arial"/>
                <w:sz w:val="16"/>
                <w:szCs w:val="16"/>
                <w:color w:val="auto"/>
              </w:rPr>
              <w:t>3.90%</w:t>
            </w: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4.45%</w:t>
            </w:r>
          </w:p>
        </w:tc>
        <w:tc>
          <w:tcPr>
            <w:tcW w:w="80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3.96%</w:t>
            </w: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4.57%</w:t>
            </w:r>
          </w:p>
        </w:tc>
        <w:tc>
          <w:tcPr>
            <w:tcW w:w="68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33"/>
        </w:trPr>
        <w:tc>
          <w:tcPr>
            <w:tcW w:w="4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Expected Long-Term Rate of Return on Plan Assets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4560" w:type="dxa"/>
            <w:vAlign w:val="bottom"/>
          </w:tcPr>
          <w:p>
            <w:pPr>
              <w:ind w:left="280"/>
              <w:spacing w:after="0"/>
              <w:rPr>
                <w:sz w:val="20"/>
                <w:szCs w:val="20"/>
                <w:color w:val="auto"/>
              </w:rPr>
            </w:pPr>
            <w:r>
              <w:rPr>
                <w:rFonts w:ascii="Arial" w:cs="Arial" w:eastAsia="Arial" w:hAnsi="Arial"/>
                <w:sz w:val="16"/>
                <w:szCs w:val="16"/>
                <w:color w:val="auto"/>
              </w:rPr>
              <w:t>Health Care Cost Trend Rate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6.30%</w:t>
            </w: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6.50%</w:t>
            </w:r>
          </w:p>
        </w:tc>
        <w:tc>
          <w:tcPr>
            <w:tcW w:w="680" w:type="dxa"/>
            <w:vAlign w:val="bottom"/>
          </w:tcPr>
          <w:p>
            <w:pPr>
              <w:jc w:val="right"/>
              <w:spacing w:after="0"/>
              <w:rPr>
                <w:sz w:val="20"/>
                <w:szCs w:val="20"/>
                <w:color w:val="auto"/>
              </w:rPr>
            </w:pPr>
            <w:r>
              <w:rPr>
                <w:rFonts w:ascii="Arial" w:cs="Arial" w:eastAsia="Arial" w:hAnsi="Arial"/>
                <w:sz w:val="16"/>
                <w:szCs w:val="16"/>
                <w:color w:val="auto"/>
              </w:rPr>
              <w:t>6.70%</w:t>
            </w:r>
          </w:p>
        </w:tc>
      </w:tr>
    </w:tbl>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combination of factors is used by management in determining the expected long-term rate of return on plan assets. Historical return experience for major asset categories are evaluated and current market factors, such as inflation and interest rates, are considered in determining the expected long-term rate of return assumption.</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expects to contribute $0.5 million to the Pension Plans and $0.9 million to the postretirement benefit plan for the year ending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expected benefits to be paid in each of the next five years and in the aggregate for the five years thereafter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Pension Benefits</w:t>
            </w:r>
          </w:p>
        </w:tc>
        <w:tc>
          <w:tcPr>
            <w:tcW w:w="2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6,918</w:t>
            </w: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2020</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7,020</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943</w:t>
            </w:r>
          </w:p>
        </w:tc>
      </w:tr>
      <w:tr>
        <w:trPr>
          <w:trHeight w:val="33"/>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7,163</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2022</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7,189</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1,137</w:t>
            </w:r>
          </w:p>
        </w:tc>
      </w:tr>
      <w:tr>
        <w:trPr>
          <w:trHeight w:val="33"/>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7,195</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Years 2024-2028</w:t>
            </w:r>
          </w:p>
        </w:tc>
        <w:tc>
          <w:tcPr>
            <w:tcW w:w="356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color w:val="auto"/>
              </w:rPr>
              <w:t>35,466</w:t>
            </w:r>
          </w:p>
        </w:tc>
        <w:tc>
          <w:tcPr>
            <w:tcW w:w="17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7,982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overall investment strategy is to maintain the purchasing power of the current assets and all future contributions by producing positive rates of return on plan assets; achieve capital growth towards the attainment of full funding of the Retirement Plan’s termination liability; maximize returns within reasonable and prudent levels of risk; and control costs of administering the plan and managing the investments. The long-term investment objective is to achieve an overall annualized total return, gross of fees, above the blended benchmark index comprised of 36% MSCI USA IMI Index, 24% MSCI ACWI ex-US Index, and 40% Barclays Capital Aggregate Bond Index.</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Subject to liquidity requirements, the asset allocation targets are 60% for equity securities, 40% for fixed income securities with a 10% to 20% range permitted from the strategic targets, and zero to 20% for cash. Within the equity securities portfolio, the range for domestic securities is from 50% to 100% and the range for international securities is from 0% to 50%. All assets selected for the Retirement Plan must have a readily ascertainable market value and must be readily marketable.</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Due to market fluctuations or cash flows, the allocation for each asset class may be breached by as much as 5% on a temporary basis. However, asset allocations are expected to conform to target ranges within 90 days of such an occurrence.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Retirement Plan assets as of December 31, 2018 and 2017 by asset category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Fair Value Measurements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Quoted Prices in</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Significant Other</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Active Markets for</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Observable</w:t>
            </w:r>
          </w:p>
        </w:tc>
        <w:tc>
          <w:tcPr>
            <w:tcW w:w="18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Significant Other</w:t>
            </w:r>
          </w:p>
        </w:tc>
        <w:tc>
          <w:tcPr>
            <w:tcW w:w="24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Total as of</w:t>
            </w:r>
          </w:p>
        </w:tc>
        <w:tc>
          <w:tcPr>
            <w:tcW w:w="3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Total as of</w:t>
            </w:r>
          </w:p>
        </w:tc>
        <w:tc>
          <w:tcPr>
            <w:tcW w:w="0" w:type="dxa"/>
            <w:vAlign w:val="bottom"/>
          </w:tcPr>
          <w:p>
            <w:pPr>
              <w:spacing w:after="0"/>
              <w:rPr>
                <w:sz w:val="1"/>
                <w:szCs w:val="1"/>
                <w:color w:val="auto"/>
              </w:rPr>
            </w:pPr>
          </w:p>
        </w:tc>
      </w:tr>
      <w:tr>
        <w:trPr>
          <w:trHeight w:val="210"/>
        </w:trPr>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 Category</w:t>
            </w:r>
          </w:p>
        </w:tc>
        <w:tc>
          <w:tcPr>
            <w:tcW w:w="2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Identical Assets</w:t>
            </w:r>
          </w:p>
        </w:tc>
        <w:tc>
          <w:tcPr>
            <w:tcW w:w="82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Inputs</w:t>
            </w:r>
          </w:p>
        </w:tc>
        <w:tc>
          <w:tcPr>
            <w:tcW w:w="18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Unobservable Inputs</w:t>
            </w:r>
          </w:p>
        </w:tc>
        <w:tc>
          <w:tcPr>
            <w:tcW w:w="2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Dec. 31,</w:t>
            </w:r>
          </w:p>
        </w:tc>
        <w:tc>
          <w:tcPr>
            <w:tcW w:w="3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41"/>
        </w:trPr>
        <w:tc>
          <w:tcPr>
            <w:tcW w:w="354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8"/>
              </w:rPr>
              <w:t>(Level 1)</w:t>
            </w:r>
          </w:p>
        </w:tc>
        <w:tc>
          <w:tcPr>
            <w:tcW w:w="820" w:type="dxa"/>
            <w:vAlign w:val="bottom"/>
          </w:tcPr>
          <w:p>
            <w:pPr>
              <w:spacing w:after="0"/>
              <w:rPr>
                <w:sz w:val="3"/>
                <w:szCs w:val="3"/>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8"/>
              </w:rPr>
              <w:t>(Level 2)</w:t>
            </w:r>
          </w:p>
        </w:tc>
        <w:tc>
          <w:tcPr>
            <w:tcW w:w="1060" w:type="dxa"/>
            <w:vAlign w:val="bottom"/>
          </w:tcPr>
          <w:p>
            <w:pPr>
              <w:spacing w:after="0"/>
              <w:rPr>
                <w:sz w:val="3"/>
                <w:szCs w:val="3"/>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5"/>
              </w:rPr>
              <w:t>(Level 3)</w:t>
            </w:r>
          </w:p>
        </w:tc>
        <w:tc>
          <w:tcPr>
            <w:tcW w:w="240" w:type="dxa"/>
            <w:vAlign w:val="bottom"/>
          </w:tcPr>
          <w:p>
            <w:pPr>
              <w:spacing w:after="0"/>
              <w:rPr>
                <w:sz w:val="3"/>
                <w:szCs w:val="3"/>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3"/>
                <w:szCs w:val="3"/>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726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Equity Securities – Mutual Funds:</w:t>
            </w: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Large-Cap</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1,593</w:t>
            </w: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1,593</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Mixed-Cap</w:t>
            </w:r>
          </w:p>
        </w:tc>
        <w:tc>
          <w:tcPr>
            <w:tcW w:w="108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25,298</w:t>
            </w:r>
          </w:p>
        </w:tc>
        <w:tc>
          <w:tcPr>
            <w:tcW w:w="82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25,298</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29,459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21,621</w:t>
            </w:r>
          </w:p>
        </w:tc>
        <w:tc>
          <w:tcPr>
            <w:tcW w:w="8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21,621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24,539</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Emerging Market</w:t>
            </w:r>
          </w:p>
        </w:tc>
        <w:tc>
          <w:tcPr>
            <w:tcW w:w="108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2,150</w:t>
            </w:r>
          </w:p>
        </w:tc>
        <w:tc>
          <w:tcPr>
            <w:tcW w:w="82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2,150</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 Securities – Mutual Funds</w:t>
            </w:r>
          </w:p>
        </w:tc>
        <w:tc>
          <w:tcPr>
            <w:tcW w:w="10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34,165</w:t>
            </w:r>
          </w:p>
        </w:tc>
        <w:tc>
          <w:tcPr>
            <w:tcW w:w="8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34,165</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36,701</w:t>
            </w:r>
          </w:p>
        </w:tc>
        <w:tc>
          <w:tcPr>
            <w:tcW w:w="0" w:type="dxa"/>
            <w:vAlign w:val="bottom"/>
          </w:tcPr>
          <w:p>
            <w:pPr>
              <w:spacing w:after="0"/>
              <w:rPr>
                <w:sz w:val="1"/>
                <w:szCs w:val="1"/>
                <w:color w:val="auto"/>
              </w:rPr>
            </w:pPr>
          </w:p>
        </w:tc>
      </w:tr>
      <w:tr>
        <w:trPr>
          <w:trHeight w:val="231"/>
        </w:trPr>
        <w:tc>
          <w:tcPr>
            <w:tcW w:w="3540" w:type="dxa"/>
            <w:vAlign w:val="bottom"/>
            <w:tcBorders>
              <w:top w:val="single" w:sz="8" w:color="auto"/>
            </w:tcBorders>
          </w:tcPr>
          <w:p>
            <w:pPr>
              <w:ind w:left="500"/>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85,553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85,553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96,908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these investments were available in active markets, and therefore were classified as Level 1 measurements in the fair value hierarchy.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has share-based compensation plans which allow grants of stock options, restricted stock, stock appreciation rights, and restricted stock units to its employees and non-employee directors. The Company’s employee stock option plans are shareholder approved and administered by the Human Resources and Compensation Committee of the Board of Directors. Stock options provide grantees the option to purchase shares of the Parent’s common stock at a specified exercise price and, generally, expire 10 years from the date of grant. Stock option grants include incentive and non-qualified stock options whose vesting may be subject to one or more criteria, including employment or achievement of Company performance measures. Stock option exercise prices were equal to the quoted market price of the Parent’s common stock on the date of grant. Restricted stock provides grantees with rights to shares of common stock upon completion of one or more criteria, including service period, performance or other conditions as established by the Compensation Committee, such as vesting tied to the Company’s financial performances relative to the peer group or achievement of an absolute financial performance target. During the restriction period, all shares are considered outstanding and dividends are paid on the restricted stock. Generally, restricted stock vests over periods ranging from one to four years from the date of grant. Restricted stock and dividends may be forfeited if an employee terminates prior to vesting.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total shares authorized under the plans were 2.1 million shares, of which 1.8 million shares were available for future grants.</w:t>
      </w:r>
    </w:p>
    <w:p>
      <w:pPr>
        <w:spacing w:after="0" w:line="2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recognizes compensation expense, measured as the fair value of the share-based award on the date of grant, on a straight-line basis over the requisite service period. Share-based compensation is recorded in the statements of income as a component of salaries and benefits for employees and as a component of other noninterest expense for non-employee directors, with a corresponding increase to capital surplus in shareholders’ equity. For the years ended December 31, 2018, 2017, and 2016, compensation expense and the related income tax benefit recognized for stock options and restricted stock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Expense</w:t>
            </w:r>
          </w:p>
        </w:tc>
        <w:tc>
          <w:tcPr>
            <w:tcW w:w="3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8,146</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7,369</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6,787</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26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2,160</w:t>
            </w:r>
          </w:p>
        </w:tc>
        <w:tc>
          <w:tcPr>
            <w:tcW w:w="600" w:type="dxa"/>
            <w:vAlign w:val="bottom"/>
          </w:tcPr>
          <w:p>
            <w:pPr>
              <w:spacing w:after="0"/>
              <w:rPr>
                <w:sz w:val="20"/>
                <w:szCs w:val="20"/>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2,910</w:t>
            </w:r>
          </w:p>
        </w:tc>
        <w:tc>
          <w:tcPr>
            <w:tcW w:w="6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2,680</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2018, unrecognized compensation expense related to unvested restricted stock was $10.6 million. The unrecognized compensation expense is expected to be recognized over a weighted average period of 1.84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for restricted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Grant Date Fair Value</w:t>
            </w:r>
          </w:p>
        </w:tc>
      </w:t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of Restricted Stock that</w:t>
            </w:r>
          </w:p>
        </w:tc>
      </w:tr>
      <w:tr>
        <w:trPr>
          <w:trHeight w:val="203"/>
        </w:trPr>
        <w:tc>
          <w:tcPr>
            <w:tcW w:w="38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3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Weighted Average</w:t>
            </w:r>
          </w:p>
        </w:tc>
        <w:tc>
          <w:tcPr>
            <w:tcW w:w="21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Vested During the Year</w:t>
            </w:r>
          </w:p>
        </w:tc>
      </w:tr>
      <w:tr>
        <w:trPr>
          <w:trHeight w:val="210"/>
        </w:trPr>
        <w:tc>
          <w:tcPr>
            <w:tcW w:w="3880" w:type="dxa"/>
            <w:vAlign w:val="bottom"/>
          </w:tcPr>
          <w:p>
            <w:pPr>
              <w:spacing w:after="0"/>
              <w:rPr>
                <w:sz w:val="18"/>
                <w:szCs w:val="18"/>
                <w:color w:val="auto"/>
              </w:rPr>
            </w:pPr>
          </w:p>
        </w:tc>
        <w:tc>
          <w:tcPr>
            <w:tcW w:w="304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 Shares</w:t>
            </w:r>
          </w:p>
        </w:tc>
        <w:tc>
          <w:tcPr>
            <w:tcW w:w="23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Grant Date Fair Value</w:t>
            </w:r>
          </w:p>
        </w:tc>
        <w:tc>
          <w:tcPr>
            <w:tcW w:w="21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2015</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268,813</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55.92</w:t>
            </w:r>
          </w:p>
        </w:tc>
        <w:tc>
          <w:tcPr>
            <w:tcW w:w="1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Pr>
          <w:p>
            <w:pPr>
              <w:jc w:val="right"/>
              <w:ind w:right="299"/>
              <w:spacing w:after="0"/>
              <w:rPr>
                <w:sz w:val="20"/>
                <w:szCs w:val="20"/>
                <w:color w:val="auto"/>
              </w:rPr>
            </w:pPr>
            <w:r>
              <w:rPr>
                <w:rFonts w:ascii="Arial" w:cs="Arial" w:eastAsia="Arial" w:hAnsi="Arial"/>
                <w:sz w:val="16"/>
                <w:szCs w:val="16"/>
                <w:color w:val="auto"/>
              </w:rPr>
              <w:t>121,495</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64.40</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(105,891)</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53.46</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5,661</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(13,894)</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58.14</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2016</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270,523</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60.58</w:t>
            </w:r>
          </w:p>
        </w:tc>
        <w:tc>
          <w:tcPr>
            <w:tcW w:w="1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31"/>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124,460</w:t>
            </w:r>
          </w:p>
        </w:tc>
        <w:tc>
          <w:tcPr>
            <w:tcW w:w="1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84.53</w:t>
            </w:r>
          </w:p>
        </w:tc>
        <w:tc>
          <w:tcPr>
            <w:tcW w:w="1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(52,822)</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60.06</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4,493</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(22,058)</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69.46</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as of December 31, 2017</w:t>
            </w:r>
          </w:p>
        </w:tc>
        <w:tc>
          <w:tcPr>
            <w:tcW w:w="30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320,103</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69.36</w:t>
            </w:r>
          </w:p>
        </w:tc>
        <w:tc>
          <w:tcPr>
            <w:tcW w:w="16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31"/>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Granted</w:t>
            </w:r>
          </w:p>
        </w:tc>
        <w:tc>
          <w:tcPr>
            <w:tcW w:w="30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120,173</w:t>
            </w:r>
          </w:p>
        </w:tc>
        <w:tc>
          <w:tcPr>
            <w:tcW w:w="1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83.87</w:t>
            </w:r>
          </w:p>
        </w:tc>
        <w:tc>
          <w:tcPr>
            <w:tcW w:w="1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0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(110,231)</w:t>
            </w:r>
          </w:p>
        </w:tc>
        <w:tc>
          <w:tcPr>
            <w:tcW w:w="1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59.41</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9,081</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040" w:type="dxa"/>
            <w:vAlign w:val="bottom"/>
          </w:tcPr>
          <w:p>
            <w:pPr>
              <w:jc w:val="right"/>
              <w:ind w:right="259"/>
              <w:spacing w:after="0"/>
              <w:rPr>
                <w:sz w:val="20"/>
                <w:szCs w:val="20"/>
                <w:color w:val="auto"/>
              </w:rPr>
            </w:pPr>
            <w:r>
              <w:rPr>
                <w:rFonts w:ascii="Arial" w:cs="Arial" w:eastAsia="Arial" w:hAnsi="Arial"/>
                <w:sz w:val="16"/>
                <w:szCs w:val="16"/>
                <w:color w:val="auto"/>
              </w:rPr>
              <w:t>(15,558)</w:t>
            </w:r>
          </w:p>
        </w:tc>
        <w:tc>
          <w:tcPr>
            <w:tcW w:w="138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73.82</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38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Unvested as of December 31, 2018 </w:t>
            </w:r>
            <w:r>
              <w:rPr>
                <w:rFonts w:ascii="Arial" w:cs="Arial" w:eastAsia="Arial" w:hAnsi="Arial"/>
                <w:sz w:val="21"/>
                <w:szCs w:val="21"/>
                <w:b w:val="1"/>
                <w:bCs w:val="1"/>
                <w:color w:val="auto"/>
                <w:vertAlign w:val="superscript"/>
              </w:rPr>
              <w:t>1</w:t>
            </w:r>
          </w:p>
        </w:tc>
        <w:tc>
          <w:tcPr>
            <w:tcW w:w="30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314,487</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78.17</w:t>
            </w:r>
          </w:p>
        </w:tc>
        <w:tc>
          <w:tcPr>
            <w:tcW w:w="16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80" w:hanging="72"/>
        <w:spacing w:after="0"/>
        <w:tabs>
          <w:tab w:leader="none" w:pos="80" w:val="left"/>
        </w:tabs>
        <w:numPr>
          <w:ilvl w:val="0"/>
          <w:numId w:val="62"/>
        </w:numPr>
        <w:rPr>
          <w:rFonts w:ascii="Arial" w:cs="Arial" w:eastAsia="Arial" w:hAnsi="Arial"/>
          <w:sz w:val="9"/>
          <w:szCs w:val="9"/>
          <w:color w:val="auto"/>
        </w:rPr>
      </w:pPr>
      <w:r>
        <w:rPr>
          <w:rFonts w:ascii="Arial" w:cs="Arial" w:eastAsia="Arial" w:hAnsi="Arial"/>
          <w:sz w:val="14"/>
          <w:szCs w:val="14"/>
          <w:color w:val="auto"/>
        </w:rPr>
        <w:t>As of December 31, 2018, 38,560 shares were unvested from service-based grants.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There were no RSUs granted during 2018 and 2017. During 2016, the Company granted RSUs payable solely in cash. The RSUs vest over periods ranging from three to four years from the date of grant and are subject to forfeiture until performance and employment targets are achieved. Upon vesting, the RSUs are converted to cash based on the closing stock price on the vesting date. Total recognized compensation expense related to the RSUs was $0.6 million, $3.4 million, and $5.9 million for the years ended December 31, 2018,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for RSU:</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Fair Value of Restricted</w:t>
            </w:r>
          </w:p>
        </w:tc>
      </w:tr>
      <w:tr>
        <w:trPr>
          <w:trHeight w:val="203"/>
        </w:trPr>
        <w:tc>
          <w:tcPr>
            <w:tcW w:w="40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Stock Unit that Vested During</w:t>
            </w:r>
          </w:p>
        </w:tc>
      </w:tr>
      <w:tr>
        <w:trPr>
          <w:trHeight w:val="203"/>
        </w:trPr>
        <w:tc>
          <w:tcPr>
            <w:tcW w:w="40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Weighted Average</w:t>
            </w:r>
          </w:p>
        </w:tc>
        <w:tc>
          <w:tcPr>
            <w:tcW w:w="2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the Year</w:t>
            </w:r>
          </w:p>
        </w:tc>
      </w:tr>
      <w:tr>
        <w:trPr>
          <w:trHeight w:val="210"/>
        </w:trPr>
        <w:tc>
          <w:tcPr>
            <w:tcW w:w="4000" w:type="dxa"/>
            <w:vAlign w:val="bottom"/>
          </w:tcPr>
          <w:p>
            <w:pPr>
              <w:spacing w:after="0"/>
              <w:rPr>
                <w:sz w:val="18"/>
                <w:szCs w:val="18"/>
                <w:color w:val="auto"/>
              </w:rPr>
            </w:pPr>
          </w:p>
        </w:tc>
        <w:tc>
          <w:tcPr>
            <w:tcW w:w="310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 Units</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Grant Date Fair Value</w:t>
            </w:r>
          </w:p>
        </w:tc>
        <w:tc>
          <w:tcPr>
            <w:tcW w:w="2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40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2015</w:t>
            </w:r>
          </w:p>
        </w:tc>
        <w:tc>
          <w:tcPr>
            <w:tcW w:w="31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135,505</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55.86</w:t>
            </w:r>
          </w:p>
        </w:tc>
        <w:tc>
          <w:tcPr>
            <w:tcW w:w="1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Granted</w:t>
            </w:r>
          </w:p>
        </w:tc>
        <w:tc>
          <w:tcPr>
            <w:tcW w:w="3100" w:type="dxa"/>
            <w:vAlign w:val="bottom"/>
          </w:tcPr>
          <w:p>
            <w:pPr>
              <w:jc w:val="right"/>
              <w:ind w:right="379"/>
              <w:spacing w:after="0"/>
              <w:rPr>
                <w:sz w:val="20"/>
                <w:szCs w:val="20"/>
                <w:color w:val="auto"/>
              </w:rPr>
            </w:pPr>
            <w:r>
              <w:rPr>
                <w:rFonts w:ascii="Arial" w:cs="Arial" w:eastAsia="Arial" w:hAnsi="Arial"/>
                <w:sz w:val="16"/>
                <w:szCs w:val="16"/>
                <w:color w:val="auto"/>
              </w:rPr>
              <w:t>58,541</w:t>
            </w:r>
          </w:p>
        </w:tc>
        <w:tc>
          <w:tcPr>
            <w:tcW w:w="13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63.92</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3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(31,660)</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55.17</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3100" w:type="dxa"/>
            <w:vAlign w:val="bottom"/>
          </w:tcPr>
          <w:p>
            <w:pPr>
              <w:jc w:val="right"/>
              <w:ind w:right="319"/>
              <w:spacing w:after="0"/>
              <w:rPr>
                <w:sz w:val="20"/>
                <w:szCs w:val="20"/>
                <w:color w:val="auto"/>
              </w:rPr>
            </w:pPr>
            <w:r>
              <w:rPr>
                <w:rFonts w:ascii="Arial" w:cs="Arial" w:eastAsia="Arial" w:hAnsi="Arial"/>
                <w:sz w:val="16"/>
                <w:szCs w:val="16"/>
                <w:color w:val="auto"/>
              </w:rPr>
              <w:t>(7,554)</w:t>
            </w:r>
          </w:p>
        </w:tc>
        <w:tc>
          <w:tcPr>
            <w:tcW w:w="13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56.08</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31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154,832</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59.04</w:t>
            </w:r>
          </w:p>
        </w:tc>
        <w:tc>
          <w:tcPr>
            <w:tcW w:w="1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r>
        <w:trPr>
          <w:trHeight w:val="224"/>
        </w:trPr>
        <w:tc>
          <w:tcPr>
            <w:tcW w:w="4000" w:type="dxa"/>
            <w:vAlign w:val="bottom"/>
          </w:tcPr>
          <w:p>
            <w:pPr>
              <w:ind w:left="180"/>
              <w:spacing w:after="0"/>
              <w:rPr>
                <w:sz w:val="20"/>
                <w:szCs w:val="20"/>
                <w:color w:val="auto"/>
              </w:rPr>
            </w:pPr>
            <w:r>
              <w:rPr>
                <w:rFonts w:ascii="Arial" w:cs="Arial" w:eastAsia="Arial" w:hAnsi="Arial"/>
                <w:sz w:val="18"/>
                <w:szCs w:val="18"/>
                <w:color w:val="auto"/>
              </w:rPr>
              <w:t>Vested</w:t>
            </w:r>
          </w:p>
        </w:tc>
        <w:tc>
          <w:tcPr>
            <w:tcW w:w="3100" w:type="dxa"/>
            <w:vAlign w:val="bottom"/>
          </w:tcPr>
          <w:p>
            <w:pPr>
              <w:jc w:val="right"/>
              <w:ind w:right="319"/>
              <w:spacing w:after="0"/>
              <w:rPr>
                <w:sz w:val="20"/>
                <w:szCs w:val="20"/>
                <w:color w:val="auto"/>
              </w:rPr>
            </w:pPr>
            <w:r>
              <w:rPr>
                <w:rFonts w:ascii="Arial" w:cs="Arial" w:eastAsia="Arial" w:hAnsi="Arial"/>
                <w:sz w:val="16"/>
                <w:szCs w:val="16"/>
                <w:color w:val="auto"/>
              </w:rPr>
              <w:t>(29,281)</w:t>
            </w:r>
          </w:p>
        </w:tc>
        <w:tc>
          <w:tcPr>
            <w:tcW w:w="13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58.74</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2,516</w:t>
            </w:r>
          </w:p>
        </w:tc>
      </w:tr>
      <w:tr>
        <w:trPr>
          <w:trHeight w:val="27"/>
        </w:trPr>
        <w:tc>
          <w:tcPr>
            <w:tcW w:w="4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(9,062)</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60.17</w:t>
            </w:r>
          </w:p>
        </w:tc>
        <w:tc>
          <w:tcPr>
            <w:tcW w:w="1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31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116,489</w:t>
            </w:r>
          </w:p>
        </w:tc>
        <w:tc>
          <w:tcPr>
            <w:tcW w:w="1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60.22</w:t>
            </w: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7"/>
        </w:trPr>
        <w:tc>
          <w:tcPr>
            <w:tcW w:w="400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8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r>
      <w:tr>
        <w:trPr>
          <w:trHeight w:val="231"/>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(62,252)</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57.00</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5,127</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100" w:type="dxa"/>
            <w:vAlign w:val="bottom"/>
          </w:tcPr>
          <w:p>
            <w:pPr>
              <w:jc w:val="right"/>
              <w:ind w:right="319"/>
              <w:spacing w:after="0"/>
              <w:rPr>
                <w:sz w:val="20"/>
                <w:szCs w:val="20"/>
                <w:color w:val="auto"/>
              </w:rPr>
            </w:pPr>
            <w:r>
              <w:rPr>
                <w:rFonts w:ascii="Arial" w:cs="Arial" w:eastAsia="Arial" w:hAnsi="Arial"/>
                <w:sz w:val="16"/>
                <w:szCs w:val="16"/>
                <w:color w:val="auto"/>
              </w:rPr>
              <w:t>(2,173)</w:t>
            </w:r>
          </w:p>
        </w:tc>
        <w:tc>
          <w:tcPr>
            <w:tcW w:w="136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63.92</w:t>
            </w:r>
          </w:p>
        </w:tc>
        <w:tc>
          <w:tcPr>
            <w:tcW w:w="16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31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52,064</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63.92</w:t>
            </w:r>
          </w:p>
        </w:tc>
        <w:tc>
          <w:tcPr>
            <w:tcW w:w="1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There were no stock options granted for the years ended December 31, 2018, 2017, and 2016. All stock options granted were fully vested prior to December 31, 2016. The Company reissues treasury stock to satisfy stock option exercises.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5"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stock options under all plans for the year ended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w:t>
            </w:r>
          </w:p>
        </w:tc>
        <w:tc>
          <w:tcPr>
            <w:tcW w:w="128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Weighted</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5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Average</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Remaining</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Intrinsic</w:t>
            </w:r>
          </w:p>
        </w:tc>
      </w:tr>
      <w:tr>
        <w:trPr>
          <w:trHeight w:val="203"/>
        </w:trPr>
        <w:tc>
          <w:tcPr>
            <w:tcW w:w="550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Stock</w:t>
            </w: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Exercise</w:t>
            </w: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Contractual</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Value</w:t>
            </w:r>
          </w:p>
        </w:tc>
      </w:tr>
      <w:tr>
        <w:trPr>
          <w:trHeight w:val="210"/>
        </w:trPr>
        <w:tc>
          <w:tcPr>
            <w:tcW w:w="55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Options</w:t>
            </w: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Price</w:t>
            </w:r>
          </w:p>
        </w:tc>
        <w:tc>
          <w:tcPr>
            <w:tcW w:w="1620" w:type="dxa"/>
            <w:vAlign w:val="bottom"/>
          </w:tcPr>
          <w:p>
            <w:pPr>
              <w:jc w:val="right"/>
              <w:ind w:right="119"/>
              <w:spacing w:after="0"/>
              <w:rPr>
                <w:sz w:val="20"/>
                <w:szCs w:val="20"/>
                <w:color w:val="auto"/>
              </w:rPr>
            </w:pPr>
            <w:r>
              <w:rPr>
                <w:rFonts w:ascii="Arial" w:cs="Arial" w:eastAsia="Arial" w:hAnsi="Arial"/>
                <w:sz w:val="16"/>
                <w:szCs w:val="16"/>
                <w:b w:val="1"/>
                <w:bCs w:val="1"/>
                <w:color w:val="auto"/>
              </w:rPr>
              <w:t>Term (in years)</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 Options Outstanding as of January 1, 2018</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303,552</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   45.26</w:t>
            </w:r>
          </w:p>
        </w:tc>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(39,664)</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45.16</w:t>
            </w: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 Options Outstanding as of December 31, 2018</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263,888</w:t>
            </w:r>
          </w:p>
        </w:tc>
        <w:tc>
          <w:tcPr>
            <w:tcW w:w="1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45.27</w:t>
            </w:r>
          </w:p>
        </w:tc>
        <w:tc>
          <w:tcPr>
            <w:tcW w:w="1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5,818</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Stock Options Vested and Exercisable as of December 31, 2018</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263,888</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45.27</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5,818</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stock option activity of the Company for the years ended December 31, 2018,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Intrinsic Value of Stock Options Exercised</w:t>
            </w:r>
          </w:p>
        </w:tc>
        <w:tc>
          <w:tcPr>
            <w:tcW w:w="1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1,634</w:t>
            </w: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5,991</w:t>
            </w:r>
          </w:p>
        </w:tc>
        <w:tc>
          <w:tcPr>
            <w:tcW w:w="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1,990</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Cash Received from Stock Options Exercised</w:t>
            </w:r>
          </w:p>
        </w:tc>
        <w:tc>
          <w:tcPr>
            <w:tcW w:w="196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color w:val="auto"/>
              </w:rPr>
              <w:t>1,791</w:t>
            </w:r>
          </w:p>
        </w:tc>
        <w:tc>
          <w:tcPr>
            <w:tcW w:w="78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7,502</w:t>
            </w:r>
          </w:p>
        </w:tc>
        <w:tc>
          <w:tcPr>
            <w:tcW w:w="7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3,546</w:t>
            </w:r>
          </w:p>
        </w:tc>
      </w:tr>
      <w:tr>
        <w:trPr>
          <w:trHeight w:val="33"/>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Benefits Realized from Stock Options Exercised</w:t>
            </w:r>
          </w:p>
        </w:tc>
        <w:tc>
          <w:tcPr>
            <w:tcW w:w="19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240</w:t>
            </w:r>
          </w:p>
        </w:tc>
        <w:tc>
          <w:tcPr>
            <w:tcW w:w="7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2,003</w:t>
            </w: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r>
      <w:tr>
        <w:trPr>
          <w:trHeight w:val="33"/>
        </w:trPr>
        <w:tc>
          <w:tcPr>
            <w:tcW w:w="5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provision for income taxes for the years ended December 31, 2018, 2017, and 2016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Federal</w:t>
            </w:r>
          </w:p>
        </w:tc>
        <w:tc>
          <w:tcPr>
            <w:tcW w:w="31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45,464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73,176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69,061</w:t>
            </w:r>
          </w:p>
        </w:tc>
      </w:tr>
      <w:tr>
        <w:trPr>
          <w:trHeight w:val="33"/>
        </w:trPr>
        <w:tc>
          <w:tcPr>
            <w:tcW w:w="4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3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11,434</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6,039</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1,885</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w:t>
            </w:r>
          </w:p>
        </w:tc>
        <w:tc>
          <w:tcPr>
            <w:tcW w:w="3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56,898</w:t>
            </w: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79,215</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70,946</w:t>
            </w:r>
          </w:p>
        </w:tc>
      </w:tr>
      <w:tr>
        <w:trPr>
          <w:trHeight w:val="33"/>
        </w:trPr>
        <w:tc>
          <w:tcPr>
            <w:tcW w:w="4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3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Federal</w:t>
            </w:r>
          </w:p>
        </w:tc>
        <w:tc>
          <w:tcPr>
            <w:tcW w:w="3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(2,172)</w:t>
            </w:r>
          </w:p>
        </w:tc>
        <w:tc>
          <w:tcPr>
            <w:tcW w:w="46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5,042</w:t>
            </w:r>
          </w:p>
        </w:tc>
        <w:tc>
          <w:tcPr>
            <w:tcW w:w="4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6,947</w:t>
            </w:r>
          </w:p>
        </w:tc>
      </w:tr>
      <w:tr>
        <w:trPr>
          <w:trHeight w:val="33"/>
        </w:trPr>
        <w:tc>
          <w:tcPr>
            <w:tcW w:w="47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3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(4,102)</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Deferred</w:t>
            </w:r>
          </w:p>
        </w:tc>
        <w:tc>
          <w:tcPr>
            <w:tcW w:w="3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(6,274)</w:t>
            </w: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4,177</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7,187</w:t>
            </w:r>
          </w:p>
        </w:tc>
      </w:tr>
      <w:tr>
        <w:trPr>
          <w:trHeight w:val="33"/>
        </w:trPr>
        <w:tc>
          <w:tcPr>
            <w:tcW w:w="4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50,624</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83,392</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78,133</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tax effects of fair value adjustments on available-for-sale investment securities, the amortization of unrealized gains and losses related to investment securities transferred to held-to-maturity, and the minimum pension liability adjustment are recorded directly to consolidated shareholders’ equity. The Company elected to adopt ASU No. 2016-09 “Compensation-Stock Compensation (Topic 718): Improvements to Employee Share-Based Payment Accounting” in the first quarter of 2017, which requires the Company to record excess tax benefits related to stock options as a reduction of the provision for income taxes, whereas they were previously recognized in equity. The net tax benefit recorded directly to consolidated shareholders’ equity was $3.2 million, $0.5 million, and $7.9 million for the years ended December 31, 2018, 2017, and 2016,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 and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2017, significant components of the Company’s deferred tax liabilities and assets were as follows:</w:t>
      </w:r>
    </w:p>
    <w:p>
      <w:pPr>
        <w:spacing w:after="0" w:line="185"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37465</wp:posOffset>
            </wp:positionV>
            <wp:extent cx="17322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Accelerated Depreciation</w:t>
            </w:r>
          </w:p>
        </w:tc>
        <w:tc>
          <w:tcPr>
            <w:tcW w:w="2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(2,864)</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Pension Cost</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(11,270)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(11,245)</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Federal Home Loan Bank Stock</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(3,416)</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(3,408)</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Transactions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(53,230)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(57,458)</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Energy Tax Credits</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(5,274)</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(8,821)</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Variable Interest Entities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(3,407)</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Deferred Loan Fees</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(6,688)</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(6,903)</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Originated Mortgage Servicing Rights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(6,548)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(6,646)</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Other</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(1,420)</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(1,883)</w:t>
            </w:r>
          </w:p>
        </w:tc>
      </w:tr>
      <w:tr>
        <w:trPr>
          <w:trHeight w:val="33"/>
        </w:trPr>
        <w:tc>
          <w:tcPr>
            <w:tcW w:w="6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Deferred Tax Liabilities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(94,479)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(99,771)</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Accelerated Depreciation</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1,844</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Allowance for Loan Losses</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30,045</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30,148</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12,989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12,114</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14,805</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9,937</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Postretirement Benefit Obligations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8,396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8,595</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Capital Lease Expenses</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2,172</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2,168</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Stock</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5,178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6,223</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Net Unrealized Losses on Investments Securities</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5,421</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3,059</w:t>
            </w:r>
          </w:p>
        </w:tc>
      </w:tr>
      <w:tr>
        <w:trPr>
          <w:trHeight w:val="33"/>
        </w:trPr>
        <w:tc>
          <w:tcPr>
            <w:tcW w:w="6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Deductible State and Local Taxes</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3,242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2,461</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Other</w:t>
            </w:r>
          </w:p>
        </w:tc>
        <w:tc>
          <w:tcPr>
            <w:tcW w:w="29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4,244</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5,183</w:t>
            </w:r>
          </w:p>
        </w:tc>
      </w:tr>
      <w:tr>
        <w:trPr>
          <w:trHeight w:val="33"/>
        </w:trPr>
        <w:tc>
          <w:tcPr>
            <w:tcW w:w="6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Deferred Tax Assets Before Valuation Allowance</w:t>
            </w:r>
          </w:p>
        </w:tc>
        <w:tc>
          <w:tcPr>
            <w:tcW w:w="29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86,492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81,732</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29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(1,102)</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(955)</w:t>
            </w:r>
          </w:p>
        </w:tc>
      </w:tr>
      <w:tr>
        <w:trPr>
          <w:trHeight w:val="33"/>
        </w:trPr>
        <w:tc>
          <w:tcPr>
            <w:tcW w:w="6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Deferred Tax Assets After Valuation Allowance</w:t>
            </w:r>
          </w:p>
        </w:tc>
        <w:tc>
          <w:tcPr>
            <w:tcW w:w="29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85,390</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80,777</w:t>
            </w:r>
          </w:p>
        </w:tc>
      </w:tr>
      <w:tr>
        <w:trPr>
          <w:trHeight w:val="231"/>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Deferred Tax Liabilities</w:t>
            </w:r>
          </w:p>
        </w:tc>
        <w:tc>
          <w:tcPr>
            <w:tcW w:w="2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(9,089)</w:t>
            </w:r>
          </w:p>
        </w:tc>
        <w:tc>
          <w:tcPr>
            <w:tcW w:w="4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(18,994)</w:t>
            </w:r>
          </w:p>
        </w:tc>
      </w:tr>
      <w:tr>
        <w:trPr>
          <w:trHeight w:val="33"/>
        </w:trPr>
        <w:tc>
          <w:tcPr>
            <w:tcW w:w="6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Accounting Standards Codification (ASC) 740, Income Taxes, requires the effects of changes in tax rates and laws on deferred tax balances to be recognized in the period in which the legislation is enacted. Since the Tax Cuts and Jobs Act was enacted on December, 22 2017, the Company revalued and adjusted its deferred taxes by recording an additional $3.6 million tax expense in December 2017. The Company’s deferred tax balances as of December 31, 2017 and December 31, 2018 are based on the 21% federal tax rate which is expected to be in effect during the periods in which the temporary differences reverse.</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Both positive and negative evidence was considered by management in determining the need for a valuation allowance. Negative evidence included the uncertainty regarding the generation of capital gains in future years and restrictions on the ability to sell low-income housing investments during periods when carrybacks of capital losses are allowed. Positive evidence included capital gains in the carryback years. After considering all available evidence, management determined that a valuation allowance to offset deferred tax assets related to low-income housing investments that can only be used to offset capital gains was appropriate. Management determined that a valuation allowance was not required for the remaining deferred tax assets because it is more likely than not these assets will be realized through future reversals of existing taxable temporary difference and future taxable income exclusive of reversing temporary differences. The Tax Act prohibits the carryback of net operating losses (NOLs) generated in tax year ending after December 31, 2017. This eliminated consideration of taxable income in prior carryback years as an income source for prospective NOLs.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events covered by Internal Revenue Code Section 593(e) will trigger a recapture of base year reserves of acquired thrift institutions. The base year reserves of acquired thrift institutions would be recaptured if an entity ceases to qualify as a bank for federal income tax purposes. The base year reserves of thrift institutions also remain subject to income tax penalty provisions that, in general, require recapture upon certain stock redemptions of, and excess distributions to, shareholders. As of December 31, 2018, retained earnings included $18.2 million of base year reserves for which the deferred federal income tax liability of $4.8 million has not been recognized.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Company’s effective tax rate for the years ended December 31, 2018,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3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r>
      <w:tr>
        <w:trPr>
          <w:trHeight w:val="33"/>
        </w:trPr>
        <w:tc>
          <w:tcPr>
            <w:tcW w:w="58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Federal Income Tax Rate</w:t>
            </w:r>
          </w:p>
        </w:tc>
        <w:tc>
          <w:tcPr>
            <w:tcW w:w="31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21.00 %</w:t>
            </w:r>
          </w:p>
        </w:tc>
        <w:tc>
          <w:tcPr>
            <w:tcW w:w="14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35.00 %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35.00 %</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Increase (Decrease) in Income Tax Rate Resulting From:</w:t>
            </w:r>
          </w:p>
        </w:tc>
        <w:tc>
          <w:tcPr>
            <w:tcW w:w="3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 Taxes, Net of Federal Income Tax</w:t>
            </w:r>
          </w:p>
        </w:tc>
        <w:tc>
          <w:tcPr>
            <w:tcW w:w="31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2.29</w:t>
            </w:r>
          </w:p>
        </w:tc>
        <w:tc>
          <w:tcPr>
            <w:tcW w:w="14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1.50</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0.60</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Tax Reserve Adjustments</w:t>
            </w:r>
          </w:p>
        </w:tc>
        <w:tc>
          <w:tcPr>
            <w:tcW w:w="3120" w:type="dxa"/>
            <w:vAlign w:val="bottom"/>
          </w:tcPr>
          <w:p>
            <w:pPr>
              <w:jc w:val="right"/>
              <w:ind w:right="539"/>
              <w:spacing w:after="0"/>
              <w:rPr>
                <w:sz w:val="20"/>
                <w:szCs w:val="20"/>
                <w:color w:val="auto"/>
              </w:rPr>
            </w:pPr>
            <w:r>
              <w:rPr>
                <w:rFonts w:ascii="Arial" w:cs="Arial" w:eastAsia="Arial" w:hAnsi="Arial"/>
                <w:sz w:val="16"/>
                <w:szCs w:val="16"/>
                <w:color w:val="auto"/>
              </w:rPr>
              <w:t>0.21</w:t>
            </w:r>
          </w:p>
        </w:tc>
        <w:tc>
          <w:tcPr>
            <w:tcW w:w="1420" w:type="dxa"/>
            <w:vAlign w:val="bottom"/>
          </w:tcPr>
          <w:p>
            <w:pPr>
              <w:jc w:val="right"/>
              <w:ind w:right="539"/>
              <w:spacing w:after="0"/>
              <w:rPr>
                <w:sz w:val="20"/>
                <w:szCs w:val="20"/>
                <w:color w:val="auto"/>
              </w:rPr>
            </w:pPr>
            <w:r>
              <w:rPr>
                <w:rFonts w:ascii="Arial" w:cs="Arial" w:eastAsia="Arial" w:hAnsi="Arial"/>
                <w:sz w:val="16"/>
                <w:szCs w:val="16"/>
                <w:color w:val="auto"/>
              </w:rPr>
              <w:t>0.09</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(0.18)</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Low-Income Housing Investments</w:t>
            </w:r>
          </w:p>
        </w:tc>
        <w:tc>
          <w:tcPr>
            <w:tcW w:w="31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0.22</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(1.18)</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(0.69)</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Investment Tax Credits</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(1.04)</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(1.03)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(0.85)</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(0.55)</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(0.85)</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(0.88)</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Tax-Exempt Income</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(1.29)</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(2.57)</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(2.71)</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Benefits - Stock Compensation</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(0.34)</w:t>
            </w:r>
          </w:p>
        </w:tc>
        <w:tc>
          <w:tcPr>
            <w:tcW w:w="14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(0.83)</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Leveraged Lease</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(0.83)</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(0.03)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(0.13)</w:t>
            </w:r>
          </w:p>
        </w:tc>
      </w:tr>
      <w:tr>
        <w:trPr>
          <w:trHeight w:val="33"/>
        </w:trPr>
        <w:tc>
          <w:tcPr>
            <w:tcW w:w="5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Reform Effects</w:t>
            </w:r>
          </w:p>
        </w:tc>
        <w:tc>
          <w:tcPr>
            <w:tcW w:w="3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(0.75)</w:t>
            </w:r>
          </w:p>
        </w:tc>
        <w:tc>
          <w:tcPr>
            <w:tcW w:w="14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1.25</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5860" w:type="dxa"/>
            <w:vAlign w:val="bottom"/>
          </w:tcPr>
          <w:p>
            <w:pPr>
              <w:ind w:left="280"/>
              <w:spacing w:after="0"/>
              <w:rPr>
                <w:sz w:val="20"/>
                <w:szCs w:val="20"/>
                <w:color w:val="auto"/>
              </w:rPr>
            </w:pPr>
            <w:r>
              <w:rPr>
                <w:rFonts w:ascii="Arial" w:cs="Arial" w:eastAsia="Arial" w:hAnsi="Arial"/>
                <w:sz w:val="16"/>
                <w:szCs w:val="16"/>
                <w:color w:val="auto"/>
              </w:rPr>
              <w:t>Other</w:t>
            </w:r>
          </w:p>
        </w:tc>
        <w:tc>
          <w:tcPr>
            <w:tcW w:w="3120" w:type="dxa"/>
            <w:vAlign w:val="bottom"/>
          </w:tcPr>
          <w:p>
            <w:pPr>
              <w:jc w:val="right"/>
              <w:ind w:right="499"/>
              <w:spacing w:after="0"/>
              <w:rPr>
                <w:sz w:val="20"/>
                <w:szCs w:val="20"/>
                <w:color w:val="auto"/>
              </w:rPr>
            </w:pPr>
            <w:r>
              <w:rPr>
                <w:rFonts w:ascii="Arial" w:cs="Arial" w:eastAsia="Arial" w:hAnsi="Arial"/>
                <w:sz w:val="16"/>
                <w:szCs w:val="16"/>
                <w:color w:val="auto"/>
              </w:rPr>
              <w:t>(0.19)</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(0.24)</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(0.06)</w:t>
            </w:r>
          </w:p>
        </w:tc>
      </w:tr>
      <w:tr>
        <w:trPr>
          <w:trHeight w:val="33"/>
        </w:trPr>
        <w:tc>
          <w:tcPr>
            <w:tcW w:w="58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Effective Tax Rate</w:t>
            </w:r>
          </w:p>
        </w:tc>
        <w:tc>
          <w:tcPr>
            <w:tcW w:w="31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18.73 %</w:t>
            </w:r>
          </w:p>
        </w:tc>
        <w:tc>
          <w:tcPr>
            <w:tcW w:w="14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31.11 %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30.10 %</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221E1F"/>
        </w:rPr>
        <w:t>The Tax Cuts and Jobs Act changed the corporate tax rate from 35% to 21%, effective January 1, 2018. The impact on deferred tax assets and liabilities was recognized as an additional income tax expense of $3.6 million in the fourth quarter of 2017, when the act was signed into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is required to record a liability, referred to as an unrecognized tax benefit (“UTB”), for the entire amount of benefit taken in a prior or future income tax return when the Company determines that a tax position has a less than 50% likelihood of being accepted by the taxing authority. The following presents a reconciliation of the Company’s liability for UTBs for the years ended December 31, 2018, 2017, and 2016: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9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33"/>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Unrecognized Tax Benefits at Beginning of Year</w:t>
            </w:r>
          </w:p>
        </w:tc>
        <w:tc>
          <w:tcPr>
            <w:tcW w:w="1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5,292</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6,574</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11,602</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Gross Increases, Related to Tax Positions Taken in a Prior Period</w:t>
            </w:r>
          </w:p>
        </w:tc>
        <w:tc>
          <w:tcPr>
            <w:tcW w:w="19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44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273</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Decreases, Related to Tax Positions Taken in a Prior Period</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Gross Increases, Related to Current Period Tax Positions</w:t>
            </w:r>
          </w:p>
        </w:tc>
        <w:tc>
          <w:tcPr>
            <w:tcW w:w="19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885</w:t>
            </w:r>
          </w:p>
        </w:tc>
        <w:tc>
          <w:tcPr>
            <w:tcW w:w="44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1,124</w:t>
            </w:r>
          </w:p>
        </w:tc>
        <w:tc>
          <w:tcPr>
            <w:tcW w:w="4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395</w:t>
            </w:r>
          </w:p>
        </w:tc>
      </w:tr>
      <w:tr>
        <w:trPr>
          <w:trHeight w:val="33"/>
        </w:trPr>
        <w:tc>
          <w:tcPr>
            <w:tcW w:w="6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 with Taxing Authority</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Lapse of Statute of Limitations</w:t>
            </w:r>
          </w:p>
        </w:tc>
        <w:tc>
          <w:tcPr>
            <w:tcW w:w="19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(2,679)</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(4,336)</w:t>
            </w:r>
          </w:p>
        </w:tc>
      </w:tr>
      <w:tr>
        <w:trPr>
          <w:trHeight w:val="33"/>
        </w:trPr>
        <w:tc>
          <w:tcPr>
            <w:tcW w:w="6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Unrecognized Tax Benefits at End of Year</w:t>
            </w:r>
          </w:p>
        </w:tc>
        <w:tc>
          <w:tcPr>
            <w:tcW w:w="1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5,541</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5,292</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6,574</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2018 and 2017, $5.5 million and $5.3 million, respectively, in liabilities for UTBs was related to UTBs that if reversed would have an impact on the Company’s effective tax rate.</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Management believes that it is reasonably possible that the Company’s liability for UTBs could further decrease as a result of the expiration of statutes of limitations within the next 12 months. However, management is currently not able to estimate a range of possible change in the amount of the liability for UTBs recorded as of December 31, 2018.</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classifies interest and penalties, if any, related to the liability for UTBs as a component of the provision for income taxes. For the years ended December 31, 2018, 2017, and 2016, the Company recorded a net tax benefit of less than $0.1 million, $0.1 million, and $1.1 million, respectively, for interest and penalties. As of December 31, 2018 and 2017, the Company had accrued $0.9 million, respectively, for the payment of possible interest and penalties.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federal tax returns for 2015 through 2017 remain subject to examination. The company is currently under audit for tax year 2016. The Company's State of Hawaii income tax returns for 2015 through 2017 remain subject to examination by the taxing authorities.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and fair value of the Company’s derivative financial instruments as of December 31, 2018 and 2017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40" w:type="dxa"/>
            <w:vAlign w:val="bottom"/>
            <w:gridSpan w:val="4"/>
          </w:tcPr>
          <w:p>
            <w:pPr>
              <w:ind w:left="440"/>
              <w:spacing w:after="0"/>
              <w:rPr>
                <w:sz w:val="20"/>
                <w:szCs w:val="20"/>
                <w:color w:val="auto"/>
              </w:rPr>
            </w:pPr>
            <w:r>
              <w:rPr>
                <w:rFonts w:ascii="Arial" w:cs="Arial" w:eastAsia="Arial" w:hAnsi="Arial"/>
                <w:sz w:val="16"/>
                <w:szCs w:val="16"/>
                <w:b w:val="1"/>
                <w:bCs w:val="1"/>
                <w:color w:val="auto"/>
              </w:rPr>
              <w:t>December 31, 2018</w:t>
            </w:r>
          </w:p>
        </w:tc>
        <w:tc>
          <w:tcPr>
            <w:tcW w:w="620" w:type="dxa"/>
            <w:vAlign w:val="bottom"/>
          </w:tcPr>
          <w:p>
            <w:pPr>
              <w:spacing w:after="0"/>
              <w:rPr>
                <w:sz w:val="18"/>
                <w:szCs w:val="18"/>
                <w:color w:val="auto"/>
              </w:rPr>
            </w:pPr>
          </w:p>
        </w:tc>
        <w:tc>
          <w:tcPr>
            <w:tcW w:w="252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9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Notional Amount</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168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Notional Amount</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33,133</w:t>
            </w:r>
          </w:p>
        </w:tc>
        <w:tc>
          <w:tcPr>
            <w:tcW w:w="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35,422</w:t>
            </w:r>
          </w:p>
        </w:tc>
        <w:tc>
          <w:tcPr>
            <w:tcW w:w="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34,102</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45,143</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505,034</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374,670</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505,034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374,670</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2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55,663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54,332</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80,746</w:t>
            </w: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70,571</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December 31,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8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26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5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 Not Designated</w:t>
            </w:r>
          </w:p>
        </w:tc>
        <w:tc>
          <w:tcPr>
            <w:tcW w:w="580" w:type="dxa"/>
            <w:vAlign w:val="bottom"/>
          </w:tcPr>
          <w:p>
            <w:pPr>
              <w:spacing w:after="0"/>
              <w:rPr>
                <w:sz w:val="18"/>
                <w:szCs w:val="18"/>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Asset</w:t>
            </w:r>
          </w:p>
        </w:tc>
        <w:tc>
          <w:tcPr>
            <w:tcW w:w="44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Asset</w:t>
            </w: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Liability</w:t>
            </w:r>
          </w:p>
        </w:tc>
      </w:tr>
      <w:tr>
        <w:trPr>
          <w:trHeight w:val="243"/>
        </w:trPr>
        <w:tc>
          <w:tcPr>
            <w:tcW w:w="50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xml:space="preserve">as Hedging Instruments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4"/>
                <w:szCs w:val="14"/>
                <w:color w:val="auto"/>
              </w:rPr>
              <w:t>(dollars in thousands)</w:t>
            </w:r>
          </w:p>
        </w:tc>
        <w:tc>
          <w:tcPr>
            <w:tcW w:w="5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877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789</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58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5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12,915</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9,370</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9,583</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9,478</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58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808</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5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14,604</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10,518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63"/>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years ended December 31, 2018,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Pr>
          <w:p>
            <w:pPr>
              <w:spacing w:after="0"/>
              <w:rPr>
                <w:sz w:val="21"/>
                <w:szCs w:val="21"/>
                <w:color w:val="auto"/>
              </w:rPr>
            </w:pPr>
          </w:p>
        </w:tc>
        <w:tc>
          <w:tcPr>
            <w:tcW w:w="3720" w:type="dxa"/>
            <w:vAlign w:val="bottom"/>
          </w:tcPr>
          <w:p>
            <w:pPr>
              <w:jc w:val="right"/>
              <w:ind w:right="179"/>
              <w:spacing w:after="0"/>
              <w:rPr>
                <w:sz w:val="20"/>
                <w:szCs w:val="20"/>
                <w:color w:val="auto"/>
              </w:rPr>
            </w:pPr>
            <w:r>
              <w:rPr>
                <w:rFonts w:ascii="Arial" w:cs="Arial" w:eastAsia="Arial" w:hAnsi="Arial"/>
                <w:sz w:val="16"/>
                <w:szCs w:val="16"/>
                <w:b w:val="1"/>
                <w:bCs w:val="1"/>
                <w:color w:val="auto"/>
              </w:rPr>
              <w:t>Location of Net Gains</w:t>
            </w:r>
          </w:p>
        </w:tc>
        <w:tc>
          <w:tcPr>
            <w:tcW w:w="3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21"/>
                <w:szCs w:val="21"/>
                <w:color w:val="auto"/>
              </w:rPr>
            </w:pPr>
          </w:p>
        </w:tc>
      </w:tr>
      <w:tr>
        <w:trPr>
          <w:trHeight w:val="196"/>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 Not Designated</w:t>
            </w:r>
          </w:p>
        </w:tc>
        <w:tc>
          <w:tcPr>
            <w:tcW w:w="3720" w:type="dxa"/>
            <w:vAlign w:val="bottom"/>
          </w:tcPr>
          <w:p>
            <w:pPr>
              <w:jc w:val="right"/>
              <w:ind w:right="219"/>
              <w:spacing w:after="0"/>
              <w:rPr>
                <w:sz w:val="20"/>
                <w:szCs w:val="20"/>
                <w:color w:val="auto"/>
              </w:rPr>
            </w:pPr>
            <w:r>
              <w:rPr>
                <w:rFonts w:ascii="Arial" w:cs="Arial" w:eastAsia="Arial" w:hAnsi="Arial"/>
                <w:sz w:val="16"/>
                <w:szCs w:val="16"/>
                <w:b w:val="1"/>
                <w:bCs w:val="1"/>
                <w:color w:val="auto"/>
              </w:rPr>
              <w:t>(Losses)Recognized in the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4180" w:type="dxa"/>
            <w:vAlign w:val="bottom"/>
          </w:tcPr>
          <w:p>
            <w:pPr>
              <w:ind w:left="200"/>
              <w:spacing w:after="0"/>
              <w:rPr>
                <w:sz w:val="20"/>
                <w:szCs w:val="20"/>
                <w:color w:val="auto"/>
              </w:rPr>
            </w:pPr>
            <w:r>
              <w:rPr>
                <w:rFonts w:ascii="Arial" w:cs="Arial" w:eastAsia="Arial" w:hAnsi="Arial"/>
                <w:sz w:val="16"/>
                <w:szCs w:val="16"/>
                <w:b w:val="1"/>
                <w:bCs w:val="1"/>
                <w:color w:val="auto"/>
              </w:rPr>
              <w:t xml:space="preserve">as Hedging Instruments </w:t>
            </w:r>
            <w:r>
              <w:rPr>
                <w:rFonts w:ascii="Arial" w:cs="Arial" w:eastAsia="Arial" w:hAnsi="Arial"/>
                <w:sz w:val="14"/>
                <w:szCs w:val="14"/>
                <w:color w:val="auto"/>
              </w:rPr>
              <w:t>(dollars in thousands)</w:t>
            </w:r>
          </w:p>
        </w:tc>
        <w:tc>
          <w:tcPr>
            <w:tcW w:w="3720" w:type="dxa"/>
            <w:vAlign w:val="bottom"/>
          </w:tcPr>
          <w:p>
            <w:pPr>
              <w:jc w:val="right"/>
              <w:ind w:right="179"/>
              <w:spacing w:after="0"/>
              <w:rPr>
                <w:sz w:val="20"/>
                <w:szCs w:val="20"/>
                <w:color w:val="auto"/>
              </w:rPr>
            </w:pPr>
            <w:r>
              <w:rPr>
                <w:rFonts w:ascii="Arial" w:cs="Arial" w:eastAsia="Arial" w:hAnsi="Arial"/>
                <w:sz w:val="16"/>
                <w:szCs w:val="16"/>
                <w:b w:val="1"/>
                <w:bCs w:val="1"/>
                <w:color w:val="auto"/>
              </w:rPr>
              <w:t>Statements of Income</w:t>
            </w:r>
          </w:p>
        </w:tc>
        <w:tc>
          <w:tcPr>
            <w:tcW w:w="3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33"/>
        </w:trPr>
        <w:tc>
          <w:tcPr>
            <w:tcW w:w="41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3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3,534</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5,643</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7,834</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3720" w:type="dxa"/>
            <w:vAlign w:val="bottom"/>
          </w:tcPr>
          <w:p>
            <w:pPr>
              <w:jc w:val="right"/>
              <w:ind w:right="179"/>
              <w:spacing w:after="0"/>
              <w:rPr>
                <w:sz w:val="20"/>
                <w:szCs w:val="20"/>
                <w:color w:val="auto"/>
              </w:rPr>
            </w:pPr>
            <w:r>
              <w:rPr>
                <w:rFonts w:ascii="Arial" w:cs="Arial" w:eastAsia="Arial" w:hAnsi="Arial"/>
                <w:sz w:val="16"/>
                <w:szCs w:val="16"/>
                <w:color w:val="auto"/>
              </w:rPr>
              <w:t>Mortgage Banking</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821</w:t>
            </w:r>
          </w:p>
        </w:tc>
        <w:tc>
          <w:tcPr>
            <w:tcW w:w="4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(1,275)</w:t>
            </w:r>
          </w:p>
        </w:tc>
        <w:tc>
          <w:tcPr>
            <w:tcW w:w="4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1,741</w:t>
            </w:r>
          </w:p>
        </w:tc>
      </w:tr>
      <w:tr>
        <w:trPr>
          <w:trHeight w:val="33"/>
        </w:trPr>
        <w:tc>
          <w:tcPr>
            <w:tcW w:w="4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3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Other Noninterest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1,835</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698</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3720" w:type="dxa"/>
            <w:vAlign w:val="bottom"/>
          </w:tcPr>
          <w:p>
            <w:pPr>
              <w:jc w:val="right"/>
              <w:ind w:right="179"/>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3,163</w:t>
            </w:r>
          </w:p>
        </w:tc>
        <w:tc>
          <w:tcPr>
            <w:tcW w:w="44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3,296</w:t>
            </w:r>
          </w:p>
        </w:tc>
        <w:tc>
          <w:tcPr>
            <w:tcW w:w="4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2,962</w:t>
            </w:r>
          </w:p>
        </w:tc>
      </w:tr>
      <w:tr>
        <w:trPr>
          <w:trHeight w:val="33"/>
        </w:trPr>
        <w:tc>
          <w:tcPr>
            <w:tcW w:w="4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3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3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8,353</w:t>
            </w:r>
          </w:p>
        </w:tc>
        <w:tc>
          <w:tcPr>
            <w:tcW w:w="4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8,362</w:t>
            </w:r>
          </w:p>
        </w:tc>
        <w:tc>
          <w:tcPr>
            <w:tcW w:w="4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15,524</w:t>
            </w:r>
          </w:p>
        </w:tc>
      </w:tr>
      <w:tr>
        <w:trPr>
          <w:trHeight w:val="33"/>
        </w:trPr>
        <w:tc>
          <w:tcPr>
            <w:tcW w:w="41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5" w:right="2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2018 and 2017,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19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results in any derivative cleared through the clearinghouses to have a fair value that approximates zero on a daily basis. During the second quarter of 2017, the Company executed its first swap agreements cleared through the clearinghouses. As of December 31, 2018, the application of the rule change reduced the swap agreement liability by $3.9 million, as reflected in the table above. Going forward, the Company expects most of the swap agreements executed with third party financial institutions will be required to be cleared through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In June 2018, Visa announced a reduction of the conversion ratio from 1.6483 to 1.6298 effective June 28, 2018. As a result, the Company recorded a $1.0 million liability in June 2018 which represents the amount paid to the buyers of the Visa Class B shares in July 2018. As of December 31, 2018,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Affordable Housing Projects Tax Credit Partnerships</w:t>
      </w:r>
    </w:p>
    <w:p>
      <w:pPr>
        <w:spacing w:after="0" w:line="22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is a limited partner in each LIHTC limited partnership. Each limited partnership is managed by an unrelated third party general partner who exercises full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6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277" w:lineRule="auto"/>
        <w:rPr>
          <w:sz w:val="20"/>
          <w:szCs w:val="20"/>
          <w:color w:val="auto"/>
        </w:rPr>
      </w:pPr>
      <w:r>
        <w:rPr>
          <w:rFonts w:ascii="Arial" w:cs="Arial" w:eastAsia="Arial" w:hAnsi="Arial"/>
          <w:sz w:val="17"/>
          <w:szCs w:val="17"/>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$73.7 million and $71.7 million as of December 31, 2018 and 2017, respectively, and are included in other assets in the consolidated statements of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43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33"/>
        </w:trPr>
        <w:tc>
          <w:tcPr>
            <w:tcW w:w="61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5,506</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8,350</w:t>
            </w:r>
          </w:p>
        </w:tc>
      </w:tr>
      <w:tr>
        <w:trPr>
          <w:trHeight w:val="33"/>
        </w:trPr>
        <w:tc>
          <w:tcPr>
            <w:tcW w:w="61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1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24"/>
        </w:trPr>
        <w:tc>
          <w:tcPr>
            <w:tcW w:w="61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1,118</w:t>
            </w:r>
          </w:p>
        </w:tc>
      </w:tr>
      <w:tr>
        <w:trPr>
          <w:trHeight w:val="33"/>
        </w:trPr>
        <w:tc>
          <w:tcPr>
            <w:tcW w:w="61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15,198</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years ended December 31, 2018,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4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33"/>
        </w:trPr>
        <w:tc>
          <w:tcPr>
            <w:tcW w:w="60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2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2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13,572</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13,569</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13,996</w:t>
            </w:r>
          </w:p>
        </w:tc>
      </w:tr>
      <w:tr>
        <w:trPr>
          <w:trHeight w:val="33"/>
        </w:trPr>
        <w:tc>
          <w:tcPr>
            <w:tcW w:w="6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2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8,311</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8,373</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7,886</w:t>
            </w:r>
          </w:p>
        </w:tc>
      </w:tr>
      <w:tr>
        <w:trPr>
          <w:trHeight w:val="297"/>
        </w:trPr>
        <w:tc>
          <w:tcPr>
            <w:tcW w:w="6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2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2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1,641</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1,040</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6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24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1,332</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800</w:t>
            </w: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were no impairment losses related to LIHTC investments for the years ended December 31, 2018, 2017, and 2016. During the first quarter of 2018, the Company recorded a $2.0 million adjustment to increase its LIHTC investments. This adjustment resulted in a decrease to provision for income tax.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marketable securities, is posted by the party (i.e., the Company or the financial institution counterparty) with net liability positions in accordance with contract thresholds. The Company had a net liability positions with its financial institution counterparties totaling $0.3 million and $3.2 million as of December 31, 2018 and 2017, respectively. See Note 17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Parties to a centrally cleared over-the-counter derivative exchange daily payments that reflect the daily change in value of the derivative. Effective 2017, these payments, commonly referred to as variation margin, will be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17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December 31, 2018 and 2017,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9"/>
          </w:tcPr>
          <w:p>
            <w:pPr>
              <w:jc w:val="right"/>
              <w:ind w:right="303"/>
              <w:spacing w:after="0"/>
              <w:rPr>
                <w:sz w:val="20"/>
                <w:szCs w:val="20"/>
                <w:color w:val="auto"/>
              </w:rPr>
            </w:pPr>
            <w:r>
              <w:rPr>
                <w:rFonts w:ascii="Arial" w:cs="Arial" w:eastAsia="Arial" w:hAnsi="Arial"/>
                <w:sz w:val="16"/>
                <w:szCs w:val="16"/>
                <w:b w:val="1"/>
                <w:bCs w:val="1"/>
                <w:color w:val="auto"/>
                <w:w w:val="97"/>
              </w:rPr>
              <w:t>Remaining Contractual Maturity of Repurchase Agreements</w:t>
            </w:r>
          </w:p>
        </w:tc>
      </w:tr>
      <w:tr>
        <w:trPr>
          <w:trHeight w:val="33"/>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b w:val="1"/>
                <w:bCs w:val="1"/>
                <w:color w:val="auto"/>
              </w:rPr>
              <w:t>Up to</w:t>
            </w:r>
          </w:p>
        </w:tc>
        <w:tc>
          <w:tcPr>
            <w:tcW w:w="34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b w:val="1"/>
                <w:bCs w:val="1"/>
                <w:color w:val="auto"/>
              </w:rPr>
              <w:t>91-365</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90 days</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days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w w:val="92"/>
              </w:rPr>
              <w:t>1-3 Years</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198,442</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117,021</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315,463</w:t>
            </w: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00" w:type="dxa"/>
            <w:vAlign w:val="bottom"/>
          </w:tcPr>
          <w:p>
            <w:pPr>
              <w:spacing w:after="0"/>
              <w:rPr>
                <w:sz w:val="23"/>
                <w:szCs w:val="23"/>
                <w:color w:val="auto"/>
              </w:rPr>
            </w:pP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1,906</w:t>
            </w:r>
          </w:p>
        </w:tc>
        <w:tc>
          <w:tcPr>
            <w:tcW w:w="34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1,590</w:t>
            </w:r>
          </w:p>
        </w:tc>
        <w:tc>
          <w:tcPr>
            <w:tcW w:w="2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3,496</w:t>
            </w: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640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00" w:type="dxa"/>
            <w:vAlign w:val="bottom"/>
          </w:tcPr>
          <w:p>
            <w:pPr>
              <w:spacing w:after="0"/>
              <w:rPr>
                <w:sz w:val="23"/>
                <w:szCs w:val="23"/>
                <w:color w:val="auto"/>
              </w:rPr>
            </w:pP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800</w:t>
            </w:r>
          </w:p>
        </w:tc>
        <w:tc>
          <w:tcPr>
            <w:tcW w:w="340" w:type="dxa"/>
            <w:vAlign w:val="bottom"/>
          </w:tcPr>
          <w:p>
            <w:pPr>
              <w:spacing w:after="0"/>
              <w:rPr>
                <w:sz w:val="23"/>
                <w:szCs w:val="23"/>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26,558</w:t>
            </w:r>
          </w:p>
        </w:tc>
        <w:tc>
          <w:tcPr>
            <w:tcW w:w="28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70,341</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97,699</w:t>
            </w:r>
          </w:p>
        </w:tc>
      </w:tr>
      <w:tr>
        <w:trPr>
          <w:trHeight w:val="270"/>
        </w:trPr>
        <w:tc>
          <w:tcPr>
            <w:tcW w:w="6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87,638</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87,638</w:t>
            </w:r>
          </w:p>
        </w:tc>
      </w:tr>
      <w:tr>
        <w:trPr>
          <w:trHeight w:val="304"/>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2,706</w:t>
            </w:r>
          </w:p>
        </w:tc>
        <w:tc>
          <w:tcPr>
            <w:tcW w:w="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275,000</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504,296</w:t>
            </w:r>
          </w:p>
        </w:tc>
      </w:tr>
      <w:tr>
        <w:trPr>
          <w:trHeight w:val="160"/>
        </w:trPr>
        <w:tc>
          <w:tcPr>
            <w:tcW w:w="6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110,392</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202,484</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312,876</w:t>
            </w:r>
          </w:p>
        </w:tc>
      </w:tr>
      <w:tr>
        <w:trPr>
          <w:trHeight w:val="274"/>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1,200</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2,590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3,790</w:t>
            </w:r>
          </w:p>
        </w:tc>
      </w:tr>
      <w:tr>
        <w:trPr>
          <w:trHeight w:val="266"/>
        </w:trPr>
        <w:tc>
          <w:tcPr>
            <w:tcW w:w="640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6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1,503</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18,793</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80,960</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101,256</w:t>
            </w:r>
          </w:p>
        </w:tc>
      </w:tr>
      <w:tr>
        <w:trPr>
          <w:trHeight w:val="266"/>
        </w:trPr>
        <w:tc>
          <w:tcPr>
            <w:tcW w:w="64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20,815</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66,556</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87,371</w:t>
            </w:r>
          </w:p>
        </w:tc>
      </w:tr>
      <w:tr>
        <w:trPr>
          <w:trHeight w:val="264"/>
        </w:trPr>
        <w:tc>
          <w:tcPr>
            <w:tcW w:w="6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2,703</w:t>
            </w:r>
          </w:p>
        </w:tc>
        <w:tc>
          <w:tcPr>
            <w:tcW w:w="3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150,000</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350,000</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505,293</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December 31, 2018 and 2017. The swap agreements we have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(i)</w:t>
            </w:r>
          </w:p>
        </w:tc>
        <w:tc>
          <w:tcPr>
            <w:tcW w:w="16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(ii)</w:t>
            </w:r>
          </w:p>
        </w:tc>
        <w:tc>
          <w:tcPr>
            <w:tcW w:w="240" w:type="dxa"/>
            <w:vAlign w:val="bottom"/>
          </w:tcPr>
          <w:p>
            <w:pPr>
              <w:spacing w:after="0"/>
              <w:rPr>
                <w:sz w:val="18"/>
                <w:szCs w:val="18"/>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(iii) = (i)-(ii)</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(iv)</w:t>
            </w:r>
          </w:p>
        </w:tc>
        <w:tc>
          <w:tcPr>
            <w:tcW w:w="1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Gross Amounts Not Offset in the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0"/>
              </w:rPr>
              <w:t>Statements of Condition</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Netting</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Gross Amounts</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Gross Amounts</w:t>
            </w:r>
          </w:p>
        </w:tc>
        <w:tc>
          <w:tcPr>
            <w:tcW w:w="24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 Amounts</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Recognized in the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Offset in the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per Master</w:t>
            </w:r>
          </w:p>
        </w:tc>
        <w:tc>
          <w:tcPr>
            <w:tcW w:w="36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Fair Value of</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17"/>
                <w:szCs w:val="17"/>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Statements</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Netting</w:t>
            </w:r>
          </w:p>
        </w:tc>
        <w:tc>
          <w:tcPr>
            <w:tcW w:w="36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Collateral</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of Condition</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Arrangements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 xml:space="preserve">Pledged </w:t>
            </w:r>
            <w:r>
              <w:rPr>
                <w:rFonts w:ascii="Arial" w:cs="Arial" w:eastAsia="Arial" w:hAnsi="Arial"/>
                <w:sz w:val="21"/>
                <w:szCs w:val="21"/>
                <w:b w:val="1"/>
                <w:bCs w:val="1"/>
                <w:color w:val="auto"/>
                <w:w w:val="85"/>
                <w:vertAlign w:val="superscript"/>
              </w:rPr>
              <w:t>1</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Amount</w:t>
            </w: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7,572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7,572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1,490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6,082</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1,490</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1,490</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4,296</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4,296</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4,296</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Repurchase Agreements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504,296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504,296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5,453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5,453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4,017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1,436</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4,017</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4,017</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Repurchase Agreements: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5,293</w:t>
            </w: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5,293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Repurchase Agreements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505,293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505,293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180" w:right="40" w:hanging="172"/>
        <w:spacing w:after="0" w:line="252" w:lineRule="auto"/>
        <w:tabs>
          <w:tab w:leader="none" w:pos="180" w:val="left"/>
        </w:tabs>
        <w:numPr>
          <w:ilvl w:val="0"/>
          <w:numId w:val="64"/>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table. For swap agreements with institutional counterparties, the fair value of investment securities pledged was less than $0.1 million and $3.5 million as of December 31, 2018 and 2017, respectively. For repurchase agreements with private institutions, the fair value of investment securities pledged was $526.7 million and $563.3 million as of December 31, 2018 and 2017, respectively. For repurchase agreements with government entities, the fair value of investment securities pledged was $6.8 million and $6.9 million as of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Contingencies, and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December 31,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0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December 31, 2018</w:t>
            </w:r>
          </w:p>
        </w:tc>
      </w:tr>
      <w:tr>
        <w:trPr>
          <w:trHeight w:val="236"/>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40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2,646,085</w:t>
            </w:r>
          </w:p>
        </w:tc>
      </w:tr>
      <w:tr>
        <w:trPr>
          <w:trHeight w:val="224"/>
        </w:trPr>
        <w:tc>
          <w:tcPr>
            <w:tcW w:w="636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40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62,344</w:t>
            </w:r>
          </w:p>
        </w:tc>
      </w:tr>
      <w:tr>
        <w:trPr>
          <w:trHeight w:val="33"/>
        </w:trPr>
        <w:tc>
          <w:tcPr>
            <w:tcW w:w="6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Letters of Credit</w:t>
            </w:r>
          </w:p>
        </w:tc>
        <w:tc>
          <w:tcPr>
            <w:tcW w:w="40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9,411</w:t>
            </w:r>
          </w:p>
        </w:tc>
      </w:tr>
      <w:tr>
        <w:trPr>
          <w:trHeight w:val="21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40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2,717,840</w:t>
            </w:r>
          </w:p>
        </w:tc>
      </w:tr>
      <w:tr>
        <w:trPr>
          <w:trHeight w:val="33"/>
        </w:trPr>
        <w:tc>
          <w:tcPr>
            <w:tcW w:w="63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 Assets valued at $38.9 million secured certain specifically identified standby letters of credit as of December 31, 2018. As of December 31, 2018, the standby and commercial letters of credit had remaining terms ranging from 1 to 14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portion of the Company’s headquarters’ building is leased with a lease term through 2052. The Company leases certain other branch premises and equipment with lease terms extending through 2048. Most of the leases for premises provide for a base rent over a specified period with renewal options thereafter. Portions of certain properties are subleased for periods expiring in various years through 2033. Lease terms generally specify that the Company is to pay for taxes, maintenance, and other operating costs. Rental expense for all operating leases for the years ended December 31, 2018, 2017, and 2016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Minimum Rentals</w:t>
            </w:r>
          </w:p>
        </w:tc>
        <w:tc>
          <w:tcPr>
            <w:tcW w:w="3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19,326</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18,331</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18,377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Sublease Rental Income</w:t>
            </w:r>
          </w:p>
        </w:tc>
        <w:tc>
          <w:tcPr>
            <w:tcW w:w="3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(7,674)</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(7,056)</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(6,551)</w:t>
            </w:r>
          </w:p>
        </w:tc>
      </w:tr>
      <w:tr>
        <w:trPr>
          <w:trHeight w:val="33"/>
        </w:trPr>
        <w:tc>
          <w:tcPr>
            <w:tcW w:w="45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11,652</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11,275</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11,826</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Future minimum payments for capital leases and non-cancelable operating leases with initial or remaining terms of one year or more consisted of the following as of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Capital Leases</w:t>
            </w: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11,266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10,416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23,930</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104,877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Future Minimum Lease Payments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28,055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159,521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Amounts Representing Interest</w:t>
            </w: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(17,412)</w:t>
            </w: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Present Value of Net Future Minimum Lease Payments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10,643</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rental income receivable under non-cancelable subleases was $12.7 million as of December 31, 2018.</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5"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Company, along with other members of Visa, are parties to Loss and Judgment Sharing Agreements (the “Agreements”), which provide that the Company along with other member banks of Visa, will share, based on its proportionate interest in Visa, in any losses from certain litigation specified in the Agreements. In March 2008, Visa funded an escrow account from its initial public offering to settle claims covered under the Agreements. In connection with the initial public offering, the Company received restricted Class B common stock in Visa. Should the escrow account established by Visa not be sufficient to cover litigation claims specified in the Agreements, Visa is entitled to fund additional amounts to the escrow account by reducing each member bank’s Class B conversion ratio to unrestricted Class A shares. As of December 31, 2018, management believes that the Company’s indemnification of Visa, related to the costs of these lawsuits, will be sufficiently funded from the escrow account or through future reductions in the conversion ratio. See Note 3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and Note 17</w:t>
      </w:r>
      <w:r>
        <w:rPr>
          <w:rFonts w:ascii="Arial" w:cs="Arial" w:eastAsia="Arial" w:hAnsi="Arial"/>
          <w:sz w:val="17"/>
          <w:szCs w:val="17"/>
          <w:i w:val="1"/>
          <w:iCs w:val="1"/>
          <w:color w:val="auto"/>
        </w:rPr>
        <w:t xml:space="preserve"> Derivative Financial Instruments </w:t>
      </w:r>
      <w:r>
        <w:rPr>
          <w:rFonts w:ascii="Arial" w:cs="Arial" w:eastAsia="Arial" w:hAnsi="Arial"/>
          <w:sz w:val="17"/>
          <w:szCs w:val="17"/>
          <w:color w:val="auto"/>
        </w:rPr>
        <w:t>for more information.</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Additionally, on January 20, 2017, another purported class action lawsuit was filed by a Bank customer alleging Bank of Hawaii’s practice of assessing a continuous negative balance overdraft fee on accounts remaining in a negative balance for extended periods of time beyond the date of the initial overdraft constituted a usurious interest charge and a breach of contract with the customer.</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lawsuits are similar to lawsuits filed against other financial institutions pertaining to available balance overdraft fee disclosures and continuing negative balance overdraft fees. Because of the many questions of fact and law that may arise in the future, the outcome of these legal proceedings are uncertain at this point. This is because, among other things, our potential liability depends on whether a class is certified and, if so, the composition and size of any such class, the applicable time period at issue, as well as an assessment of the appropriate measure of damages if we were to be found liable. Management disputes any wrongdoing and the cases are being vigorously defended.</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Fannie Mae. The Company also pools FHA insured and VA guaranteed residential mortgage loans for sale to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December 31, 2018,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 by 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For the year ended December 31, 2018, the Company repurchased seven residential mortgage loans with an aggregate unpaid principal balance totaling $1.9 million as a result of the representation and warranty provisions contained in these contracts. The loans were delinquent as to principal and interest at the time of repurchase, however, no material losses were incurred related to these repurchases. As of December 31, 2018, there were no pending repurchase requests related to representation and warranty provisions.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year ended December 31, 2018, the Company had no repurchase requests related to loan servicing activities. As of December 31, 2018, there were no pending repurchase requests related to loan servicing activities.</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December 31, 2018, management believes that this exposure is not material due to the historical level of repurchase requests and loss trends and thus has not established a liability for losses related to mortgage loan repurchases. As of December 31, 2018,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description of the valuation methodologies and key inputs used to measure assets and liabilities recorded at fair value on a recurring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interest rate lock commitments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December 31, 2018 and 2017, the conversion rate swap agreements were valued at zero as reductions to the conversion ratio were neither probable nor reasonably estimable by management. See Note 17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125"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balances of assets and liabilities measured at fair value on a recurring basis as of December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w w:val="90"/>
              </w:rPr>
              <w:t>Quoted Prices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In Active</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Significant</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Markets for</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2220" w:type="dxa"/>
            <w:vAlign w:val="bottom"/>
            <w:gridSpan w:val="2"/>
          </w:tcPr>
          <w:p>
            <w:pPr>
              <w:ind w:left="900"/>
              <w:spacing w:after="0"/>
              <w:rPr>
                <w:sz w:val="20"/>
                <w:szCs w:val="20"/>
                <w:color w:val="auto"/>
              </w:rPr>
            </w:pPr>
            <w:r>
              <w:rPr>
                <w:rFonts w:ascii="Arial" w:cs="Arial" w:eastAsia="Arial" w:hAnsi="Arial"/>
                <w:sz w:val="16"/>
                <w:szCs w:val="16"/>
                <w:b w:val="1"/>
                <w:bCs w:val="1"/>
                <w:color w:val="auto"/>
              </w:rPr>
              <w:t>Identical Assets</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Observable</w:t>
            </w:r>
          </w:p>
        </w:tc>
        <w:tc>
          <w:tcPr>
            <w:tcW w:w="1400" w:type="dxa"/>
            <w:vAlign w:val="bottom"/>
            <w:gridSpan w:val="2"/>
          </w:tcPr>
          <w:p>
            <w:pPr>
              <w:ind w:left="240"/>
              <w:spacing w:after="0"/>
              <w:rPr>
                <w:sz w:val="20"/>
                <w:szCs w:val="20"/>
                <w:color w:val="auto"/>
              </w:rPr>
            </w:pPr>
            <w:r>
              <w:rPr>
                <w:rFonts w:ascii="Arial" w:cs="Arial" w:eastAsia="Arial" w:hAnsi="Arial"/>
                <w:sz w:val="16"/>
                <w:szCs w:val="16"/>
                <w:b w:val="1"/>
                <w:bCs w:val="1"/>
                <w:color w:val="auto"/>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or Liabilities</w:t>
            </w:r>
          </w:p>
        </w:tc>
        <w:tc>
          <w:tcPr>
            <w:tcW w:w="3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Inputs</w:t>
            </w:r>
          </w:p>
        </w:tc>
        <w:tc>
          <w:tcPr>
            <w:tcW w:w="3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98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980" w:type="dxa"/>
            <w:vAlign w:val="bottom"/>
          </w:tcPr>
          <w:p>
            <w:pPr>
              <w:ind w:left="560"/>
              <w:spacing w:after="0"/>
              <w:rPr>
                <w:sz w:val="20"/>
                <w:szCs w:val="20"/>
                <w:color w:val="auto"/>
              </w:rPr>
            </w:pPr>
            <w:r>
              <w:rPr>
                <w:rFonts w:ascii="Arial" w:cs="Arial" w:eastAsia="Arial" w:hAnsi="Arial"/>
                <w:sz w:val="16"/>
                <w:szCs w:val="16"/>
                <w:color w:val="auto"/>
              </w:rPr>
              <w:t>and Government Agencies</w:t>
            </w:r>
          </w:p>
        </w:tc>
        <w:tc>
          <w:tcPr>
            <w:tcW w:w="980" w:type="dxa"/>
            <w:vAlign w:val="bottom"/>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972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391,429</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392,401</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States and Political Subdivisions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563,996</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563,996</w:t>
            </w:r>
          </w:p>
        </w:tc>
      </w:tr>
      <w:tr>
        <w:trPr>
          <w:trHeight w:val="220"/>
        </w:trPr>
        <w:tc>
          <w:tcPr>
            <w:tcW w:w="4980" w:type="dxa"/>
            <w:vAlign w:val="bottom"/>
          </w:tcPr>
          <w:p>
            <w:pPr>
              <w:ind w:left="280"/>
              <w:spacing w:after="0"/>
              <w:rPr>
                <w:sz w:val="20"/>
                <w:szCs w:val="20"/>
                <w:color w:val="auto"/>
              </w:rPr>
            </w:pPr>
            <w:r>
              <w:rPr>
                <w:rFonts w:ascii="Arial" w:cs="Arial" w:eastAsia="Arial" w:hAnsi="Arial"/>
                <w:sz w:val="16"/>
                <w:szCs w:val="16"/>
                <w:color w:val="auto"/>
              </w:rPr>
              <w:t>Debt Securities Issued by</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980" w:type="dxa"/>
            <w:vAlign w:val="bottom"/>
          </w:tcPr>
          <w:p>
            <w:pPr>
              <w:ind w:left="440"/>
              <w:spacing w:after="0"/>
              <w:rPr>
                <w:sz w:val="20"/>
                <w:szCs w:val="20"/>
                <w:color w:val="auto"/>
              </w:rPr>
            </w:pPr>
            <w:r>
              <w:rPr>
                <w:rFonts w:ascii="Arial" w:cs="Arial" w:eastAsia="Arial" w:hAnsi="Arial"/>
                <w:sz w:val="16"/>
                <w:szCs w:val="16"/>
                <w:color w:val="auto"/>
              </w:rPr>
              <w:t>U.S. Government-Sponsored Enterprises</w:t>
            </w:r>
          </w:p>
        </w:tc>
        <w:tc>
          <w:tcPr>
            <w:tcW w:w="9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Corporations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223,140</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223,140</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Residential - Government Agencies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190,442</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190,442</w:t>
            </w:r>
          </w:p>
        </w:tc>
      </w:tr>
      <w:tr>
        <w:trPr>
          <w:trHeight w:val="237"/>
        </w:trPr>
        <w:tc>
          <w:tcPr>
            <w:tcW w:w="4980" w:type="dxa"/>
            <w:vAlign w:val="bottom"/>
          </w:tcPr>
          <w:p>
            <w:pPr>
              <w:ind w:left="520"/>
              <w:spacing w:after="0"/>
              <w:rPr>
                <w:sz w:val="20"/>
                <w:szCs w:val="20"/>
                <w:color w:val="auto"/>
              </w:rPr>
            </w:pPr>
            <w:r>
              <w:rPr>
                <w:rFonts w:ascii="Arial" w:cs="Arial" w:eastAsia="Arial" w:hAnsi="Arial"/>
                <w:sz w:val="16"/>
                <w:szCs w:val="16"/>
                <w:color w:val="auto"/>
              </w:rPr>
              <w:t>Residential - U.S. Government-Sponsored Enterprises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578,527</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578,527</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Commercial - Government Agencies</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0066CC"/>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59,380</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0066CC"/>
              </w:rPr>
              <w: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59,380</w:t>
            </w:r>
          </w:p>
        </w:tc>
      </w:tr>
      <w:tr>
        <w:trPr>
          <w:trHeight w:val="231"/>
        </w:trPr>
        <w:tc>
          <w:tcPr>
            <w:tcW w:w="49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Mortgage-Backed Securities</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828,349</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828,349</w:t>
            </w:r>
          </w:p>
        </w:tc>
      </w:tr>
      <w:tr>
        <w:trPr>
          <w:trHeight w:val="33"/>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9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972</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2,006,970</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2,007,942</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Loans Held for Sale</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10,987</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10,987</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1,290</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31,871</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31,871</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812</w:t>
            </w: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13,792</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14,604</w:t>
            </w:r>
          </w:p>
        </w:tc>
      </w:tr>
      <w:tr>
        <w:trPr>
          <w:trHeight w:val="209"/>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Recurring Basis as of December 31, 2018</w:t>
            </w:r>
          </w:p>
        </w:tc>
        <w:tc>
          <w:tcPr>
            <w:tcW w:w="980" w:type="dxa"/>
            <w:vAlign w:val="bottom"/>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32,843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2,018,769</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15,082</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2,066,694</w:t>
            </w:r>
          </w:p>
        </w:tc>
      </w:tr>
      <w:tr>
        <w:trPr>
          <w:trHeight w:val="73"/>
        </w:trPr>
        <w:tc>
          <w:tcPr>
            <w:tcW w:w="4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43"/>
        </w:trPr>
        <w:tc>
          <w:tcPr>
            <w:tcW w:w="4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371</w:t>
            </w:r>
          </w:p>
        </w:tc>
        <w:tc>
          <w:tcPr>
            <w:tcW w:w="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9,376</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r>
      <w:tr>
        <w:trPr>
          <w:trHeight w:val="209"/>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Recurring Basis as of December 31, 2018</w:t>
            </w:r>
          </w:p>
        </w:tc>
        <w:tc>
          <w:tcPr>
            <w:tcW w:w="980" w:type="dxa"/>
            <w:vAlign w:val="bottom"/>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371</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9,376</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9,747</w:t>
            </w:r>
          </w:p>
        </w:tc>
      </w:tr>
      <w:tr>
        <w:trPr>
          <w:trHeight w:val="73"/>
        </w:trPr>
        <w:tc>
          <w:tcPr>
            <w:tcW w:w="4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43"/>
        </w:trPr>
        <w:tc>
          <w:tcPr>
            <w:tcW w:w="4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Investment Securities Available-for-Sale</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and Government Agencies</w:t>
            </w:r>
          </w:p>
        </w:tc>
        <w:tc>
          <w:tcPr>
            <w:tcW w:w="9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425,392</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425,930</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Debt Securities Issued by States and Political Subdivisions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627,019</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627,019</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Corporations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266,111</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266,111</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Residential - Government Agencies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235,360</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235,360</w:t>
            </w:r>
          </w:p>
        </w:tc>
      </w:tr>
      <w:tr>
        <w:trPr>
          <w:trHeight w:val="237"/>
        </w:trPr>
        <w:tc>
          <w:tcPr>
            <w:tcW w:w="4980" w:type="dxa"/>
            <w:vAlign w:val="bottom"/>
          </w:tcPr>
          <w:p>
            <w:pPr>
              <w:ind w:left="520"/>
              <w:spacing w:after="0"/>
              <w:rPr>
                <w:sz w:val="20"/>
                <w:szCs w:val="20"/>
                <w:color w:val="auto"/>
              </w:rPr>
            </w:pPr>
            <w:r>
              <w:rPr>
                <w:rFonts w:ascii="Arial" w:cs="Arial" w:eastAsia="Arial" w:hAnsi="Arial"/>
                <w:sz w:val="16"/>
                <w:szCs w:val="16"/>
                <w:color w:val="auto"/>
              </w:rPr>
              <w:t>Residential - U.S. Government-Sponsored Enterprises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609,812</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609,812</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Commercial - Government Agencies</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0066CC"/>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68,747</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0066CC"/>
              </w:rPr>
              <w: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68,747</w:t>
            </w:r>
          </w:p>
        </w:tc>
      </w:tr>
      <w:tr>
        <w:trPr>
          <w:trHeight w:val="231"/>
        </w:trPr>
        <w:tc>
          <w:tcPr>
            <w:tcW w:w="49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Mortgage-Backed Securities</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913,919</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913,919</w:t>
            </w:r>
          </w:p>
        </w:tc>
      </w:tr>
      <w:tr>
        <w:trPr>
          <w:trHeight w:val="33"/>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9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538</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2,232,441</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2,232,979</w:t>
            </w:r>
          </w:p>
        </w:tc>
      </w:tr>
      <w:tr>
        <w:trPr>
          <w:trHeight w:val="231"/>
        </w:trPr>
        <w:tc>
          <w:tcPr>
            <w:tcW w:w="4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Loans Held for Sale</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19,231</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19,231</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1,454</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29,230</w:t>
            </w:r>
          </w:p>
        </w:tc>
        <w:tc>
          <w:tcPr>
            <w:tcW w:w="32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29,230</w:t>
            </w: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146</w:t>
            </w: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10,372</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10,518</w:t>
            </w:r>
          </w:p>
        </w:tc>
      </w:tr>
      <w:tr>
        <w:trPr>
          <w:trHeight w:val="209"/>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Recurring Basis as of December 31, 2017</w:t>
            </w:r>
          </w:p>
        </w:tc>
        <w:tc>
          <w:tcPr>
            <w:tcW w:w="980" w:type="dxa"/>
            <w:vAlign w:val="bottom"/>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29,768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2,251,818</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11,826</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2,293,412</w:t>
            </w:r>
          </w:p>
        </w:tc>
      </w:tr>
      <w:tr>
        <w:trPr>
          <w:trHeight w:val="73"/>
        </w:trPr>
        <w:tc>
          <w:tcPr>
            <w:tcW w:w="49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43"/>
        </w:trPr>
        <w:tc>
          <w:tcPr>
            <w:tcW w:w="4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215</w:t>
            </w:r>
          </w:p>
        </w:tc>
        <w:tc>
          <w:tcPr>
            <w:tcW w:w="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09"/>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Recurring Basis as of December 31, 2017</w:t>
            </w:r>
          </w:p>
        </w:tc>
        <w:tc>
          <w:tcPr>
            <w:tcW w:w="980" w:type="dxa"/>
            <w:vAlign w:val="bottom"/>
          </w:tcPr>
          <w:p>
            <w:pPr>
              <w:ind w:left="8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9,693</w:t>
            </w:r>
          </w:p>
        </w:tc>
      </w:tr>
      <w:tr>
        <w:trPr>
          <w:trHeight w:val="33"/>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17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25" w:right="239" w:bottom="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5" w:right="239" w:bottom="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2018 and 2017, the changes in Level 3 assets and liabilities measured at fair value on a recurring basis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r>
      <w:tr>
        <w:trPr>
          <w:trHeight w:val="203"/>
        </w:trPr>
        <w:tc>
          <w:tcPr>
            <w:tcW w:w="6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Mortgage</w:t>
            </w:r>
          </w:p>
        </w:tc>
        <w:tc>
          <w:tcPr>
            <w:tcW w:w="3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r>
      <w:tr>
        <w:trPr>
          <w:trHeight w:val="24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60" w:type="dxa"/>
            <w:vAlign w:val="bottom"/>
            <w:tcBorders>
              <w:bottom w:val="single" w:sz="8" w:color="auto"/>
            </w:tcBorders>
            <w:gridSpan w:val="2"/>
          </w:tcPr>
          <w:p>
            <w:pPr>
              <w:ind w:left="2120"/>
              <w:spacing w:after="0"/>
              <w:rPr>
                <w:sz w:val="20"/>
                <w:szCs w:val="20"/>
                <w:color w:val="auto"/>
              </w:rPr>
            </w:pPr>
            <w:r>
              <w:rPr>
                <w:rFonts w:ascii="Arial" w:cs="Arial" w:eastAsia="Arial" w:hAnsi="Arial"/>
                <w:sz w:val="16"/>
                <w:szCs w:val="16"/>
                <w:b w:val="1"/>
                <w:bCs w:val="1"/>
                <w:color w:val="auto"/>
              </w:rPr>
              <w:t xml:space="preserve">Servicing Rights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21"/>
                <w:szCs w:val="21"/>
                <w:b w:val="1"/>
                <w:bCs w:val="1"/>
                <w:color w:val="auto"/>
                <w:vertAlign w:val="superscript"/>
              </w:rPr>
              <w:t>2</w:t>
            </w: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400" w:type="dxa"/>
            <w:vAlign w:val="bottom"/>
          </w:tcPr>
          <w:p>
            <w:pPr>
              <w:ind w:left="2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1,454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Included in Net Income</w:t>
            </w:r>
          </w:p>
        </w:tc>
        <w:tc>
          <w:tcPr>
            <w:tcW w:w="24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3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3,534</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(3,451)</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40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3,439</w:t>
            </w:r>
          </w:p>
        </w:tc>
      </w:tr>
      <w:tr>
        <w:trPr>
          <w:trHeight w:val="33"/>
        </w:trPr>
        <w:tc>
          <w:tcPr>
            <w:tcW w:w="6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4,416</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Related to Assets Still Held as of December 31, 2018</w:t>
            </w:r>
          </w:p>
        </w:tc>
        <w:tc>
          <w:tcPr>
            <w:tcW w:w="2400" w:type="dxa"/>
            <w:vAlign w:val="bottom"/>
          </w:tcPr>
          <w:p>
            <w:pPr>
              <w:ind w:left="2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4,416</w:t>
            </w:r>
          </w:p>
        </w:tc>
      </w:tr>
      <w:tr>
        <w:trPr>
          <w:trHeight w:val="73"/>
        </w:trPr>
        <w:tc>
          <w:tcPr>
            <w:tcW w:w="628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10"/>
        </w:trPr>
        <w:tc>
          <w:tcPr>
            <w:tcW w:w="6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2017</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1,655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Included in Net Income</w:t>
            </w:r>
          </w:p>
        </w:tc>
        <w:tc>
          <w:tcPr>
            <w:tcW w:w="2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5,648</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40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(5,921)</w:t>
            </w:r>
          </w:p>
        </w:tc>
      </w:tr>
      <w:tr>
        <w:trPr>
          <w:trHeight w:val="33"/>
        </w:trPr>
        <w:tc>
          <w:tcPr>
            <w:tcW w:w="6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31"/>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2400" w:type="dxa"/>
            <w:vAlign w:val="bottom"/>
            <w:tcBorders>
              <w:top w:val="single" w:sz="8" w:color="auto"/>
            </w:tcBorders>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1,454</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894</w:t>
            </w:r>
          </w:p>
        </w:tc>
      </w:tr>
      <w:tr>
        <w:trPr>
          <w:trHeight w:val="73"/>
        </w:trPr>
        <w:tc>
          <w:tcPr>
            <w:tcW w:w="628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96"/>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8"/>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Related to Assets Still Held as of December 31, 2017</w:t>
            </w:r>
          </w:p>
        </w:tc>
        <w:tc>
          <w:tcPr>
            <w:tcW w:w="240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180" w:right="60" w:hanging="172"/>
        <w:spacing w:after="0" w:line="338" w:lineRule="auto"/>
        <w:tabs>
          <w:tab w:leader="none" w:pos="180" w:val="left"/>
        </w:tabs>
        <w:numPr>
          <w:ilvl w:val="0"/>
          <w:numId w:val="67"/>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December 31, 2018 and 2017,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80" w:type="dxa"/>
            <w:vAlign w:val="bottom"/>
            <w:gridSpan w:val="2"/>
          </w:tcPr>
          <w:p>
            <w:pPr>
              <w:jc w:val="right"/>
              <w:ind w:right="485"/>
              <w:spacing w:after="0"/>
              <w:rPr>
                <w:sz w:val="20"/>
                <w:szCs w:val="20"/>
                <w:color w:val="auto"/>
              </w:rPr>
            </w:pPr>
            <w:r>
              <w:rPr>
                <w:rFonts w:ascii="Arial" w:cs="Arial" w:eastAsia="Arial" w:hAnsi="Arial"/>
                <w:sz w:val="16"/>
                <w:szCs w:val="16"/>
                <w:b w:val="1"/>
                <w:bCs w:val="1"/>
                <w:color w:val="auto"/>
              </w:rPr>
              <w:t>Significant Unobservable Inputs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80" w:type="dxa"/>
            <w:vAlign w:val="bottom"/>
            <w:gridSpan w:val="2"/>
          </w:tcPr>
          <w:p>
            <w:pPr>
              <w:jc w:val="right"/>
              <w:ind w:right="945"/>
              <w:spacing w:after="0"/>
              <w:rPr>
                <w:sz w:val="20"/>
                <w:szCs w:val="20"/>
                <w:color w:val="auto"/>
              </w:rPr>
            </w:pPr>
            <w:r>
              <w:rPr>
                <w:rFonts w:ascii="Arial" w:cs="Arial" w:eastAsia="Arial" w:hAnsi="Arial"/>
                <w:sz w:val="16"/>
                <w:szCs w:val="16"/>
                <w:b w:val="1"/>
                <w:bCs w:val="1"/>
                <w:color w:val="auto"/>
              </w:rPr>
              <w:t>(weighted-average)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386"/>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Valuation Technique</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Description</w:t>
            </w:r>
          </w:p>
        </w:tc>
        <w:tc>
          <w:tcPr>
            <w:tcW w:w="1500" w:type="dxa"/>
            <w:vAlign w:val="bottom"/>
            <w:tcBorders>
              <w:bottom w:val="single" w:sz="8" w:color="auto"/>
            </w:tcBorders>
          </w:tcPr>
          <w:p>
            <w:pPr>
              <w:jc w:val="right"/>
              <w:ind w:right="625"/>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Servicing Rights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Discounted Cash Flow</w:t>
            </w:r>
          </w:p>
        </w:tc>
        <w:tc>
          <w:tcPr>
            <w:tcW w:w="2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500" w:type="dxa"/>
            <w:vAlign w:val="bottom"/>
            <w:vMerge w:val="restart"/>
            <w:shd w:val="clear" w:color="auto" w:fill="CCEEFF"/>
          </w:tcPr>
          <w:p>
            <w:pPr>
              <w:jc w:val="right"/>
              <w:ind w:right="505"/>
              <w:spacing w:after="0"/>
              <w:rPr>
                <w:sz w:val="20"/>
                <w:szCs w:val="20"/>
                <w:color w:val="auto"/>
              </w:rPr>
            </w:pPr>
            <w:r>
              <w:rPr>
                <w:rFonts w:ascii="Arial" w:cs="Arial" w:eastAsia="Arial" w:hAnsi="Arial"/>
                <w:sz w:val="14"/>
                <w:szCs w:val="14"/>
                <w:color w:val="auto"/>
              </w:rPr>
              <w:t>7.01%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1"/>
                <w:szCs w:val="2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30,508</w:t>
            </w:r>
          </w:p>
        </w:tc>
        <w:tc>
          <w:tcPr>
            <w:tcW w:w="4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w w:val="97"/>
              </w:rPr>
              <w:t>28,170</w:t>
            </w: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12"/>
                <w:szCs w:val="12"/>
                <w:color w:val="auto"/>
              </w:rPr>
            </w:pPr>
          </w:p>
        </w:tc>
        <w:tc>
          <w:tcPr>
            <w:tcW w:w="2160" w:type="dxa"/>
            <w:vAlign w:val="bottom"/>
            <w:vMerge w:val="continue"/>
            <w:shd w:val="clear" w:color="auto" w:fill="CCEEFF"/>
          </w:tcPr>
          <w:p>
            <w:pPr>
              <w:spacing w:after="0"/>
              <w:rPr>
                <w:sz w:val="12"/>
                <w:szCs w:val="12"/>
                <w:color w:val="auto"/>
              </w:rPr>
            </w:pPr>
          </w:p>
        </w:tc>
        <w:tc>
          <w:tcPr>
            <w:tcW w:w="238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500" w:type="dxa"/>
            <w:vAlign w:val="bottom"/>
          </w:tcPr>
          <w:p>
            <w:pPr>
              <w:jc w:val="right"/>
              <w:ind w:right="505"/>
              <w:spacing w:after="0"/>
              <w:rPr>
                <w:sz w:val="20"/>
                <w:szCs w:val="20"/>
                <w:color w:val="auto"/>
              </w:rPr>
            </w:pPr>
            <w:r>
              <w:rPr>
                <w:rFonts w:ascii="Arial" w:cs="Arial" w:eastAsia="Arial" w:hAnsi="Arial"/>
                <w:sz w:val="14"/>
                <w:szCs w:val="14"/>
                <w:color w:val="auto"/>
              </w:rPr>
              <w:t>9.59%</w:t>
            </w:r>
          </w:p>
        </w:tc>
        <w:tc>
          <w:tcPr>
            <w:tcW w:w="50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20"/>
              <w:spacing w:after="0"/>
              <w:rPr>
                <w:sz w:val="20"/>
                <w:szCs w:val="20"/>
                <w:color w:val="auto"/>
              </w:rPr>
            </w:pPr>
            <w:r>
              <w:rPr>
                <w:rFonts w:ascii="Arial" w:cs="Arial" w:eastAsia="Arial" w:hAnsi="Arial"/>
                <w:sz w:val="14"/>
                <w:szCs w:val="14"/>
                <w:color w:val="auto"/>
              </w:rPr>
              <w:t>Net Derivative Assets and Liabilities:</w:t>
            </w:r>
          </w:p>
        </w:tc>
        <w:tc>
          <w:tcPr>
            <w:tcW w:w="2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Lock Commitments</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Pricing Model</w:t>
            </w:r>
          </w:p>
        </w:tc>
        <w:tc>
          <w:tcPr>
            <w:tcW w:w="2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Closing Ratio</w:t>
            </w:r>
          </w:p>
        </w:tc>
        <w:tc>
          <w:tcPr>
            <w:tcW w:w="1500" w:type="dxa"/>
            <w:vAlign w:val="bottom"/>
            <w:vMerge w:val="restart"/>
            <w:shd w:val="clear" w:color="auto" w:fill="CCEEFF"/>
          </w:tcPr>
          <w:p>
            <w:pPr>
              <w:jc w:val="right"/>
              <w:ind w:right="505"/>
              <w:spacing w:after="0"/>
              <w:rPr>
                <w:sz w:val="20"/>
                <w:szCs w:val="20"/>
                <w:color w:val="auto"/>
              </w:rPr>
            </w:pPr>
            <w:r>
              <w:rPr>
                <w:rFonts w:ascii="Arial" w:cs="Arial" w:eastAsia="Arial" w:hAnsi="Arial"/>
                <w:sz w:val="14"/>
                <w:szCs w:val="14"/>
                <w:color w:val="auto"/>
              </w:rPr>
              <w:t>89.00%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93.25%</w:t>
            </w:r>
          </w:p>
        </w:tc>
        <w:tc>
          <w:tcPr>
            <w:tcW w:w="100" w:type="dxa"/>
            <w:vAlign w:val="bottom"/>
            <w:shd w:val="clear" w:color="auto" w:fill="CCEEFF"/>
          </w:tcPr>
          <w:p>
            <w:pPr>
              <w:spacing w:after="0"/>
              <w:rPr>
                <w:sz w:val="21"/>
                <w:szCs w:val="21"/>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3"/>
              <w:spacing w:after="0"/>
              <w:rPr>
                <w:sz w:val="20"/>
                <w:szCs w:val="20"/>
                <w:color w:val="auto"/>
              </w:rPr>
            </w:pPr>
            <w:r>
              <w:rPr>
                <w:rFonts w:ascii="Arial" w:cs="Arial" w:eastAsia="Arial" w:hAnsi="Arial"/>
                <w:sz w:val="14"/>
                <w:szCs w:val="14"/>
                <w:color w:val="auto"/>
              </w:rPr>
              <w:t>871</w:t>
            </w:r>
          </w:p>
        </w:tc>
        <w:tc>
          <w:tcPr>
            <w:tcW w:w="4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spacing w:after="0"/>
              <w:rPr>
                <w:sz w:val="12"/>
                <w:szCs w:val="12"/>
                <w:color w:val="auto"/>
              </w:rPr>
            </w:pPr>
          </w:p>
        </w:tc>
        <w:tc>
          <w:tcPr>
            <w:tcW w:w="2160" w:type="dxa"/>
            <w:vAlign w:val="bottom"/>
            <w:vMerge w:val="continue"/>
            <w:shd w:val="clear" w:color="auto" w:fill="CCEEFF"/>
          </w:tcPr>
          <w:p>
            <w:pPr>
              <w:spacing w:after="0"/>
              <w:rPr>
                <w:sz w:val="12"/>
                <w:szCs w:val="12"/>
                <w:color w:val="auto"/>
              </w:rPr>
            </w:pPr>
          </w:p>
        </w:tc>
        <w:tc>
          <w:tcPr>
            <w:tcW w:w="238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200"/>
              <w:spacing w:after="0"/>
              <w:rPr>
                <w:sz w:val="20"/>
                <w:szCs w:val="20"/>
                <w:color w:val="auto"/>
              </w:rPr>
            </w:pPr>
            <w:r>
              <w:rPr>
                <w:rFonts w:ascii="Arial" w:cs="Arial" w:eastAsia="Arial" w:hAnsi="Arial"/>
                <w:sz w:val="14"/>
                <w:szCs w:val="14"/>
                <w:color w:val="auto"/>
              </w:rPr>
              <w:t>Interest Rate Swap Agreements</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auto"/>
              </w:rPr>
              <w:t>Discounted Cash Flow</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Credit Factor</w:t>
            </w:r>
          </w:p>
        </w:tc>
        <w:tc>
          <w:tcPr>
            <w:tcW w:w="1500" w:type="dxa"/>
            <w:vAlign w:val="bottom"/>
            <w:vMerge w:val="restart"/>
          </w:tcPr>
          <w:p>
            <w:pPr>
              <w:jc w:val="right"/>
              <w:ind w:right="505"/>
              <w:spacing w:after="0"/>
              <w:rPr>
                <w:sz w:val="20"/>
                <w:szCs w:val="20"/>
                <w:color w:val="auto"/>
              </w:rPr>
            </w:pPr>
            <w:r>
              <w:rPr>
                <w:rFonts w:ascii="Arial" w:cs="Arial" w:eastAsia="Arial" w:hAnsi="Arial"/>
                <w:sz w:val="14"/>
                <w:szCs w:val="14"/>
                <w:color w:val="auto"/>
              </w:rPr>
              <w:t>0.06%</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1"/>
                <w:szCs w:val="2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3"/>
              <w:spacing w:after="0"/>
              <w:rPr>
                <w:sz w:val="20"/>
                <w:szCs w:val="20"/>
                <w:color w:val="auto"/>
              </w:rPr>
            </w:pPr>
            <w:r>
              <w:rPr>
                <w:rFonts w:ascii="Arial" w:cs="Arial" w:eastAsia="Arial" w:hAnsi="Arial"/>
                <w:sz w:val="14"/>
                <w:szCs w:val="14"/>
                <w:color w:val="auto"/>
              </w:rPr>
              <w:t>3,545</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6"/>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38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60" w:hanging="152"/>
        <w:spacing w:after="0"/>
        <w:tabs>
          <w:tab w:leader="none" w:pos="160" w:val="left"/>
        </w:tabs>
        <w:numPr>
          <w:ilvl w:val="0"/>
          <w:numId w:val="68"/>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160" w:hanging="152"/>
        <w:spacing w:after="0"/>
        <w:tabs>
          <w:tab w:leader="none" w:pos="160" w:val="left"/>
        </w:tabs>
        <w:numPr>
          <w:ilvl w:val="0"/>
          <w:numId w:val="69"/>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 to historical prepayment data. The Treasury Division also compares the fair value of the Company’s mortgage servicing rights to a value calculated by an independent third party.</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our secondary marketing system using historical data and the ratio is periodically reviewed by the Company for reasonableness.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For the years ended December 31, 2018 and 2017, there were no material adjustments to fair value for the Company’s assets and liabilities measured at fair value on a nonrecurring basis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December 31,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Aggregate Fair Value</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Aggregate</w:t>
            </w:r>
          </w:p>
        </w:tc>
        <w:tc>
          <w:tcPr>
            <w:tcW w:w="540" w:type="dxa"/>
            <w:vAlign w:val="bottom"/>
          </w:tcPr>
          <w:p>
            <w:pPr>
              <w:spacing w:after="0"/>
              <w:rPr>
                <w:sz w:val="17"/>
                <w:szCs w:val="17"/>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Less Aggregate</w:t>
            </w:r>
          </w:p>
        </w:tc>
        <w:tc>
          <w:tcPr>
            <w:tcW w:w="0" w:type="dxa"/>
            <w:vAlign w:val="bottom"/>
          </w:tcPr>
          <w:p>
            <w:pPr>
              <w:spacing w:after="0"/>
              <w:rPr>
                <w:sz w:val="1"/>
                <w:szCs w:val="1"/>
                <w:color w:val="auto"/>
              </w:rPr>
            </w:pPr>
          </w:p>
        </w:tc>
      </w:t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9"/>
              </w:rPr>
              <w:t>Unpaid Principal</w:t>
            </w:r>
          </w:p>
        </w:tc>
        <w:tc>
          <w:tcPr>
            <w:tcW w:w="6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Unpaid Principal</w:t>
            </w:r>
          </w:p>
        </w:tc>
        <w:tc>
          <w:tcPr>
            <w:tcW w:w="0" w:type="dxa"/>
            <w:vAlign w:val="bottom"/>
          </w:tcPr>
          <w:p>
            <w:pPr>
              <w:spacing w:after="0"/>
              <w:rPr>
                <w:sz w:val="1"/>
                <w:szCs w:val="1"/>
                <w:color w:val="auto"/>
              </w:rPr>
            </w:pPr>
          </w:p>
        </w:tc>
      </w:tr>
      <w:tr>
        <w:trPr>
          <w:trHeight w:val="27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0"/>
              <w:spacing w:after="0"/>
              <w:rPr>
                <w:sz w:val="20"/>
                <w:szCs w:val="20"/>
                <w:color w:val="auto"/>
              </w:rPr>
            </w:pPr>
            <w:r>
              <w:rPr>
                <w:rFonts w:ascii="Arial" w:cs="Arial" w:eastAsia="Arial" w:hAnsi="Arial"/>
                <w:sz w:val="16"/>
                <w:szCs w:val="16"/>
                <w:color w:val="auto"/>
              </w:rPr>
              <w:t>Loans Held for Sale</w:t>
            </w:r>
          </w:p>
        </w:tc>
        <w:tc>
          <w:tcPr>
            <w:tcW w:w="1360" w:type="dxa"/>
            <w:vAlign w:val="bottom"/>
            <w:vMerge w:val="restart"/>
          </w:tcPr>
          <w:p>
            <w:pPr>
              <w:jc w:val="right"/>
              <w:ind w:right="279"/>
              <w:spacing w:after="0"/>
              <w:rPr>
                <w:sz w:val="20"/>
                <w:szCs w:val="20"/>
                <w:color w:val="auto"/>
              </w:rPr>
            </w:pPr>
            <w:r>
              <w:rPr>
                <w:rFonts w:ascii="Arial" w:cs="Arial" w:eastAsia="Arial" w:hAnsi="Arial"/>
                <w:sz w:val="16"/>
                <w:szCs w:val="16"/>
                <w:color w:val="auto"/>
              </w:rPr>
              <w:t>10,987</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tcPr>
          <w:p>
            <w:pPr>
              <w:jc w:val="right"/>
              <w:ind w:right="339"/>
              <w:spacing w:after="0"/>
              <w:rPr>
                <w:sz w:val="20"/>
                <w:szCs w:val="20"/>
                <w:color w:val="auto"/>
              </w:rPr>
            </w:pPr>
            <w:r>
              <w:rPr>
                <w:rFonts w:ascii="Arial" w:cs="Arial" w:eastAsia="Arial" w:hAnsi="Arial"/>
                <w:sz w:val="16"/>
                <w:szCs w:val="16"/>
                <w:color w:val="auto"/>
              </w:rPr>
              <w:t>10,656</w:t>
            </w:r>
          </w:p>
        </w:tc>
        <w:tc>
          <w:tcPr>
            <w:tcW w:w="6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1"/>
        </w:trPr>
        <w:tc>
          <w:tcPr>
            <w:tcW w:w="5760" w:type="dxa"/>
            <w:vAlign w:val="bottom"/>
          </w:tcPr>
          <w:p>
            <w:pPr>
              <w:ind w:left="5420"/>
              <w:spacing w:after="0"/>
              <w:rPr>
                <w:sz w:val="20"/>
                <w:szCs w:val="20"/>
                <w:color w:val="auto"/>
              </w:rPr>
            </w:pPr>
            <w:r>
              <w:rPr>
                <w:rFonts w:ascii="Arial" w:cs="Arial" w:eastAsia="Arial" w:hAnsi="Arial"/>
                <w:sz w:val="16"/>
                <w:szCs w:val="16"/>
                <w:color w:val="auto"/>
              </w:rPr>
              <w:t>$</w:t>
            </w:r>
          </w:p>
        </w:tc>
        <w:tc>
          <w:tcPr>
            <w:tcW w:w="13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7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December 31, 2017</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Loans Held for Sale</w:t>
            </w:r>
          </w:p>
        </w:tc>
        <w:tc>
          <w:tcPr>
            <w:tcW w:w="13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19,231</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18,854</w:t>
            </w: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5420"/>
              <w:spacing w:after="0"/>
              <w:rPr>
                <w:sz w:val="20"/>
                <w:szCs w:val="20"/>
                <w:color w:val="auto"/>
              </w:rPr>
            </w:pPr>
            <w:r>
              <w:rPr>
                <w:rFonts w:ascii="Arial" w:cs="Arial" w:eastAsia="Arial" w:hAnsi="Arial"/>
                <w:sz w:val="16"/>
                <w:szCs w:val="16"/>
                <w:color w:val="auto"/>
              </w:rPr>
              <w:t>$</w:t>
            </w:r>
          </w:p>
        </w:tc>
        <w:tc>
          <w:tcPr>
            <w:tcW w:w="136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years ended December 31, 2018 and 2017,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presents the carrying amount, fair value, and placement in the fair value hierarchy of the Company’s financial instruments not recorded at fair value on a recurring basis as of December 31, 2018 and 2017.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Fair Value Measurements</w:t>
            </w:r>
          </w:p>
        </w:tc>
        <w:tc>
          <w:tcPr>
            <w:tcW w:w="120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Quoted Prices in</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5"/>
              </w:rPr>
              <w:t>Active Markets</w:t>
            </w: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for</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Significant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88"/>
              </w:rPr>
              <w:t>Identical Assets</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Significant</w:t>
            </w: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or</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Observable</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Unobservable</w:t>
            </w:r>
          </w:p>
        </w:tc>
      </w:tr>
      <w:tr>
        <w:trPr>
          <w:trHeight w:val="203"/>
        </w:trPr>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Carrying</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5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Inputs</w:t>
            </w:r>
          </w:p>
        </w:tc>
        <w:tc>
          <w:tcPr>
            <w:tcW w:w="3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Inputs</w:t>
            </w:r>
          </w:p>
        </w:tc>
      </w:tr>
      <w:tr>
        <w:trPr>
          <w:trHeight w:val="237"/>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2)</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3,482,092</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3,413,994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352,216</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3,061,778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21"/>
                <w:szCs w:val="21"/>
                <w:color w:val="auto"/>
                <w:vertAlign w:val="superscript"/>
              </w:rPr>
              <w:t>1</w:t>
            </w:r>
          </w:p>
        </w:tc>
        <w:tc>
          <w:tcPr>
            <w:tcW w:w="62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10,084,527</w:t>
            </w:r>
          </w:p>
        </w:tc>
        <w:tc>
          <w:tcPr>
            <w:tcW w:w="380" w:type="dxa"/>
            <w:vAlign w:val="bottom"/>
          </w:tcPr>
          <w:p>
            <w:pPr>
              <w:spacing w:after="0"/>
              <w:rPr>
                <w:sz w:val="23"/>
                <w:szCs w:val="23"/>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10,008,417</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10,008,417</w:t>
            </w:r>
          </w:p>
        </w:tc>
      </w:tr>
      <w:tr>
        <w:trPr>
          <w:trHeight w:val="270"/>
        </w:trPr>
        <w:tc>
          <w:tcPr>
            <w:tcW w:w="39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1,745,522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1,734,447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1,734,447</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6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504,296</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504,288</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504,288</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125,000</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124,559</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124,559</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3,928,170</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3,894,121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373,640</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3,520,481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21"/>
                <w:szCs w:val="21"/>
                <w:color w:val="auto"/>
                <w:vertAlign w:val="superscript"/>
              </w:rPr>
              <w:t>1</w:t>
            </w:r>
          </w:p>
        </w:tc>
        <w:tc>
          <w:tcPr>
            <w:tcW w:w="620" w:type="dxa"/>
            <w:vAlign w:val="bottom"/>
          </w:tcPr>
          <w:p>
            <w:pPr>
              <w:spacing w:after="0"/>
              <w:rPr>
                <w:sz w:val="23"/>
                <w:szCs w:val="23"/>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9,436,506</w:t>
            </w:r>
          </w:p>
        </w:tc>
        <w:tc>
          <w:tcPr>
            <w:tcW w:w="380" w:type="dxa"/>
            <w:vAlign w:val="bottom"/>
          </w:tcPr>
          <w:p>
            <w:pPr>
              <w:spacing w:after="0"/>
              <w:rPr>
                <w:sz w:val="23"/>
                <w:szCs w:val="23"/>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9,519,369</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9,519,369</w:t>
            </w:r>
          </w:p>
        </w:tc>
      </w:tr>
      <w:tr>
        <w:trPr>
          <w:trHeight w:val="270"/>
        </w:trPr>
        <w:tc>
          <w:tcPr>
            <w:tcW w:w="39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1,688,092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1,679,684</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1,679,684</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6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505,293</w:t>
            </w:r>
          </w:p>
        </w:tc>
        <w:tc>
          <w:tcPr>
            <w:tcW w:w="3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505,278</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505,278</w:t>
            </w: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250,000</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248,520</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248,520</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right="120" w:hanging="172"/>
        <w:spacing w:after="0" w:line="250" w:lineRule="auto"/>
        <w:tabs>
          <w:tab w:leader="none" w:pos="180" w:val="left"/>
        </w:tabs>
        <w:numPr>
          <w:ilvl w:val="0"/>
          <w:numId w:val="70"/>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 In accordance with the prospective adoption of ASU No. 2016-01, the fair value of loans as of December 31, 2018 was measured using an exit price notion. The fair value of loans as of December 31, 2017 was measured using an entry price notion.</w:t>
      </w:r>
    </w:p>
    <w:p>
      <w:pPr>
        <w:spacing w:after="0" w:line="1"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Revenue Recognition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January 1,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all subsequent ASUs that modified Topic 606. As stated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implementation of the new standard did not have a material impact on the measurement or recognition of revenue; as such, a cumulative effect adjustment to opening retained earnings was not deemed necessary. Results for reporting periods beginning after January 1, 2018 are presented under Topic 606, while prior period amounts were not adjusted and continue to be reported in accordance with the Company’s historic accounting under Topic 605.</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in the scope of the new guidance. Topic 606 is applicable to noninterest revenue streams such as trust and asset management income, deposit related fees, interchange fees, merchant income, and annuity and insurance commissions.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Fees, exchange,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years ended December 31, 2018, 2017, and 2016.</w:t>
      </w:r>
    </w:p>
    <w:p>
      <w:pPr>
        <w:spacing w:after="0" w:line="329"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Noninterest Income</w:t>
            </w:r>
          </w:p>
        </w:tc>
        <w:tc>
          <w:tcPr>
            <w:tcW w:w="2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60"/>
              <w:spacing w:after="0"/>
              <w:rPr>
                <w:sz w:val="20"/>
                <w:szCs w:val="20"/>
                <w:color w:val="auto"/>
              </w:rPr>
            </w:pPr>
            <w:r>
              <w:rPr>
                <w:rFonts w:ascii="Arial" w:cs="Arial" w:eastAsia="Arial" w:hAnsi="Arial"/>
                <w:sz w:val="18"/>
                <w:szCs w:val="18"/>
                <w:i w:val="1"/>
                <w:iCs w:val="1"/>
                <w:color w:val="auto"/>
              </w:rPr>
              <w:t>In-scope of Topic 606:</w:t>
            </w:r>
          </w:p>
        </w:tc>
        <w:tc>
          <w:tcPr>
            <w:tcW w:w="2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Trust and Asset Management</w:t>
            </w: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43,877</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45,430</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46,203</w:t>
            </w:r>
          </w:p>
        </w:tc>
      </w:tr>
      <w:tr>
        <w:trPr>
          <w:trHeight w:val="243"/>
        </w:trPr>
        <w:tc>
          <w:tcPr>
            <w:tcW w:w="5480" w:type="dxa"/>
            <w:vAlign w:val="bottom"/>
          </w:tcPr>
          <w:p>
            <w:pPr>
              <w:ind w:left="400"/>
              <w:spacing w:after="0"/>
              <w:rPr>
                <w:sz w:val="20"/>
                <w:szCs w:val="20"/>
                <w:color w:val="auto"/>
              </w:rPr>
            </w:pPr>
            <w:r>
              <w:rPr>
                <w:rFonts w:ascii="Arial" w:cs="Arial" w:eastAsia="Arial" w:hAnsi="Arial"/>
                <w:sz w:val="18"/>
                <w:szCs w:val="18"/>
                <w:color w:val="auto"/>
              </w:rPr>
              <w:t>Service Charges on Deposit Accounts</w:t>
            </w:r>
          </w:p>
        </w:tc>
        <w:tc>
          <w:tcPr>
            <w:tcW w:w="20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13,165</w:t>
            </w: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15,191</w:t>
            </w:r>
          </w:p>
        </w:tc>
        <w:tc>
          <w:tcPr>
            <w:tcW w:w="4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15,498</w:t>
            </w: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Fees, Exchange, and Other Service Charges</w:t>
            </w:r>
          </w:p>
        </w:tc>
        <w:tc>
          <w:tcPr>
            <w:tcW w:w="20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46,350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44,560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44,021</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Annuity and Insurance</w:t>
            </w:r>
          </w:p>
        </w:tc>
        <w:tc>
          <w:tcPr>
            <w:tcW w:w="20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5,615</w:t>
            </w:r>
          </w:p>
        </w:tc>
        <w:tc>
          <w:tcPr>
            <w:tcW w:w="5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6,444</w:t>
            </w:r>
          </w:p>
        </w:tc>
        <w:tc>
          <w:tcPr>
            <w:tcW w:w="4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6,473</w:t>
            </w: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9,652</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8,966</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8,795</w:t>
            </w:r>
          </w:p>
        </w:tc>
      </w:tr>
      <w:tr>
        <w:trPr>
          <w:trHeight w:val="237"/>
        </w:trPr>
        <w:tc>
          <w:tcPr>
            <w:tcW w:w="54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Noninterest Income (in-scope of Topic 606)</w:t>
            </w:r>
          </w:p>
        </w:tc>
        <w:tc>
          <w:tcPr>
            <w:tcW w:w="20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118,659</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120,591</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120,990</w:t>
            </w:r>
          </w:p>
        </w:tc>
      </w:tr>
      <w:tr>
        <w:trPr>
          <w:trHeight w:val="27"/>
        </w:trPr>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Noninterest Income (out-of-scope of Topic 606)</w:t>
            </w:r>
          </w:p>
        </w:tc>
        <w:tc>
          <w:tcPr>
            <w:tcW w:w="20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50,264</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64,826</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76,353</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Noninterest Income</w:t>
            </w:r>
          </w:p>
        </w:tc>
        <w:tc>
          <w:tcPr>
            <w:tcW w:w="2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168,923</w:t>
            </w: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185,417</w:t>
            </w:r>
          </w:p>
        </w:tc>
        <w:tc>
          <w:tcPr>
            <w:tcW w:w="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197,343</w:t>
            </w:r>
          </w:p>
        </w:tc>
      </w:tr>
      <w:tr>
        <w:trPr>
          <w:trHeight w:val="27"/>
        </w:trPr>
        <w:tc>
          <w:tcPr>
            <w:tcW w:w="54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December 31, 2018 and 2017, the Company did not have any significant contract balances.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Bank of Hawaii Corporation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statements of the Parent were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Dividends from Bank of Hawaii</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185,000</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130,000</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120,000</w:t>
            </w: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12,027</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198</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204</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279</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Income</w:t>
            </w:r>
          </w:p>
        </w:tc>
        <w:tc>
          <w:tcPr>
            <w:tcW w:w="1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184,379</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142,231</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119,939</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1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Intercompany Salaries and Services</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734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720</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Expenses</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1,701</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1,401</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1,392</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1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2,435</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2,121</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2,097</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Income Tax Benefit and Equity in Undistributed Income of Subsidiaries</w:t>
            </w:r>
          </w:p>
        </w:tc>
        <w:tc>
          <w:tcPr>
            <w:tcW w:w="1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181,944</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140,110</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117,842</w:t>
            </w:r>
          </w:p>
        </w:tc>
      </w:tr>
      <w:tr>
        <w:trPr>
          <w:trHeight w:val="33"/>
        </w:trPr>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2,229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(3,557)</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Equity in Undistributed Income of Subsidiaries</w:t>
            </w:r>
          </w:p>
        </w:tc>
        <w:tc>
          <w:tcPr>
            <w:tcW w:w="110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35,429</w:t>
            </w:r>
          </w:p>
        </w:tc>
        <w:tc>
          <w:tcPr>
            <w:tcW w:w="50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48,119</w:t>
            </w:r>
          </w:p>
        </w:tc>
        <w:tc>
          <w:tcPr>
            <w:tcW w:w="4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61,482</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219,602</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184,672</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181,461</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210,751</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183,863</w:t>
            </w:r>
          </w:p>
        </w:tc>
        <w:tc>
          <w:tcPr>
            <w:tcW w:w="4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171,112</w:t>
            </w:r>
          </w:p>
        </w:tc>
      </w:tr>
      <w:tr>
        <w:trPr>
          <w:trHeight w:val="33"/>
        </w:trPr>
        <w:tc>
          <w:tcPr>
            <w:tcW w:w="6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December 31,</w:t>
            </w:r>
          </w:p>
        </w:tc>
        <w:tc>
          <w:tcPr>
            <w:tcW w:w="4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December 31,</w:t>
            </w: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Cash with Bank of Hawaii</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52,731</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49,669</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Held-to-Maturity</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4,999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14,129</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14,129</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Receivable and Deferred Tax Assets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1,520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8,468</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8,233</w:t>
            </w: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Assets of Subsidiaries</w:t>
            </w:r>
          </w:p>
        </w:tc>
        <w:tc>
          <w:tcPr>
            <w:tcW w:w="27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1,195,132</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1,161,037</w:t>
            </w:r>
          </w:p>
        </w:tc>
      </w:tr>
      <w:tr>
        <w:trPr>
          <w:trHeight w:val="231"/>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1,276,979</w:t>
            </w: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1,240,621</w:t>
            </w:r>
          </w:p>
        </w:tc>
      </w:tr>
      <w:tr>
        <w:trPr>
          <w:trHeight w:val="73"/>
        </w:trPr>
        <w:tc>
          <w:tcPr>
            <w:tcW w:w="586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5860" w:type="dxa"/>
            <w:vAlign w:val="bottom"/>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60</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8,719</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8,236</w:t>
            </w:r>
          </w:p>
        </w:tc>
      </w:tr>
      <w:tr>
        <w:trPr>
          <w:trHeight w:val="33"/>
        </w:trPr>
        <w:tc>
          <w:tcPr>
            <w:tcW w:w="5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8,779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8,753</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7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1,268,200</w:t>
            </w:r>
          </w:p>
        </w:tc>
        <w:tc>
          <w:tcPr>
            <w:tcW w:w="4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1,231,868</w:t>
            </w:r>
          </w:p>
        </w:tc>
      </w:tr>
      <w:tr>
        <w:trPr>
          <w:trHeight w:val="33"/>
        </w:trPr>
        <w:tc>
          <w:tcPr>
            <w:tcW w:w="58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1,276,979</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1,240,621</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37465</wp:posOffset>
            </wp:positionV>
            <wp:extent cx="2607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219,602</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184,672</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181,461</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40"/>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630</w:t>
            </w:r>
          </w:p>
        </w:tc>
        <w:tc>
          <w:tcPr>
            <w:tcW w:w="4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573</w:t>
            </w:r>
          </w:p>
        </w:tc>
        <w:tc>
          <w:tcPr>
            <w:tcW w:w="4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(Gains) Losses on Sales of Investment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(12,027)</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37"/>
        </w:trPr>
        <w:tc>
          <w:tcPr>
            <w:tcW w:w="6520" w:type="dxa"/>
            <w:vAlign w:val="bottom"/>
          </w:tcPr>
          <w:p>
            <w:pPr>
              <w:ind w:left="440"/>
              <w:spacing w:after="0"/>
              <w:rPr>
                <w:sz w:val="20"/>
                <w:szCs w:val="20"/>
                <w:color w:val="auto"/>
              </w:rPr>
            </w:pPr>
            <w:r>
              <w:rPr>
                <w:rFonts w:ascii="Arial" w:cs="Arial" w:eastAsia="Arial" w:hAnsi="Arial"/>
                <w:sz w:val="16"/>
                <w:szCs w:val="16"/>
                <w:color w:val="auto"/>
              </w:rPr>
              <w:t>Equity in Undistributed Income of Subsidiaries</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(35,429)</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(48,119)</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(61,482)</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Change in Other Assets and Other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870</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(6,477)</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1,508</w:t>
            </w:r>
          </w:p>
        </w:tc>
      </w:tr>
      <w:tr>
        <w:trPr>
          <w:trHeight w:val="231"/>
        </w:trPr>
        <w:tc>
          <w:tcPr>
            <w:tcW w:w="652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Net Cash Provided by Operating Activities</w:t>
            </w:r>
          </w:p>
        </w:tc>
        <w:tc>
          <w:tcPr>
            <w:tcW w:w="1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186,492</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118,622</w:t>
            </w: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122,385</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Distribution from BOHC Investment Fund LLC</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613</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Capital Contributions to the Bank</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(12,467)</w:t>
            </w:r>
          </w:p>
        </w:tc>
        <w:tc>
          <w:tcPr>
            <w:tcW w:w="4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(Expenses related to) Sales of Investment Securities</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(819)</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12,027</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31"/>
        </w:trPr>
        <w:tc>
          <w:tcPr>
            <w:tcW w:w="652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(819)</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173</w:t>
            </w: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7,873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13,101</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9,079</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1080" w:type="dxa"/>
            <w:vAlign w:val="bottom"/>
          </w:tcPr>
          <w:p>
            <w:pPr>
              <w:spacing w:after="0"/>
              <w:rPr>
                <w:sz w:val="20"/>
                <w:szCs w:val="20"/>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(91,988)</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(47,076)</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(61,807)</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Dividends Paid</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(98,496)</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(87,066)</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(81,157)</w:t>
            </w:r>
          </w:p>
        </w:tc>
      </w:tr>
      <w:tr>
        <w:trPr>
          <w:trHeight w:val="231"/>
        </w:trPr>
        <w:tc>
          <w:tcPr>
            <w:tcW w:w="652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Net Cash Used in Financing Activities</w:t>
            </w:r>
          </w:p>
        </w:tc>
        <w:tc>
          <w:tcPr>
            <w:tcW w:w="1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(182,611)</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(121,041)</w:t>
            </w: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(133,885)</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3,062</w:t>
            </w:r>
          </w:p>
        </w:tc>
        <w:tc>
          <w:tcPr>
            <w:tcW w:w="46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(2,246)</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(11,840)</w:t>
            </w:r>
          </w:p>
        </w:tc>
      </w:tr>
      <w:tr>
        <w:trPr>
          <w:trHeight w:val="33"/>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49,669</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51,915</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63,755</w:t>
            </w:r>
          </w:p>
        </w:tc>
      </w:tr>
      <w:tr>
        <w:trPr>
          <w:trHeight w:val="231"/>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52,731</w:t>
            </w:r>
          </w:p>
        </w:tc>
        <w:tc>
          <w:tcPr>
            <w:tcW w:w="4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49,669</w:t>
            </w:r>
          </w:p>
        </w:tc>
        <w:tc>
          <w:tcPr>
            <w:tcW w:w="4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51,915</w:t>
            </w:r>
          </w:p>
        </w:tc>
      </w:tr>
      <w:tr>
        <w:trPr>
          <w:trHeight w:val="33"/>
        </w:trPr>
        <w:tc>
          <w:tcPr>
            <w:tcW w:w="6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December 31, 2018.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Internal control is designed to provide reasonable assurance to the Company’s management and board of directors regarding the preparation of reliable published financial statements. Internal control over financial reporting includes self-monitoring mechanisms, and actions are taken to correct deficiencies as they are identified.</w:t>
      </w:r>
    </w:p>
    <w:p>
      <w:pPr>
        <w:spacing w:after="0" w:line="14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Because of inherent limitations in any system of internal control, no matter how well designed, misstatements due to error or fraud may occur and not be detected, including the possibility of the circumvention or overriding of controls. Accordingly, even effective internal control over financial reporting can provide only reasonable assurance with respect to financial statement preparation. Further, because of changes in conditions, internal control effectiveness may vary over time.</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assessed the Company’s internal control over financial reporting as of December 31, 2018. This assessment was based on criteria for effective internal control over financial reporting described in “Internal Control – Integrated Framework” issued by the Committee of Sponsoring Organizations of the Treadway Commission (2013 framework). Based on this assessment, the Chief Executive Officer and Chief Financial Officer assert that the Company maintained effective internal control over financial reporting as of December 31, 2018 based on the specified criteria.</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Ernst &amp; Young LLP, the independent registered public accounting firm who also has audited the Company’s consolidated financial statements included in this Annual Report on Form 10-K. Ernst &amp; Young LLP’s attestation report on the Company’s internal control over financial reporting appears on the following page and is incorporated by reference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December 31, 2018 that have materially affected or are reasonably likely to materially affect the Company’s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125" w:right="2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Bank of Hawaii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Bank of Hawaii Corporation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Bank of Hawaii Corporation and subsidiaries (the “Company”) maintained, in all material respects, effective internal control over financial reporting as of December 31, 2018,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statements of condition of the Company as of December 31, 2018 and 2017, the related consolidated statements of income, comprehensive income, shareholders’ equity and cash flows for each of the three years in the period ended December 31, 2018, and the related notes and our report dated March 1,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Certain information regarding the executive officers of the Parent is included under the caption “Executive Officers of the Registrant” in Part I, Item 1 of this report. Other information required by this Item is incorporated herein by reference to the Bank of Hawaii Corporation Proxy Statement for the 2019 annual meeting of shareholders to be filed with the SEC within 120 days after the end of the Company’s fiscal year to which this report relates.</w:t>
      </w:r>
    </w:p>
    <w:p>
      <w:pPr>
        <w:spacing w:after="0" w:line="16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Parent’s Board of Directors has determined that Mark A. Burak, Robert Huret, Victor K. Nichols, and Raymond P. Vara, Jr., members of the Parent’s Audit and Risk Committee, are audit committee financial experts within the meaning of Item 407(d)(5) of Regulation S-K. All members on the Audit and Risk Committee are independent and are financially literate within the meaning of Section 10A(m)(3) of the Exchange Act and the rules of the New York Stock Exchange, as applicable.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Parent has adopted a written code of ethics within the meaning of Item 406 of Regulation S-K that applies to the Parent’s Chief Executive Officer, Chief Financial Officer, and Chief Accounting Officer. A copy of the Code of Ethics for Senior Financial Officers is available on the Company’s website, www.boh.com. The Parent intends to provide disclosure of any change to, or waiver from, the Parent’s Code of Ethics for Senior Financial Officers via its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2019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2019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2019 annual meeting of shareholders to be filed with the SEC within 120 days after the end of the Company’s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Bank of Hawaii Corporation Proxy Statement for the 2019 annual meeting of shareholders to be filed with the SEC within 120 days after the end of the Company’s fiscal year.</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40"/>
          </w:cols>
          <w:pgMar w:left="240" w:top="125" w:right="3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and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Bank of Hawaii Corporation and Subsidiaries are included in Item 8 of this report: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Income – Years ended December 31, 2018,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Comprehensive Income – Years ended December 31, 2018,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Condition – December 31,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 Years ended December 31, 2018,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 Years ended December 31, 2018,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other schedules to the Consolidated Financial Statements stipulated by Article 9 of Regulation S-X and all other schedules to the financial statements of the registrant required by Article 5 of Regulation S-X are not required under the related instructions or are inapplicable and, therefore, have been omitted.</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125" w:right="4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Table</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tcBorders>
            <w:gridSpan w:val="2"/>
          </w:tcPr>
          <w:p>
            <w:pPr>
              <w:ind w:left="40"/>
              <w:spacing w:after="0"/>
              <w:rPr>
                <w:rFonts w:ascii="Arial" w:cs="Arial" w:eastAsia="Arial" w:hAnsi="Arial"/>
                <w:sz w:val="18"/>
                <w:szCs w:val="18"/>
                <w:color w:val="0000FF"/>
                <w:w w:val="79"/>
              </w:rPr>
            </w:pPr>
            <w:hyperlink r:id="rId56">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Certificate of Incorporation of Bank of Hawaii Corporation (f/k/a Pacific Century Financial Corporation and Bancorp Hawaii, Inc.), as amended</w:t>
            </w:r>
          </w:p>
        </w:tc>
      </w:tr>
      <w:tr>
        <w:trPr>
          <w:trHeight w:val="209"/>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(incorporated by reference from Exhibit 3.1 to Bank of Hawaii Corporation’s Annual Report on Form 10-K for its fiscal year ended December 31,</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2005, as filed on February 28, 2006 (the “2005 10-K”)).</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5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Certificate of Amendment of Certificate of Incorporation of Bank of Hawaii Corporation (incorporated by reference from Exhibit 3.1 to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Hawaii Corporation’s Current Report on Form 8-K filed on April 30, 2008 (the “April 30, 2008 8-K”)).</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58">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Amended and Restated By-Laws of Bank of Hawaii Corporation (incorporated by reference from Exhibit 3.2 to the April 30, 2008 8-K).</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700" w:type="dxa"/>
            <w:vAlign w:val="bottom"/>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r:id="rId5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Amended and Restated By-Laws of Bank of Hawaii Corporation (incorporated by reference from Exhibit 3.2 to Bank of Hawaii Corporation’s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Current Report on Form 8-K filed on November 19, 2013).</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6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5</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Amended and Restated By-Laws of Bank of Hawaii Corporation (incorporated by reference from Exhibit 3.2 to Bank of Hawaii Corporation’s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Current Report on Form 8-K filed on October 24, 2018).</w:t>
            </w:r>
          </w:p>
        </w:tc>
      </w:tr>
      <w:tr>
        <w:trPr>
          <w:trHeight w:val="472"/>
        </w:trPr>
        <w:tc>
          <w:tcPr>
            <w:tcW w:w="260" w:type="dxa"/>
            <w:vAlign w:val="bottom"/>
            <w:gridSpan w:val="2"/>
          </w:tcPr>
          <w:p>
            <w:pPr>
              <w:ind w:left="40"/>
              <w:spacing w:after="0"/>
              <w:rPr>
                <w:sz w:val="20"/>
                <w:szCs w:val="20"/>
                <w:color w:val="auto"/>
              </w:rPr>
            </w:pPr>
            <w:r>
              <w:rPr>
                <w:rFonts w:ascii="Arial" w:cs="Arial" w:eastAsia="Arial" w:hAnsi="Arial"/>
                <w:sz w:val="18"/>
                <w:szCs w:val="18"/>
                <w:color w:val="auto"/>
                <w:w w:val="79"/>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6"/>
              </w:rPr>
              <w:t>Instruments defining the rights of holders of long-term debt of Bank of Hawaii Corporation and its consolidated subsidiaries are not filed as</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8"/>
              </w:rPr>
              <w:t>exhibits because the amount of debt authorized under any such instruments does not exceed 10% of the total assets of Bank of Hawaii</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Corporation and its consolidated subsidiaries. Bank of Hawaii Corporation agrees to furnish a copy of any such instrument to the Commission</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upon request.</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Bank of Hawaii Corporation’s Executive Incentive Plan, as amended (incorporated by reference from Exhibit 10.2 to the 2005 10-K).*</w:t>
            </w:r>
          </w:p>
        </w:tc>
      </w:tr>
      <w:tr>
        <w:trPr>
          <w:trHeight w:val="20"/>
        </w:trPr>
        <w:tc>
          <w:tcPr>
            <w:tcW w:w="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700" w:type="dxa"/>
            <w:vAlign w:val="bottom"/>
          </w:tcPr>
          <w:p>
            <w:pPr>
              <w:spacing w:after="0" w:line="20" w:lineRule="exact"/>
              <w:rPr>
                <w:sz w:val="1"/>
                <w:szCs w:val="1"/>
                <w:color w:val="auto"/>
              </w:rPr>
            </w:pPr>
          </w:p>
        </w:tc>
      </w:tr>
      <w:tr>
        <w:trPr>
          <w:trHeight w:val="250"/>
        </w:trPr>
        <w:tc>
          <w:tcPr>
            <w:tcW w:w="400" w:type="dxa"/>
            <w:vAlign w:val="bottom"/>
            <w:gridSpan w:val="3"/>
          </w:tcPr>
          <w:p>
            <w:pPr>
              <w:ind w:left="40"/>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Bank of Hawaii Corporation’s Executive Base Salary Deferral Plan (incorporated by reference from Exhibit 10.1 to the Bank of Hawaii</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Corporation’s Current Report on Form 8-K filed on December 22, 2005).*</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Bank of Hawaii Corporation’s Directors’ Deferred Compensation Plan, as amended (incorporated by reference from Exhibit 10.7 to the 2005 10-</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K).*</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Bank of Hawaii Corporation’s Director Stock Compensation Program, as amended (incorporated by reference from Exhibit 10.8 to the 2005 10-</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K).*</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1"/>
              </w:rPr>
              <w:t>Bank of Hawaii Corporation’s Amended and Restated Director Stock Compensation Plan (incorporated by reference from Appendix B to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5"/>
              </w:rPr>
              <w:t>Hawaii Corporation’s Definitive Proxy Statement on Schedule 14A for the 2005 Annual Meeting of Shareholders filed on March 17, 2005).*</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5"/>
              </w:rPr>
              <w:t>Bank of Hawaii Corporation’s 2004 Stock and Incentive Compensation Plan (incorporated by reference from Appendix C to Bank of Hawaii</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8"/>
              </w:rPr>
              <w:t>Corporation’s Definitive Proxy Statement on Schedule 14A for the 2004 Annual Meeting of Shareholders, as filed on March 18, 2004).*</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9"/>
              </w:rPr>
              <w:t>Amendment 2007-1 to the Bank of Hawaii Corporation 2004 Stock and Incentive Compensation Plan (incorporated by reference from</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Exhibit 10.13 to the Bank of Hawaii Corporation’s Annual Report on Form 10-K, as filed on February 25, 2008 (the “2007 10-K”)).*</w:t>
            </w:r>
          </w:p>
        </w:tc>
      </w:tr>
      <w:tr>
        <w:trPr>
          <w:trHeight w:val="230"/>
        </w:trPr>
        <w:tc>
          <w:tcPr>
            <w:tcW w:w="400" w:type="dxa"/>
            <w:vAlign w:val="bottom"/>
            <w:gridSpan w:val="3"/>
          </w:tcPr>
          <w:p>
            <w:pPr>
              <w:ind w:left="40"/>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Amendment 2007-1 to the Bank of Hawaii Corporation Executive Incentive Plan (incorporated by reference from Exhibit 10.16 to the 2007 10-</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K).*</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Board Resolution for Amendment to the Restricted Stock and Option Awards under the Bank of Hawaii Corporation’s Amended and Restated</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1"/>
              </w:rPr>
              <w:t>Director Stock Compensation Plan (incorporated by reference from Exhibit 10.1 to Bank of Hawaii Corporation’s Current Report on Form 8-K, as</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filed on July 28, 2008).*</w:t>
            </w:r>
          </w:p>
        </w:tc>
      </w:tr>
      <w:tr>
        <w:trPr>
          <w:trHeight w:val="230"/>
        </w:trPr>
        <w:tc>
          <w:tcPr>
            <w:tcW w:w="440" w:type="dxa"/>
            <w:vAlign w:val="bottom"/>
            <w:gridSpan w:val="4"/>
          </w:tcPr>
          <w:p>
            <w:pPr>
              <w:ind w:left="40"/>
              <w:spacing w:after="0"/>
              <w:rPr>
                <w:rFonts w:ascii="Arial" w:cs="Arial" w:eastAsia="Arial" w:hAnsi="Arial"/>
                <w:sz w:val="18"/>
                <w:szCs w:val="18"/>
                <w:color w:val="0000FF"/>
                <w:w w:val="84"/>
              </w:rPr>
            </w:pPr>
            <w:hyperlink r:id="rId7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1"/>
              </w:rPr>
              <w:t>Bank of Hawaii Corporation’s Amended and Restated Change-In-Control Retention Plan, (incorporated by reference from Exhibit 10.1 to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Hawaii Corporation’s Current Report on Form 8-K, as filed on December 18, 2009).*</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5"/>
              </w:rPr>
              <w:t>Amendment 2010-1 to the Bank of Hawaii Corporation Executive Incentive Plan (incorporated by reference from Exhibit 10.1 to the Bank of</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Hawaii Corporation’s Current Report on Form 8-K, as filed on July 26, 2010).*</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Bank of Hawaii Corporation’s 2004 Stock and Incentive Compensation Plan –Share Appreciation Replacement Program - 2011 Nonqualified</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Stock Option Agreement (incorporated by reference from Bank of Hawaii Corporation’s Current Report on Form 8-K, as filed on November 22,</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2011).*</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6"/>
              </w:rPr>
              <w:t>Bank of Hawaii Corporation’s 2004 Stock and Incentive Compensation Plan - Form of 2012 Restricted Stock In Lieu Of Base Salary Grant</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Agreement (incorporated by reference from Exhibit 10.3 to Bank of Hawaii Corporation’s Current Report on Form 8-K, as filed on January 23,</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2012).*</w:t>
            </w:r>
          </w:p>
        </w:tc>
      </w:tr>
      <w:tr>
        <w:trPr>
          <w:trHeight w:val="230"/>
        </w:trPr>
        <w:tc>
          <w:tcPr>
            <w:tcW w:w="700" w:type="dxa"/>
            <w:vAlign w:val="bottom"/>
            <w:gridSpan w:val="5"/>
          </w:tcPr>
          <w:p>
            <w:pPr>
              <w:ind w:left="40"/>
              <w:spacing w:after="0"/>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700" w:type="dxa"/>
            <w:vAlign w:val="bottom"/>
          </w:tcPr>
          <w:p>
            <w:pPr>
              <w:ind w:left="140"/>
              <w:spacing w:after="0"/>
              <w:rPr>
                <w:sz w:val="20"/>
                <w:szCs w:val="20"/>
                <w:color w:val="auto"/>
              </w:rPr>
            </w:pPr>
            <w:r>
              <w:rPr>
                <w:rFonts w:ascii="Arial" w:cs="Arial" w:eastAsia="Arial" w:hAnsi="Arial"/>
                <w:sz w:val="18"/>
                <w:szCs w:val="18"/>
                <w:color w:val="auto"/>
                <w:w w:val="97"/>
              </w:rPr>
              <w:t>Bank of Hawaii Corporation’s 2004 Stock and Incentive Compensation Plan – Form of 2012 Nonqualified Stock Option Grant Agreement</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6"/>
              </w:rPr>
              <w:t>(incorporated by reference from Exhibit 10.4 to Bank of Hawaii Corporation’s Current Report on Form 8-K, as filed on January 23, 2012).*</w:t>
            </w:r>
          </w:p>
        </w:tc>
      </w:tr>
      <w:tr>
        <w:trPr>
          <w:trHeight w:val="48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700" w:type="dxa"/>
            <w:vAlign w:val="bottom"/>
          </w:tcPr>
          <w:p>
            <w:pPr>
              <w:ind w:left="4880"/>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400"/>
          </w:cols>
          <w:pgMar w:left="240" w:top="125"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40" w:right="300" w:hanging="809"/>
        <w:spacing w:after="0" w:line="264" w:lineRule="auto"/>
        <w:tabs>
          <w:tab w:leader="none" w:pos="82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10.16</w:t>
        </w:r>
      </w:hyperlink>
      <w:r>
        <w:rPr>
          <w:rFonts w:ascii="Arial" w:cs="Arial" w:eastAsia="Arial" w:hAnsi="Arial"/>
          <w:sz w:val="18"/>
          <w:szCs w:val="18"/>
          <w:color w:val="0000FF"/>
        </w:rPr>
        <w:tab/>
        <w:t>Bank of Hawaii Corporation’s 2004 Stock and Incentive Compensation Plan - Form of 2014 Restricted Stock Grant Agreement - Ho, Biggs &amp; Sellers (incorporated by reference from Exhibit 10.1 to Bank of Hawaii Corporation’s Current Report on Form 8-K, as filed on January 29, 2014).*</w:t>
      </w:r>
    </w:p>
    <w:p>
      <w:pPr>
        <w:spacing w:after="0" w:line="19" w:lineRule="exact"/>
        <w:rPr>
          <w:sz w:val="20"/>
          <w:szCs w:val="20"/>
          <w:color w:val="auto"/>
        </w:rPr>
      </w:pPr>
    </w:p>
    <w:p>
      <w:pPr>
        <w:ind w:left="840" w:right="80" w:hanging="809"/>
        <w:spacing w:after="0" w:line="317" w:lineRule="auto"/>
        <w:tabs>
          <w:tab w:leader="none" w:pos="82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10.17</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2014 Restricted Stock Grant Agreement - Lucien &amp; Rossi (incorporated by reference from Exhibit 10.2 to Bank of Hawaii Corporation’s Current Report on Form 8-K, as filed on January 29, 2014).*</w:t>
      </w:r>
    </w:p>
    <w:p>
      <w:pPr>
        <w:ind w:left="40"/>
        <w:spacing w:after="0"/>
        <w:tabs>
          <w:tab w:leader="none" w:pos="82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10.18</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2014 Restricted Stock Unit Grant Agreement - Ho, Biggs</w:t>
      </w:r>
    </w:p>
    <w:p>
      <w:pPr>
        <w:spacing w:after="0" w:line="23" w:lineRule="exact"/>
        <w:rPr>
          <w:sz w:val="20"/>
          <w:szCs w:val="20"/>
          <w:color w:val="auto"/>
        </w:rPr>
      </w:pPr>
    </w:p>
    <w:p>
      <w:pPr>
        <w:ind w:left="840" w:right="340" w:firstLine="5"/>
        <w:spacing w:after="0" w:line="261" w:lineRule="auto"/>
        <w:tabs>
          <w:tab w:leader="none" w:pos="10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Sellers (incorporated by reference from Exhibit 10.3 to Bank of Hawaii Corporation’s Current Report on Form 8-K, as filed on January 29, 2014).*</w:t>
      </w:r>
    </w:p>
    <w:p>
      <w:pPr>
        <w:spacing w:after="0" w:line="22" w:lineRule="exact"/>
        <w:rPr>
          <w:sz w:val="20"/>
          <w:szCs w:val="20"/>
          <w:color w:val="auto"/>
        </w:rPr>
      </w:pPr>
    </w:p>
    <w:p>
      <w:pPr>
        <w:ind w:left="840" w:right="20" w:hanging="809"/>
        <w:spacing w:after="0" w:line="317" w:lineRule="auto"/>
        <w:tabs>
          <w:tab w:leader="none" w:pos="82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10.19</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2014 Restricted Stock Unit Grant Agreement - Lucien &amp; Rossi (incorporated by reference from Exhibit 10.4 to Bank of Hawaii Corporation’s Current Report on Form 8-K, as filed on January 29, 2014).*</w:t>
      </w:r>
    </w:p>
    <w:p>
      <w:pPr>
        <w:ind w:left="840" w:right="460" w:hanging="809"/>
        <w:spacing w:after="0" w:line="317" w:lineRule="auto"/>
        <w:tabs>
          <w:tab w:leader="none" w:pos="820" w:val="left"/>
        </w:tabs>
        <w:rPr>
          <w:rFonts w:ascii="Arial" w:cs="Arial" w:eastAsia="Arial" w:hAnsi="Arial"/>
          <w:sz w:val="18"/>
          <w:szCs w:val="18"/>
          <w:color w:val="0000FF"/>
        </w:rPr>
      </w:pPr>
      <w:hyperlink r:id="rId79">
        <w:r>
          <w:rPr>
            <w:rFonts w:ascii="Arial" w:cs="Arial" w:eastAsia="Arial" w:hAnsi="Arial"/>
            <w:sz w:val="18"/>
            <w:szCs w:val="18"/>
            <w:u w:val="single" w:color="auto"/>
            <w:color w:val="0000FF"/>
          </w:rPr>
          <w:t>10.20</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Form of Special Incentive Agreement - Rossi &amp; Sellers (incorporated by reference from Exhibit 10.5 to Bank of Hawaii Corporation’s Current Report on Form 8-K, as filed on January 29, 2014).*</w:t>
      </w:r>
    </w:p>
    <w:p>
      <w:pPr>
        <w:ind w:left="840" w:right="440" w:hanging="809"/>
        <w:spacing w:after="0" w:line="317" w:lineRule="auto"/>
        <w:tabs>
          <w:tab w:leader="none" w:pos="820" w:val="left"/>
        </w:tabs>
        <w:rPr>
          <w:rFonts w:ascii="Arial" w:cs="Arial" w:eastAsia="Arial" w:hAnsi="Arial"/>
          <w:sz w:val="18"/>
          <w:szCs w:val="18"/>
          <w:color w:val="0000FF"/>
        </w:rPr>
      </w:pPr>
      <w:hyperlink r:id="rId80">
        <w:r>
          <w:rPr>
            <w:rFonts w:ascii="Arial" w:cs="Arial" w:eastAsia="Arial" w:hAnsi="Arial"/>
            <w:sz w:val="18"/>
            <w:szCs w:val="18"/>
            <w:u w:val="single" w:color="auto"/>
            <w:color w:val="0000FF"/>
          </w:rPr>
          <w:t>10.21</w:t>
        </w:r>
      </w:hyperlink>
      <w:r>
        <w:rPr>
          <w:rFonts w:ascii="Arial" w:cs="Arial" w:eastAsia="Arial" w:hAnsi="Arial"/>
          <w:sz w:val="18"/>
          <w:szCs w:val="18"/>
          <w:color w:val="0000FF"/>
        </w:rPr>
        <w:tab/>
      </w:r>
      <w:r>
        <w:rPr>
          <w:rFonts w:ascii="Arial" w:cs="Arial" w:eastAsia="Arial" w:hAnsi="Arial"/>
          <w:sz w:val="16"/>
          <w:szCs w:val="16"/>
          <w:color w:val="0000FF"/>
        </w:rPr>
        <w:t>Bank of Hawaii Corporation’s 2014 Stock and Incentive Plan (incorporated by reference from Appendix A to Bank of Hawaii Corporation’s Definitive Proxy Statement on Schedule 14A for the 2014 Annual Meeting of Shareholders, as filed on March 14, 2014).*</w:t>
      </w:r>
    </w:p>
    <w:p>
      <w:pPr>
        <w:ind w:left="840" w:hanging="809"/>
        <w:spacing w:after="0" w:line="277" w:lineRule="auto"/>
        <w:tabs>
          <w:tab w:leader="none" w:pos="820" w:val="left"/>
        </w:tabs>
        <w:rPr>
          <w:rFonts w:ascii="Arial" w:cs="Arial" w:eastAsia="Arial" w:hAnsi="Arial"/>
          <w:sz w:val="18"/>
          <w:szCs w:val="18"/>
          <w:color w:val="0000FF"/>
        </w:rPr>
      </w:pPr>
      <w:hyperlink r:id="rId81">
        <w:r>
          <w:rPr>
            <w:rFonts w:ascii="Arial" w:cs="Arial" w:eastAsia="Arial" w:hAnsi="Arial"/>
            <w:sz w:val="18"/>
            <w:szCs w:val="18"/>
            <w:u w:val="single" w:color="auto"/>
            <w:color w:val="0000FF"/>
          </w:rPr>
          <w:t>10.22</w:t>
        </w:r>
      </w:hyperlink>
      <w:r>
        <w:rPr>
          <w:rFonts w:ascii="Arial" w:cs="Arial" w:eastAsia="Arial" w:hAnsi="Arial"/>
          <w:sz w:val="18"/>
          <w:szCs w:val="18"/>
          <w:color w:val="0000FF"/>
        </w:rPr>
        <w:tab/>
        <w:t>Bank of Hawaii Corporation’s 2014 Stock and Incentive Plan - Form of 2015 Restricted Stock Grant Agreement - (incorporated by reference from Exhibit 10.1 to Bank of Hawaii Corporation’s Current Report on Form 8-K, as filed on January 28, 2015).*</w:t>
      </w:r>
    </w:p>
    <w:p>
      <w:pPr>
        <w:spacing w:after="0" w:line="8" w:lineRule="exact"/>
        <w:rPr>
          <w:sz w:val="20"/>
          <w:szCs w:val="20"/>
          <w:color w:val="auto"/>
        </w:rPr>
      </w:pPr>
    </w:p>
    <w:p>
      <w:pPr>
        <w:ind w:left="840" w:right="20" w:hanging="809"/>
        <w:spacing w:after="0" w:line="277" w:lineRule="auto"/>
        <w:tabs>
          <w:tab w:leader="none" w:pos="820" w:val="left"/>
        </w:tabs>
        <w:rPr>
          <w:rFonts w:ascii="Arial" w:cs="Arial" w:eastAsia="Arial" w:hAnsi="Arial"/>
          <w:sz w:val="18"/>
          <w:szCs w:val="18"/>
          <w:color w:val="0000FF"/>
        </w:rPr>
      </w:pPr>
      <w:hyperlink r:id="rId82">
        <w:r>
          <w:rPr>
            <w:rFonts w:ascii="Arial" w:cs="Arial" w:eastAsia="Arial" w:hAnsi="Arial"/>
            <w:sz w:val="18"/>
            <w:szCs w:val="18"/>
            <w:u w:val="single" w:color="auto"/>
            <w:color w:val="0000FF"/>
          </w:rPr>
          <w:t>10.23</w:t>
        </w:r>
      </w:hyperlink>
      <w:r>
        <w:rPr>
          <w:rFonts w:ascii="Arial" w:cs="Arial" w:eastAsia="Arial" w:hAnsi="Arial"/>
          <w:sz w:val="18"/>
          <w:szCs w:val="18"/>
          <w:color w:val="0000FF"/>
        </w:rPr>
        <w:tab/>
        <w:t>Bank of Hawaii Corporation’s 2014 Stock and Incentive Plan - Form of 2015 Restricted Stock Unit Grant Agreement - (incorporated by reference from Exhibit 10.2 to Bank of Hawaii Corporation’s Current Report on Form 8-K, as filed on January 28, 2015).*</w:t>
      </w:r>
    </w:p>
    <w:p>
      <w:pPr>
        <w:spacing w:after="0" w:line="8" w:lineRule="exact"/>
        <w:rPr>
          <w:sz w:val="20"/>
          <w:szCs w:val="20"/>
          <w:color w:val="auto"/>
        </w:rPr>
      </w:pPr>
    </w:p>
    <w:p>
      <w:pPr>
        <w:ind w:left="840" w:right="760" w:hanging="809"/>
        <w:spacing w:after="0" w:line="317" w:lineRule="auto"/>
        <w:tabs>
          <w:tab w:leader="none" w:pos="820" w:val="left"/>
        </w:tabs>
        <w:rPr>
          <w:rFonts w:ascii="Arial" w:cs="Arial" w:eastAsia="Arial" w:hAnsi="Arial"/>
          <w:sz w:val="18"/>
          <w:szCs w:val="18"/>
          <w:color w:val="0000FF"/>
        </w:rPr>
      </w:pPr>
      <w:hyperlink r:id="rId83">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Bank of Hawaii Corporation’s 2015 Director Stock Compensation Plan (incorporated by reference from Appendix A to Bank of Hawaii Corporation’s Definitive Proxy Statement on Schedule 14A for the 2015 Annual Meeting of Shareholders filed on March 13, 2015).*</w:t>
      </w:r>
    </w:p>
    <w:p>
      <w:pPr>
        <w:ind w:left="840" w:right="100" w:hanging="809"/>
        <w:spacing w:after="0" w:line="277" w:lineRule="auto"/>
        <w:tabs>
          <w:tab w:leader="none" w:pos="820" w:val="left"/>
        </w:tabs>
        <w:rPr>
          <w:rFonts w:ascii="Arial" w:cs="Arial" w:eastAsia="Arial" w:hAnsi="Arial"/>
          <w:sz w:val="18"/>
          <w:szCs w:val="18"/>
          <w:color w:val="0000FF"/>
        </w:rPr>
      </w:pPr>
      <w:hyperlink r:id="rId84">
        <w:r>
          <w:rPr>
            <w:rFonts w:ascii="Arial" w:cs="Arial" w:eastAsia="Arial" w:hAnsi="Arial"/>
            <w:sz w:val="18"/>
            <w:szCs w:val="18"/>
            <w:u w:val="single" w:color="auto"/>
            <w:color w:val="0000FF"/>
          </w:rPr>
          <w:t>10.25</w:t>
        </w:r>
      </w:hyperlink>
      <w:r>
        <w:rPr>
          <w:rFonts w:ascii="Arial" w:cs="Arial" w:eastAsia="Arial" w:hAnsi="Arial"/>
          <w:sz w:val="18"/>
          <w:szCs w:val="18"/>
          <w:color w:val="0000FF"/>
        </w:rPr>
        <w:tab/>
        <w:t>Bank of Hawaii Corporation’s 2014 Stock and Incentive Plan - Form of 2016 Restricted Stock Grant Agreement (incorporated by reference from Exhibit 10.30 to the Bank of Hawaii Corporation’s Annual Report on Form 10-K, as filed on February 29, 2016).*</w:t>
      </w:r>
    </w:p>
    <w:p>
      <w:pPr>
        <w:spacing w:after="0" w:line="8" w:lineRule="exact"/>
        <w:rPr>
          <w:sz w:val="20"/>
          <w:szCs w:val="20"/>
          <w:color w:val="auto"/>
        </w:rPr>
      </w:pPr>
    </w:p>
    <w:p>
      <w:pPr>
        <w:ind w:left="840" w:right="120" w:hanging="809"/>
        <w:spacing w:after="0" w:line="277" w:lineRule="auto"/>
        <w:tabs>
          <w:tab w:leader="none" w:pos="820" w:val="left"/>
        </w:tabs>
        <w:rPr>
          <w:rFonts w:ascii="Arial" w:cs="Arial" w:eastAsia="Arial" w:hAnsi="Arial"/>
          <w:sz w:val="18"/>
          <w:szCs w:val="18"/>
          <w:color w:val="0000FF"/>
        </w:rPr>
      </w:pPr>
      <w:hyperlink r:id="rId85">
        <w:r>
          <w:rPr>
            <w:rFonts w:ascii="Arial" w:cs="Arial" w:eastAsia="Arial" w:hAnsi="Arial"/>
            <w:sz w:val="18"/>
            <w:szCs w:val="18"/>
            <w:u w:val="single" w:color="auto"/>
            <w:color w:val="0000FF"/>
          </w:rPr>
          <w:t>10.26</w:t>
        </w:r>
      </w:hyperlink>
      <w:r>
        <w:rPr>
          <w:rFonts w:ascii="Arial" w:cs="Arial" w:eastAsia="Arial" w:hAnsi="Arial"/>
          <w:sz w:val="18"/>
          <w:szCs w:val="18"/>
          <w:color w:val="0000FF"/>
        </w:rPr>
        <w:tab/>
        <w:t>Bank of Hawaii Corporation’s 2014 Stock and Incentive Plan - Form of 2016 Restricted Stock Unit Grant Agreement (incorporated by reference from Exhibit 10.31 to the Bank of Hawaii Corporation’s Annual Report on Form 10-K, as filed on February 29, 2016).*</w:t>
      </w:r>
    </w:p>
    <w:p>
      <w:pPr>
        <w:spacing w:after="0" w:line="8" w:lineRule="exact"/>
        <w:rPr>
          <w:sz w:val="20"/>
          <w:szCs w:val="20"/>
          <w:color w:val="auto"/>
        </w:rPr>
      </w:pPr>
    </w:p>
    <w:p>
      <w:pPr>
        <w:ind w:left="840" w:right="220" w:hanging="809"/>
        <w:spacing w:after="0" w:line="317" w:lineRule="auto"/>
        <w:tabs>
          <w:tab w:leader="none" w:pos="820" w:val="left"/>
        </w:tabs>
        <w:rPr>
          <w:rFonts w:ascii="Arial" w:cs="Arial" w:eastAsia="Arial" w:hAnsi="Arial"/>
          <w:sz w:val="18"/>
          <w:szCs w:val="18"/>
          <w:color w:val="0000FF"/>
        </w:rPr>
      </w:pPr>
      <w:hyperlink r:id="rId86">
        <w:r>
          <w:rPr>
            <w:rFonts w:ascii="Arial" w:cs="Arial" w:eastAsia="Arial" w:hAnsi="Arial"/>
            <w:sz w:val="18"/>
            <w:szCs w:val="18"/>
            <w:u w:val="single" w:color="auto"/>
            <w:color w:val="0000FF"/>
          </w:rPr>
          <w:t>10.27</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Amendment of 2011 Nonqualified Stock Option Agreement (incorporated by reference from Exhibit 10.1 to the Bank of Hawaii Corporation’s Quarterly Report on Form 10-Q, as filed on July 25, 2016).*</w:t>
      </w:r>
    </w:p>
    <w:p>
      <w:pPr>
        <w:ind w:left="840" w:right="220" w:hanging="809"/>
        <w:spacing w:after="0" w:line="317" w:lineRule="auto"/>
        <w:tabs>
          <w:tab w:leader="none" w:pos="820" w:val="left"/>
        </w:tabs>
        <w:rPr>
          <w:rFonts w:ascii="Arial" w:cs="Arial" w:eastAsia="Arial" w:hAnsi="Arial"/>
          <w:sz w:val="18"/>
          <w:szCs w:val="18"/>
          <w:color w:val="0000FF"/>
        </w:rPr>
      </w:pPr>
      <w:hyperlink r:id="rId87">
        <w:r>
          <w:rPr>
            <w:rFonts w:ascii="Arial" w:cs="Arial" w:eastAsia="Arial" w:hAnsi="Arial"/>
            <w:sz w:val="18"/>
            <w:szCs w:val="18"/>
            <w:u w:val="single" w:color="auto"/>
            <w:color w:val="0000FF"/>
          </w:rPr>
          <w:t>10.28</w:t>
        </w:r>
      </w:hyperlink>
      <w:r>
        <w:rPr>
          <w:rFonts w:ascii="Arial" w:cs="Arial" w:eastAsia="Arial" w:hAnsi="Arial"/>
          <w:sz w:val="18"/>
          <w:szCs w:val="18"/>
          <w:color w:val="0000FF"/>
        </w:rPr>
        <w:tab/>
      </w:r>
      <w:r>
        <w:rPr>
          <w:rFonts w:ascii="Arial" w:cs="Arial" w:eastAsia="Arial" w:hAnsi="Arial"/>
          <w:sz w:val="16"/>
          <w:szCs w:val="16"/>
          <w:color w:val="0000FF"/>
        </w:rPr>
        <w:t>Bank of Hawaii Corporation’s 2004 Stock and Incentive Compensation Plan - Amendment of 2012 Nonqualified Stock Option Agreement (incorporated by reference from Exhibit 10.2 to the Bank of Hawaii Corporation’s Quarterly Report on Form 10-Q, as filed on July 25, 2016).*</w:t>
      </w:r>
    </w:p>
    <w:p>
      <w:pPr>
        <w:ind w:left="840" w:right="140" w:hanging="809"/>
        <w:spacing w:after="0" w:line="277" w:lineRule="auto"/>
        <w:tabs>
          <w:tab w:leader="none" w:pos="820" w:val="left"/>
        </w:tabs>
        <w:rPr>
          <w:rFonts w:ascii="Arial" w:cs="Arial" w:eastAsia="Arial" w:hAnsi="Arial"/>
          <w:sz w:val="18"/>
          <w:szCs w:val="18"/>
          <w:color w:val="0000FF"/>
        </w:rPr>
      </w:pPr>
      <w:hyperlink r:id="rId88">
        <w:r>
          <w:rPr>
            <w:rFonts w:ascii="Arial" w:cs="Arial" w:eastAsia="Arial" w:hAnsi="Arial"/>
            <w:sz w:val="18"/>
            <w:szCs w:val="18"/>
            <w:u w:val="single" w:color="auto"/>
            <w:color w:val="0000FF"/>
          </w:rPr>
          <w:t>10.29</w:t>
        </w:r>
      </w:hyperlink>
      <w:r>
        <w:rPr>
          <w:rFonts w:ascii="Arial" w:cs="Arial" w:eastAsia="Arial" w:hAnsi="Arial"/>
          <w:sz w:val="18"/>
          <w:szCs w:val="18"/>
          <w:color w:val="0000FF"/>
        </w:rPr>
        <w:tab/>
        <w:t>Bank of Hawaii Corporation’s 2014 Stock and Incentive Plan - Form of 2017 Restricted Stock Grant Agreement (incor2222porated by reference from Exhibit 10.1 to the Bank of Hawaii corporation’s Current Report on Form 8-K, as filed on February 27, 2017)*</w:t>
      </w:r>
    </w:p>
    <w:p>
      <w:pPr>
        <w:spacing w:after="0" w:line="8" w:lineRule="exact"/>
        <w:rPr>
          <w:sz w:val="20"/>
          <w:szCs w:val="20"/>
          <w:color w:val="auto"/>
        </w:rPr>
      </w:pPr>
    </w:p>
    <w:p>
      <w:pPr>
        <w:ind w:left="840" w:right="360" w:hanging="809"/>
        <w:spacing w:after="0" w:line="342" w:lineRule="auto"/>
        <w:tabs>
          <w:tab w:leader="none" w:pos="820" w:val="left"/>
        </w:tabs>
        <w:rPr>
          <w:rFonts w:ascii="Arial" w:cs="Arial" w:eastAsia="Arial" w:hAnsi="Arial"/>
          <w:sz w:val="18"/>
          <w:szCs w:val="18"/>
          <w:color w:val="0000FF"/>
        </w:rPr>
      </w:pPr>
      <w:hyperlink r:id="rId89">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6"/>
          <w:szCs w:val="16"/>
          <w:color w:val="0000FF"/>
        </w:rPr>
        <w:t>Amendment to Bank of Hawaii Corporation’s 2014 Stock and Incentive Plan (incorporated by reference from Appendix A to Bank of Hawaii Corporation’s Definitive Proxy Statement on Schedule 14A for the 2017 Annual Meeting of Shareholders, as filed on March 17, 2017).*</w:t>
      </w:r>
    </w:p>
    <w:p>
      <w:pPr>
        <w:spacing w:after="0" w:line="178" w:lineRule="exact"/>
        <w:rPr>
          <w:sz w:val="20"/>
          <w:szCs w:val="20"/>
          <w:color w:val="auto"/>
        </w:rPr>
      </w:pPr>
    </w:p>
    <w:p>
      <w:pPr>
        <w:ind w:left="840" w:right="120" w:hanging="809"/>
        <w:spacing w:after="0" w:line="308" w:lineRule="auto"/>
        <w:tabs>
          <w:tab w:leader="none" w:pos="820" w:val="left"/>
        </w:tabs>
        <w:rPr>
          <w:rFonts w:ascii="Arial" w:cs="Arial" w:eastAsia="Arial" w:hAnsi="Arial"/>
          <w:sz w:val="18"/>
          <w:szCs w:val="18"/>
          <w:color w:val="0000FF"/>
        </w:rPr>
      </w:pPr>
      <w:hyperlink r:id="rId88">
        <w:r>
          <w:rPr>
            <w:rFonts w:ascii="Arial" w:cs="Arial" w:eastAsia="Arial" w:hAnsi="Arial"/>
            <w:sz w:val="18"/>
            <w:szCs w:val="18"/>
            <w:u w:val="single" w:color="auto"/>
            <w:color w:val="0000FF"/>
          </w:rPr>
          <w:t>10.31</w:t>
        </w:r>
      </w:hyperlink>
      <w:r>
        <w:rPr>
          <w:rFonts w:ascii="Arial" w:cs="Arial" w:eastAsia="Arial" w:hAnsi="Arial"/>
          <w:sz w:val="18"/>
          <w:szCs w:val="18"/>
          <w:color w:val="0000FF"/>
        </w:rPr>
        <w:tab/>
      </w:r>
      <w:r>
        <w:rPr>
          <w:rFonts w:ascii="Arial" w:cs="Arial" w:eastAsia="Arial" w:hAnsi="Arial"/>
          <w:sz w:val="17"/>
          <w:szCs w:val="17"/>
          <w:color w:val="0000FF"/>
        </w:rPr>
        <w:t>Bank of Hawaii Corporation’s 2014 Stock and Incentive Compensation Plan - Form of 2017 Restricted Stock Grant Agreement (incorporated by reference from Exhibit 10.1 to Bank of Hawaii Corporation’s Current Report on Form 8-K, as filed on February 27, 2017).*</w:t>
      </w:r>
    </w:p>
    <w:p>
      <w:pPr>
        <w:spacing w:after="0" w:line="201" w:lineRule="exact"/>
        <w:rPr>
          <w:sz w:val="20"/>
          <w:szCs w:val="20"/>
          <w:color w:val="auto"/>
        </w:rPr>
      </w:pPr>
    </w:p>
    <w:p>
      <w:pPr>
        <w:ind w:left="840" w:right="120" w:hanging="809"/>
        <w:spacing w:after="0" w:line="308" w:lineRule="auto"/>
        <w:tabs>
          <w:tab w:leader="none" w:pos="820" w:val="left"/>
        </w:tabs>
        <w:rPr>
          <w:rFonts w:ascii="Arial" w:cs="Arial" w:eastAsia="Arial" w:hAnsi="Arial"/>
          <w:sz w:val="18"/>
          <w:szCs w:val="18"/>
          <w:color w:val="0000FF"/>
        </w:rPr>
      </w:pPr>
      <w:hyperlink r:id="rId90">
        <w:r>
          <w:rPr>
            <w:rFonts w:ascii="Arial" w:cs="Arial" w:eastAsia="Arial" w:hAnsi="Arial"/>
            <w:sz w:val="18"/>
            <w:szCs w:val="18"/>
            <w:u w:val="single" w:color="auto"/>
            <w:color w:val="0000FF"/>
          </w:rPr>
          <w:t>10.32</w:t>
        </w:r>
      </w:hyperlink>
      <w:r>
        <w:rPr>
          <w:rFonts w:ascii="Arial" w:cs="Arial" w:eastAsia="Arial" w:hAnsi="Arial"/>
          <w:sz w:val="18"/>
          <w:szCs w:val="18"/>
          <w:color w:val="0000FF"/>
        </w:rPr>
        <w:tab/>
      </w:r>
      <w:r>
        <w:rPr>
          <w:rFonts w:ascii="Arial" w:cs="Arial" w:eastAsia="Arial" w:hAnsi="Arial"/>
          <w:sz w:val="17"/>
          <w:szCs w:val="17"/>
          <w:color w:val="0000FF"/>
        </w:rPr>
        <w:t>Bank of Hawaii Corporation’s 2014 Stock and Incentive Compensation Plan - Form of 2018 Restricted Stock Grant Agreement (incorporated by reference from Exhibit 10.1 to Bank of Hawaii Corporation’s Current Report on Form 8-K, as filed on February 26, 2018).*</w:t>
      </w:r>
    </w:p>
    <w:p>
      <w:pPr>
        <w:spacing w:after="0" w:line="201"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4">
        <w:r>
          <w:rPr>
            <w:rFonts w:ascii="Arial" w:cs="Arial" w:eastAsia="Arial" w:hAnsi="Arial"/>
            <w:sz w:val="18"/>
            <w:szCs w:val="18"/>
            <w:u w:val="single" w:color="auto"/>
            <w:color w:val="0000FF"/>
          </w:rPr>
          <w:t>21.1</w:t>
        </w:r>
      </w:hyperlink>
      <w:r>
        <w:rPr>
          <w:rFonts w:ascii="Arial" w:cs="Arial" w:eastAsia="Arial" w:hAnsi="Arial"/>
          <w:sz w:val="18"/>
          <w:szCs w:val="18"/>
          <w:color w:val="0000FF"/>
        </w:rPr>
        <w:tab/>
      </w:r>
      <w:r>
        <w:rPr>
          <w:rFonts w:ascii="Arial" w:cs="Arial" w:eastAsia="Arial" w:hAnsi="Arial"/>
          <w:sz w:val="16"/>
          <w:szCs w:val="16"/>
          <w:color w:val="0000FF"/>
        </w:rPr>
        <w:t>Subsidiaries of the Registrant.</w:t>
      </w:r>
    </w:p>
    <w:p>
      <w:pPr>
        <w:spacing w:after="0" w:line="63"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5">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Independent Registered Public Accounting Firm.</w:t>
      </w:r>
    </w:p>
    <w:p>
      <w:pPr>
        <w:spacing w:after="0" w:line="63"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6">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on Chief Executive Officer Pursuant to Rule 13a-14(a) Under the Securities Exchange Act of 1934.</w:t>
      </w:r>
    </w:p>
    <w:p>
      <w:pPr>
        <w:spacing w:after="0" w:line="63"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147">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Chief Financial Officer Pursuant to Rule 13a-14(a) Under the Securities Exchange Act of 1934.</w:t>
      </w:r>
    </w:p>
    <w:p>
      <w:pPr>
        <w:spacing w:after="0" w:line="63" w:lineRule="exact"/>
        <w:rPr>
          <w:sz w:val="20"/>
          <w:szCs w:val="20"/>
          <w:color w:val="auto"/>
        </w:rPr>
      </w:pPr>
    </w:p>
    <w:p>
      <w:pPr>
        <w:ind w:left="840" w:right="220" w:hanging="805"/>
        <w:spacing w:after="0" w:line="277" w:lineRule="auto"/>
        <w:tabs>
          <w:tab w:leader="none" w:pos="840" w:val="left"/>
        </w:tabs>
        <w:numPr>
          <w:ilvl w:val="0"/>
          <w:numId w:val="73"/>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125"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40" w:hanging="805"/>
        <w:spacing w:after="0"/>
        <w:tabs>
          <w:tab w:leader="none" w:pos="8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w:t>
      </w:r>
    </w:p>
    <w:p>
      <w:pPr>
        <w:spacing w:after="0" w:line="2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xml:space="preserve">*   </w:t>
      </w: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219"/>
          </w:cols>
          <w:pgMar w:left="240" w:top="125"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6"/>
          <w:szCs w:val="16"/>
          <w:color w:val="auto"/>
        </w:rPr>
        <w:t>Bank of Hawaii Corporation</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Date: March 1, 2019</w:t>
            </w:r>
          </w:p>
        </w:tc>
        <w:tc>
          <w:tcPr>
            <w:tcW w:w="5600" w:type="dxa"/>
            <w:vAlign w:val="bottom"/>
          </w:tcPr>
          <w:p>
            <w:pPr>
              <w:spacing w:after="0"/>
              <w:rPr>
                <w:sz w:val="20"/>
                <w:szCs w:val="20"/>
                <w:color w:val="auto"/>
              </w:rPr>
            </w:pPr>
          </w:p>
        </w:tc>
      </w:tr>
      <w:tr>
        <w:trPr>
          <w:trHeight w:val="54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/s/ Peter S. Ho</w:t>
            </w:r>
          </w:p>
        </w:tc>
        <w:tc>
          <w:tcPr>
            <w:tcW w:w="5600" w:type="dxa"/>
            <w:vAlign w:val="bottom"/>
          </w:tcPr>
          <w:p>
            <w:pPr>
              <w:ind w:left="40"/>
              <w:spacing w:after="0"/>
              <w:rPr>
                <w:sz w:val="20"/>
                <w:szCs w:val="20"/>
                <w:color w:val="auto"/>
              </w:rPr>
            </w:pPr>
            <w:r>
              <w:rPr>
                <w:rFonts w:ascii="Arial" w:cs="Arial" w:eastAsia="Arial" w:hAnsi="Arial"/>
                <w:sz w:val="18"/>
                <w:szCs w:val="18"/>
                <w:color w:val="auto"/>
              </w:rPr>
              <w:t>/s/ S. Haunani Apoliona</w:t>
            </w:r>
          </w:p>
        </w:tc>
      </w:tr>
      <w:tr>
        <w:trPr>
          <w:trHeight w:val="27"/>
        </w:trPr>
        <w:tc>
          <w:tcPr>
            <w:tcW w:w="5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22"/>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Peter S. Ho</w:t>
            </w:r>
          </w:p>
        </w:tc>
        <w:tc>
          <w:tcPr>
            <w:tcW w:w="5600" w:type="dxa"/>
            <w:vAlign w:val="bottom"/>
          </w:tcPr>
          <w:p>
            <w:pPr>
              <w:ind w:left="40"/>
              <w:spacing w:after="0"/>
              <w:rPr>
                <w:sz w:val="20"/>
                <w:szCs w:val="20"/>
                <w:color w:val="auto"/>
              </w:rPr>
            </w:pPr>
            <w:r>
              <w:rPr>
                <w:rFonts w:ascii="Arial" w:cs="Arial" w:eastAsia="Arial" w:hAnsi="Arial"/>
                <w:sz w:val="18"/>
                <w:szCs w:val="18"/>
                <w:color w:val="auto"/>
              </w:rPr>
              <w:t>S. Haunani Apoliona, Director</w:t>
            </w:r>
          </w:p>
        </w:tc>
      </w:tr>
      <w:tr>
        <w:trPr>
          <w:trHeight w:val="216"/>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5600" w:type="dxa"/>
            <w:vAlign w:val="bottom"/>
          </w:tcPr>
          <w:p>
            <w:pPr>
              <w:spacing w:after="0"/>
              <w:rPr>
                <w:sz w:val="18"/>
                <w:szCs w:val="18"/>
                <w:color w:val="auto"/>
              </w:rPr>
            </w:pPr>
          </w:p>
        </w:tc>
      </w:tr>
      <w:tr>
        <w:trPr>
          <w:trHeight w:val="216"/>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w:t>
            </w:r>
          </w:p>
        </w:tc>
        <w:tc>
          <w:tcPr>
            <w:tcW w:w="5600" w:type="dxa"/>
            <w:vAlign w:val="bottom"/>
          </w:tcPr>
          <w:p>
            <w:pPr>
              <w:spacing w:after="0"/>
              <w:rPr>
                <w:sz w:val="18"/>
                <w:szCs w:val="18"/>
                <w:color w:val="auto"/>
              </w:rPr>
            </w:pPr>
          </w:p>
        </w:tc>
      </w:tr>
      <w:tr>
        <w:trPr>
          <w:trHeight w:val="23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President</w:t>
            </w:r>
          </w:p>
        </w:tc>
        <w:tc>
          <w:tcPr>
            <w:tcW w:w="56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G. F. Bitterman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G. F. Bitterman, Director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Clinton R. Churchill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559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Clinton R. Churchill, Director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Kent T. Lucien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Kent T. Lucien, Director 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Strategy Officer</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Victor K.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559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Victor K. Nichols,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Raymond P. Vara,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Raymond P. Vara, Jr., Director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559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Dean Y. Shigemura, Chief Financial Officer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 Mark A.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Mark A. Burak,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Robert Huret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Robert Huret,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Alicia E. Moy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Alicia E. Moy, 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Barbara J. 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Barbara J. Tanabe, 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Robert W. 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31750</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Robert W. Wo,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Brent T. Flygar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3550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Brent T. Flygar, Principal Accounting Officer</w:t>
      </w:r>
    </w:p>
    <w:p>
      <w:pPr>
        <w:spacing w:after="0" w:line="200" w:lineRule="exact"/>
        <w:rPr>
          <w:sz w:val="20"/>
          <w:szCs w:val="20"/>
          <w:color w:val="auto"/>
        </w:rPr>
      </w:pPr>
    </w:p>
    <w:p>
      <w:pPr>
        <w:sectPr>
          <w:pgSz w:w="11900" w:h="16838" w:orient="portrait"/>
          <w:cols w:equalWidth="0" w:num="2">
            <w:col w:w="5140" w:space="720"/>
            <w:col w:w="5560"/>
          </w:cols>
          <w:pgMar w:left="240" w:top="44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420"/>
          </w:cols>
          <w:pgMar w:left="240" w:top="445" w:right="23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Bank of Hawaii Corporation</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Subsidiaries of the Registrant</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required information with respect to subsidiaries of Bank of Hawaii Corporation as of December 31, 2018 is provided below. All domestic subsidiaries are wholly-owned. Each entity is consolidated with its immediate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6915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BANK OF HAWAII CORPORATION (Parent)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Bank Holding Company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6915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Subsidiaries: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BANK OF HAWAII</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Hawaii</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 of Hawaii Leasing, Inc. (Leasing)</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Bankoh Investment Services, Inc. (Brokerage)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BOH Wholesale Insurance Agency, Inc.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Pacific Century Insurance Services, Inc. (Captive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RGA Corp. (Real Property Holding Company)</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BOH Community Development Enterprise, Inc. (New Markets Tax Credit Investments)</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Pacific Century Life Insurance Corporation (Insurance)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Arizona</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S-3 (Nos. 333-64248 and 333-165824) and on Form S-3 ASR (No. 333-207801) pertaining to the Bank of Hawaii Corporation Dividend Reinvestment and Stock Purchase Plan;</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33-54777, 333-80127 and 333-61134) pertaining to the Pacific Century Financial Corporation Stock Option Plan of 1994 (formerly the Bancorp Hawaii, Inc. Stock Option Plan of 1994);</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2-96329, 33-29872, 33-49836, 33-57267 and 333-165825) pertaining to the Bank of Hawaii Retirement Savings Plan (formerly the Pacific Century Financial Corporation Profit Sharing Plan);</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on Form S-8 (No. 333-203611) pertaining to the Bank of Hawaii Corporation 2015 Director Stock Compensation Plan (formerly the Pacific Century Financial Corporation Directors’ Stock Compensation Program);</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333-115325, 333-143295 and 333-176463) pertaining to the Bank of Hawaii Corporation 2004 Stock and Incentive Compensation Plan; and</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Statements on Form S-8 (Nos. 333-197674 and 333-217546) pertaining to the Bank of Hawaii Corporation 2014 Stock and Incentive Plan;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1, 2019, with respect to the consolidated financial statements of Bank of Hawaii Corporation and subsidiaries and the effectiveness of internal control over financial reporting of Bank of Hawaii Corporation and subsidiaries included in this Annual Report (Form 10-K) of Bank of Hawaii Corporation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22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 of Hawaii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5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225"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 of Hawaii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120" w:hanging="329"/>
        <w:spacing w:after="0" w:line="264"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00" w:hanging="329"/>
        <w:spacing w:after="0" w:line="264"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60" w:hanging="329"/>
        <w:spacing w:after="0" w:line="308" w:lineRule="auto"/>
        <w:tabs>
          <w:tab w:leader="none" w:pos="5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right="20" w:hanging="329"/>
        <w:spacing w:after="0" w:line="264"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580" w:hanging="252"/>
        <w:spacing w:after="0" w:line="277"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70" w:lineRule="exact"/>
        <w:rPr>
          <w:rFonts w:ascii="Arial" w:cs="Arial" w:eastAsia="Arial" w:hAnsi="Arial"/>
          <w:sz w:val="18"/>
          <w:szCs w:val="18"/>
          <w:color w:val="auto"/>
        </w:rPr>
      </w:pPr>
    </w:p>
    <w:p>
      <w:pPr>
        <w:ind w:left="580" w:right="80" w:hanging="329"/>
        <w:spacing w:after="0" w:line="277"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20" w:hanging="329"/>
        <w:spacing w:after="0" w:line="277"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Dean Y. Shigemura</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of Bank of Hawaii Corporation (the “Company”) for the year ended December 31, 2018 (the “Report”):</w:t>
      </w:r>
    </w:p>
    <w:p>
      <w:pPr>
        <w:spacing w:after="0" w:line="211"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700" w:val="left"/>
          <w:tab w:leader="none" w:pos="4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31750</wp:posOffset>
            </wp:positionV>
            <wp:extent cx="43567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Peter S. Ho</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President</w:t>
      </w:r>
    </w:p>
    <w:p>
      <w:pPr>
        <w:spacing w:after="0" w:line="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31750</wp:posOffset>
            </wp:positionV>
            <wp:extent cx="43567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Dean Y. Shigemura</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bullet"/>
      <w:start w:val="1"/>
    </w:lvl>
  </w:abstractNum>
  <w:abstractNum w:abstractNumId="3">
    <w:nsid w:val="153EA438"/>
    <w:multiLevelType w:val="hybridMultilevel"/>
    <w:lvl w:ilvl="0">
      <w:lvlJc w:val="left"/>
      <w:lvlText w:val="2"/>
      <w:numFmt w:val="bullet"/>
      <w:start w:val="1"/>
    </w:lvl>
  </w:abstractNum>
  <w:abstractNum w:abstractNumId="4">
    <w:nsid w:val="3855585C"/>
    <w:multiLevelType w:val="hybridMultilevel"/>
    <w:lvl w:ilvl="0">
      <w:lvlJc w:val="left"/>
      <w:lvlText w:val="1"/>
      <w:numFmt w:val="bullet"/>
      <w:start w:val="1"/>
    </w:lvl>
  </w:abstractNum>
  <w:abstractNum w:abstractNumId="5">
    <w:nsid w:val="70A64E2A"/>
    <w:multiLevelType w:val="hybridMultilevel"/>
    <w:lvl w:ilvl="0">
      <w:lvlJc w:val="left"/>
      <w:lvlText w:val="2"/>
      <w:numFmt w:val="bullet"/>
      <w:start w:val="1"/>
    </w:lvl>
  </w:abstractNum>
  <w:abstractNum w:abstractNumId="6">
    <w:nsid w:val="6A2342EC"/>
    <w:multiLevelType w:val="hybridMultilevel"/>
    <w:lvl w:ilvl="0">
      <w:lvlJc w:val="left"/>
      <w:lvlText w:val="3"/>
      <w:numFmt w:val="bullet"/>
      <w:start w:val="1"/>
    </w:lvl>
  </w:abstractNum>
  <w:abstractNum w:abstractNumId="7">
    <w:nsid w:val="2A487CB0"/>
    <w:multiLevelType w:val="hybridMultilevel"/>
    <w:lvl w:ilvl="0">
      <w:lvlJc w:val="left"/>
      <w:lvlText w:val="4"/>
      <w:numFmt w:val="bullet"/>
      <w:start w:val="1"/>
    </w:lvl>
  </w:abstractNum>
  <w:abstractNum w:abstractNumId="8">
    <w:nsid w:val="1D4ED43B"/>
    <w:multiLevelType w:val="hybridMultilevel"/>
    <w:lvl w:ilvl="0">
      <w:lvlJc w:val="left"/>
      <w:lvlText w:val="5"/>
      <w:numFmt w:val="bullet"/>
      <w:start w:val="1"/>
    </w:lvl>
  </w:abstractNum>
  <w:abstractNum w:abstractNumId="9">
    <w:nsid w:val="725A06FB"/>
    <w:multiLevelType w:val="hybridMultilevel"/>
    <w:lvl w:ilvl="0">
      <w:lvlJc w:val="left"/>
      <w:lvlText w:val="1"/>
      <w:numFmt w:val="bullet"/>
      <w:start w:val="1"/>
    </w:lvl>
  </w:abstractNum>
  <w:abstractNum w:abstractNumId="10">
    <w:nsid w:val="2CD89A32"/>
    <w:multiLevelType w:val="hybridMultilevel"/>
    <w:lvl w:ilvl="0">
      <w:lvlJc w:val="left"/>
      <w:lvlText w:val="%1)"/>
      <w:numFmt w:val="decimal"/>
      <w:start w:val="10"/>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bullet"/>
      <w:start w:val="1"/>
    </w:lvl>
  </w:abstractNum>
  <w:abstractNum w:abstractNumId="17">
    <w:nsid w:val="7644A45C"/>
    <w:multiLevelType w:val="hybridMultilevel"/>
    <w:lvl w:ilvl="0">
      <w:lvlJc w:val="left"/>
      <w:lvlText w:val="2"/>
      <w:numFmt w:val="bullet"/>
      <w:start w:val="1"/>
    </w:lvl>
  </w:abstractNum>
  <w:abstractNum w:abstractNumId="18">
    <w:nsid w:val="32FFF902"/>
    <w:multiLevelType w:val="hybridMultilevel"/>
    <w:lvl w:ilvl="0">
      <w:lvlJc w:val="left"/>
      <w:lvlText w:val="3"/>
      <w:numFmt w:val="bullet"/>
      <w:start w:val="1"/>
    </w:lvl>
  </w:abstractNum>
  <w:abstractNum w:abstractNumId="19">
    <w:nsid w:val="684A481A"/>
    <w:multiLevelType w:val="hybridMultilevel"/>
    <w:lvl w:ilvl="0">
      <w:lvlJc w:val="left"/>
      <w:lvlText w:val="1"/>
      <w:numFmt w:val="bullet"/>
      <w:start w:val="1"/>
    </w:lvl>
  </w:abstractNum>
  <w:abstractNum w:abstractNumId="20">
    <w:nsid w:val="579478FE"/>
    <w:multiLevelType w:val="hybridMultilevel"/>
    <w:lvl w:ilvl="0">
      <w:lvlJc w:val="left"/>
      <w:lvlText w:val="2"/>
      <w:numFmt w:val="bullet"/>
      <w:start w:val="1"/>
    </w:lvl>
  </w:abstractNum>
  <w:abstractNum w:abstractNumId="21">
    <w:nsid w:val="749ABB43"/>
    <w:multiLevelType w:val="hybridMultilevel"/>
    <w:lvl w:ilvl="0">
      <w:lvlJc w:val="left"/>
      <w:lvlText w:val="1"/>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bullet"/>
      <w:start w:val="1"/>
    </w:lvl>
  </w:abstractNum>
  <w:abstractNum w:abstractNumId="24">
    <w:nsid w:val="79A1DEAA"/>
    <w:multiLevelType w:val="hybridMultilevel"/>
    <w:lvl w:ilvl="0">
      <w:lvlJc w:val="left"/>
      <w:lvlText w:val="2"/>
      <w:numFmt w:val="bullet"/>
      <w:start w:val="1"/>
    </w:lvl>
  </w:abstractNum>
  <w:abstractNum w:abstractNumId="25">
    <w:nsid w:val="75C6C33A"/>
    <w:multiLevelType w:val="hybridMultilevel"/>
    <w:lvl w:ilvl="0">
      <w:lvlJc w:val="left"/>
      <w:lvlText w:val="1"/>
      <w:numFmt w:val="bullet"/>
      <w:start w:val="1"/>
    </w:lvl>
  </w:abstractNum>
  <w:abstractNum w:abstractNumId="26">
    <w:nsid w:val="12E685FB"/>
    <w:multiLevelType w:val="hybridMultilevel"/>
    <w:lvl w:ilvl="0">
      <w:lvlJc w:val="left"/>
      <w:lvlText w:val="1"/>
      <w:numFmt w:val="bullet"/>
      <w:start w:val="1"/>
    </w:lvl>
  </w:abstractNum>
  <w:abstractNum w:abstractNumId="27">
    <w:nsid w:val="70C6A529"/>
    <w:multiLevelType w:val="hybridMultilevel"/>
    <w:lvl w:ilvl="0">
      <w:lvlJc w:val="left"/>
      <w:lvlText w:val="2"/>
      <w:numFmt w:val="bullet"/>
      <w:start w:val="1"/>
    </w:lvl>
  </w:abstractNum>
  <w:abstractNum w:abstractNumId="28">
    <w:nsid w:val="520EEDD1"/>
    <w:multiLevelType w:val="hybridMultilevel"/>
    <w:lvl w:ilvl="0">
      <w:lvlJc w:val="left"/>
      <w:lvlText w:val="3"/>
      <w:numFmt w:val="bullet"/>
      <w:start w:val="1"/>
    </w:lvl>
  </w:abstractNum>
  <w:abstractNum w:abstractNumId="29">
    <w:nsid w:val="374A3FE6"/>
    <w:multiLevelType w:val="hybridMultilevel"/>
    <w:lvl w:ilvl="0">
      <w:lvlJc w:val="left"/>
      <w:lvlText w:val="1"/>
      <w:numFmt w:val="bullet"/>
      <w:start w:val="1"/>
    </w:lvl>
  </w:abstractNum>
  <w:abstractNum w:abstractNumId="30">
    <w:nsid w:val="4F4EF005"/>
    <w:multiLevelType w:val="hybridMultilevel"/>
    <w:lvl w:ilvl="0">
      <w:lvlJc w:val="left"/>
      <w:lvlText w:val="2"/>
      <w:numFmt w:val="bullet"/>
      <w:start w:val="1"/>
    </w:lvl>
  </w:abstractNum>
  <w:abstractNum w:abstractNumId="31">
    <w:nsid w:val="23F9C13C"/>
    <w:multiLevelType w:val="hybridMultilevel"/>
    <w:lvl w:ilvl="0">
      <w:lvlJc w:val="left"/>
      <w:lvlText w:val="1"/>
      <w:numFmt w:val="bullet"/>
      <w:start w:val="1"/>
    </w:lvl>
  </w:abstractNum>
  <w:abstractNum w:abstractNumId="32">
    <w:nsid w:val="649BB77C"/>
    <w:multiLevelType w:val="hybridMultilevel"/>
    <w:lvl w:ilvl="0">
      <w:lvlJc w:val="left"/>
      <w:lvlText w:val="1"/>
      <w:numFmt w:val="bullet"/>
      <w:start w:val="1"/>
    </w:lvl>
  </w:abstractNum>
  <w:abstractNum w:abstractNumId="33">
    <w:nsid w:val="275AC794"/>
    <w:multiLevelType w:val="hybridMultilevel"/>
    <w:lvl w:ilvl="0">
      <w:lvlJc w:val="left"/>
      <w:lvlText w:val="2"/>
      <w:numFmt w:val="bullet"/>
      <w:start w:val="1"/>
    </w:lvl>
  </w:abstractNum>
  <w:abstractNum w:abstractNumId="34">
    <w:nsid w:val="39386575"/>
    <w:multiLevelType w:val="hybridMultilevel"/>
    <w:lvl w:ilvl="0">
      <w:lvlJc w:val="left"/>
      <w:lvlText w:val="1"/>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bullet"/>
      <w:start w:val="1"/>
    </w:lvl>
  </w:abstractNum>
  <w:abstractNum w:abstractNumId="37">
    <w:nsid w:val="235BA861"/>
    <w:multiLevelType w:val="hybridMultilevel"/>
    <w:lvl w:ilvl="0">
      <w:lvlJc w:val="left"/>
      <w:lvlText w:val="2"/>
      <w:numFmt w:val="bullet"/>
      <w:start w:val="1"/>
    </w:lvl>
  </w:abstractNum>
  <w:abstractNum w:abstractNumId="38">
    <w:nsid w:val="47398C89"/>
    <w:multiLevelType w:val="hybridMultilevel"/>
    <w:lvl w:ilvl="0">
      <w:lvlJc w:val="left"/>
      <w:lvlText w:val="1"/>
      <w:numFmt w:val="bullet"/>
      <w:start w:val="1"/>
    </w:lvl>
  </w:abstractNum>
  <w:abstractNum w:abstractNumId="39">
    <w:nsid w:val="354FE9F9"/>
    <w:multiLevelType w:val="hybridMultilevel"/>
    <w:lvl w:ilvl="0">
      <w:lvlJc w:val="left"/>
      <w:lvlText w:val="1"/>
      <w:numFmt w:val="bullet"/>
      <w:start w:val="1"/>
    </w:lvl>
  </w:abstractNum>
  <w:abstractNum w:abstractNumId="40">
    <w:nsid w:val="15B5AF5C"/>
    <w:multiLevelType w:val="hybridMultilevel"/>
    <w:lvl w:ilvl="0">
      <w:lvlJc w:val="left"/>
      <w:lvlText w:val="2"/>
      <w:numFmt w:val="bullet"/>
      <w:start w:val="1"/>
    </w:lvl>
  </w:abstractNum>
  <w:abstractNum w:abstractNumId="41">
    <w:nsid w:val="741226BB"/>
    <w:multiLevelType w:val="hybridMultilevel"/>
    <w:lvl w:ilvl="0">
      <w:lvlJc w:val="left"/>
      <w:lvlText w:val="1"/>
      <w:numFmt w:val="bullet"/>
      <w:start w:val="1"/>
    </w:lvl>
  </w:abstractNum>
  <w:abstractNum w:abstractNumId="42">
    <w:nsid w:val="D34B6A8"/>
    <w:multiLevelType w:val="hybridMultilevel"/>
    <w:lvl w:ilvl="0">
      <w:lvlJc w:val="left"/>
      <w:lvlText w:val="1"/>
      <w:numFmt w:val="bullet"/>
      <w:start w:val="1"/>
    </w:lvl>
  </w:abstractNum>
  <w:abstractNum w:abstractNumId="43">
    <w:nsid w:val="10233C99"/>
    <w:multiLevelType w:val="hybridMultilevel"/>
    <w:lvl w:ilvl="0">
      <w:lvlJc w:val="left"/>
      <w:lvlText w:val="1"/>
      <w:numFmt w:val="bullet"/>
      <w:start w:val="1"/>
    </w:lvl>
  </w:abstractNum>
  <w:abstractNum w:abstractNumId="44">
    <w:nsid w:val="3F6AB60F"/>
    <w:multiLevelType w:val="hybridMultilevel"/>
    <w:lvl w:ilvl="0">
      <w:lvlJc w:val="left"/>
      <w:lvlText w:val="2"/>
      <w:numFmt w:val="bullet"/>
      <w:start w:val="1"/>
    </w:lvl>
  </w:abstractNum>
  <w:abstractNum w:abstractNumId="45">
    <w:nsid w:val="61574095"/>
    <w:multiLevelType w:val="hybridMultilevel"/>
    <w:lvl w:ilvl="0">
      <w:lvlJc w:val="left"/>
      <w:lvlText w:val="1"/>
      <w:numFmt w:val="bullet"/>
      <w:start w:val="1"/>
    </w:lvl>
  </w:abstractNum>
  <w:abstractNum w:abstractNumId="46">
    <w:nsid w:val="7E0C57B1"/>
    <w:multiLevelType w:val="hybridMultilevel"/>
    <w:lvl w:ilvl="0">
      <w:lvlJc w:val="left"/>
      <w:lvlText w:val="1"/>
      <w:numFmt w:val="bullet"/>
      <w:start w:val="1"/>
    </w:lvl>
  </w:abstractNum>
  <w:abstractNum w:abstractNumId="47">
    <w:nsid w:val="77AE35EB"/>
    <w:multiLevelType w:val="hybridMultilevel"/>
    <w:lvl w:ilvl="0">
      <w:lvlJc w:val="left"/>
      <w:lvlText w:val="2"/>
      <w:numFmt w:val="bullet"/>
      <w:start w:val="1"/>
    </w:lvl>
  </w:abstractNum>
  <w:abstractNum w:abstractNumId="48">
    <w:nsid w:val="579BE4F1"/>
    <w:multiLevelType w:val="hybridMultilevel"/>
    <w:lvl w:ilvl="0">
      <w:lvlJc w:val="left"/>
      <w:lvlText w:val="1"/>
      <w:numFmt w:val="bullet"/>
      <w:start w:val="1"/>
    </w:lvl>
  </w:abstractNum>
  <w:abstractNum w:abstractNumId="49">
    <w:nsid w:val="310C50B3"/>
    <w:multiLevelType w:val="hybridMultilevel"/>
    <w:lvl w:ilvl="0">
      <w:lvlJc w:val="left"/>
      <w:lvlText w:val="2"/>
      <w:numFmt w:val="bullet"/>
      <w:start w:val="1"/>
    </w:lvl>
  </w:abstractNum>
  <w:abstractNum w:abstractNumId="50">
    <w:nsid w:val="5FF87E05"/>
    <w:multiLevelType w:val="hybridMultilevel"/>
    <w:lvl w:ilvl="0">
      <w:lvlJc w:val="left"/>
      <w:lvlText w:val="1"/>
      <w:numFmt w:val="bullet"/>
      <w:start w:val="1"/>
    </w:lvl>
  </w:abstractNum>
  <w:abstractNum w:abstractNumId="51">
    <w:nsid w:val="2F305DEF"/>
    <w:multiLevelType w:val="hybridMultilevel"/>
    <w:lvl w:ilvl="0">
      <w:lvlJc w:val="left"/>
      <w:lvlText w:val="2"/>
      <w:numFmt w:val="bullet"/>
      <w:start w:val="1"/>
    </w:lvl>
  </w:abstractNum>
  <w:abstractNum w:abstractNumId="52">
    <w:nsid w:val="25A70BF7"/>
    <w:multiLevelType w:val="hybridMultilevel"/>
    <w:lvl w:ilvl="0">
      <w:lvlJc w:val="left"/>
      <w:lvlText w:val="1"/>
      <w:numFmt w:val="bullet"/>
      <w:start w:val="1"/>
    </w:lvl>
  </w:abstractNum>
  <w:abstractNum w:abstractNumId="53">
    <w:nsid w:val="1DBABF00"/>
    <w:multiLevelType w:val="hybridMultilevel"/>
    <w:lvl w:ilvl="0">
      <w:lvlJc w:val="left"/>
      <w:lvlText w:val="1"/>
      <w:numFmt w:val="bullet"/>
      <w:start w:val="1"/>
    </w:lvl>
  </w:abstractNum>
  <w:abstractNum w:abstractNumId="54">
    <w:nsid w:val="4AD084E9"/>
    <w:multiLevelType w:val="hybridMultilevel"/>
    <w:lvl w:ilvl="0">
      <w:lvlJc w:val="left"/>
      <w:lvlText w:val="1"/>
      <w:numFmt w:val="bullet"/>
      <w:start w:val="1"/>
    </w:lvl>
  </w:abstractNum>
  <w:abstractNum w:abstractNumId="55">
    <w:nsid w:val="1F48EAA1"/>
    <w:multiLevelType w:val="hybridMultilevel"/>
    <w:lvl w:ilvl="0">
      <w:lvlJc w:val="left"/>
      <w:lvlText w:val="1"/>
      <w:numFmt w:val="bullet"/>
      <w:start w:val="1"/>
    </w:lvl>
  </w:abstractNum>
  <w:abstractNum w:abstractNumId="56">
    <w:nsid w:val="1381823A"/>
    <w:multiLevelType w:val="hybridMultilevel"/>
    <w:lvl w:ilvl="0">
      <w:lvlJc w:val="left"/>
      <w:lvlText w:val="2"/>
      <w:numFmt w:val="bullet"/>
      <w:start w:val="1"/>
    </w:lvl>
  </w:abstractNum>
  <w:abstractNum w:abstractNumId="57">
    <w:nsid w:val="5DB70AE5"/>
    <w:multiLevelType w:val="hybridMultilevel"/>
    <w:lvl w:ilvl="0">
      <w:lvlJc w:val="left"/>
      <w:lvlText w:val="1"/>
      <w:numFmt w:val="bullet"/>
      <w:start w:val="1"/>
    </w:lvl>
  </w:abstractNum>
  <w:abstractNum w:abstractNumId="58">
    <w:nsid w:val="100F8FCA"/>
    <w:multiLevelType w:val="hybridMultilevel"/>
    <w:lvl w:ilvl="0">
      <w:lvlJc w:val="left"/>
      <w:lvlText w:val="2"/>
      <w:numFmt w:val="bullet"/>
      <w:start w:val="1"/>
    </w:lvl>
  </w:abstractNum>
  <w:abstractNum w:abstractNumId="59">
    <w:nsid w:val="6590700B"/>
    <w:multiLevelType w:val="hybridMultilevel"/>
    <w:lvl w:ilvl="0">
      <w:lvlJc w:val="left"/>
      <w:lvlText w:val="3"/>
      <w:numFmt w:val="bullet"/>
      <w:start w:val="1"/>
    </w:lvl>
  </w:abstractNum>
  <w:abstractNum w:abstractNumId="60">
    <w:nsid w:val="15014ACB"/>
    <w:multiLevelType w:val="hybridMultilevel"/>
    <w:lvl w:ilvl="0">
      <w:lvlJc w:val="left"/>
      <w:lvlText w:val="1"/>
      <w:numFmt w:val="bullet"/>
      <w:start w:val="1"/>
    </w:lvl>
  </w:abstractNum>
  <w:abstractNum w:abstractNumId="61">
    <w:nsid w:val="5F5E7FD0"/>
    <w:multiLevelType w:val="hybridMultilevel"/>
    <w:lvl w:ilvl="0">
      <w:lvlJc w:val="left"/>
      <w:lvlText w:val="1"/>
      <w:numFmt w:val="bullet"/>
      <w:start w:val="1"/>
    </w:lvl>
  </w:abstractNum>
  <w:abstractNum w:abstractNumId="62">
    <w:nsid w:val="98A3148"/>
    <w:multiLevelType w:val="hybridMultilevel"/>
    <w:lvl w:ilvl="0">
      <w:lvlJc w:val="left"/>
      <w:lvlText w:val="1"/>
      <w:numFmt w:val="bullet"/>
      <w:start w:val="1"/>
    </w:lvl>
  </w:abstractNum>
  <w:abstractNum w:abstractNumId="63">
    <w:nsid w:val="799D0247"/>
    <w:multiLevelType w:val="hybridMultilevel"/>
    <w:lvl w:ilvl="0">
      <w:lvlJc w:val="left"/>
      <w:lvlText w:val="1"/>
      <w:numFmt w:val="bullet"/>
      <w:start w:val="1"/>
    </w:lvl>
  </w:abstractNum>
  <w:abstractNum w:abstractNumId="64">
    <w:nsid w:val="6B94764"/>
    <w:multiLevelType w:val="hybridMultilevel"/>
    <w:lvl w:ilvl="0">
      <w:lvlJc w:val="left"/>
      <w:lvlText w:val="1"/>
      <w:numFmt w:val="bullet"/>
      <w:start w:val="1"/>
    </w:lvl>
  </w:abstractNum>
  <w:abstractNum w:abstractNumId="65">
    <w:nsid w:val="42C296BD"/>
    <w:multiLevelType w:val="hybridMultilevel"/>
    <w:lvl w:ilvl="0">
      <w:lvlJc w:val="left"/>
      <w:lvlText w:val="1"/>
      <w:numFmt w:val="bullet"/>
      <w:start w:val="1"/>
    </w:lvl>
  </w:abstractNum>
  <w:abstractNum w:abstractNumId="66">
    <w:nsid w:val="168E121F"/>
    <w:multiLevelType w:val="hybridMultilevel"/>
    <w:lvl w:ilvl="0">
      <w:lvlJc w:val="left"/>
      <w:lvlText w:val="2"/>
      <w:numFmt w:val="bullet"/>
      <w:start w:val="1"/>
    </w:lvl>
  </w:abstractNum>
  <w:abstractNum w:abstractNumId="67">
    <w:nsid w:val="1EBA5D23"/>
    <w:multiLevelType w:val="hybridMultilevel"/>
    <w:lvl w:ilvl="0">
      <w:lvlJc w:val="left"/>
      <w:lvlText w:val="1"/>
      <w:numFmt w:val="bullet"/>
      <w:start w:val="1"/>
    </w:lvl>
  </w:abstractNum>
  <w:abstractNum w:abstractNumId="68">
    <w:nsid w:val="661E3F1E"/>
    <w:multiLevelType w:val="hybridMultilevel"/>
    <w:lvl w:ilvl="0">
      <w:lvlJc w:val="left"/>
      <w:lvlText w:val="2"/>
      <w:numFmt w:val="bullet"/>
      <w:start w:val="1"/>
    </w:lvl>
  </w:abstractNum>
  <w:abstractNum w:abstractNumId="69">
    <w:nsid w:val="5DC79EA8"/>
    <w:multiLevelType w:val="hybridMultilevel"/>
    <w:lvl w:ilvl="0">
      <w:lvlJc w:val="left"/>
      <w:lvlText w:val="1"/>
      <w:numFmt w:val="bullet"/>
      <w:start w:val="1"/>
    </w:lvl>
  </w:abstractNum>
  <w:abstractNum w:abstractNumId="70">
    <w:nsid w:val="540A471C"/>
    <w:multiLevelType w:val="hybridMultilevel"/>
    <w:lvl w:ilvl="0">
      <w:lvlJc w:val="left"/>
      <w:lvlText w:val="2"/>
      <w:numFmt w:val="bullet"/>
      <w:start w:val="1"/>
    </w:lvl>
  </w:abstractNum>
  <w:abstractNum w:abstractNumId="71">
    <w:nsid w:val="7BD3EE7B"/>
    <w:multiLevelType w:val="hybridMultilevel"/>
    <w:lvl w:ilvl="0">
      <w:lvlJc w:val="left"/>
      <w:lvlText w:val="&amp;"/>
      <w:numFmt w:val="bullet"/>
      <w:start w:val="1"/>
    </w:lvl>
  </w:abstractNum>
  <w:abstractNum w:abstractNumId="72">
    <w:nsid w:val="51D9C564"/>
    <w:multiLevelType w:val="hybridMultilevel"/>
    <w:lvl w:ilvl="0">
      <w:lvlJc w:val="left"/>
      <w:lvlText w:val="%1"/>
      <w:numFmt w:val="decimal"/>
      <w:start w:val="32"/>
    </w:lvl>
  </w:abstractNum>
  <w:abstractNum w:abstractNumId="73">
    <w:nsid w:val="613EFDC5"/>
    <w:multiLevelType w:val="hybridMultilevel"/>
    <w:lvl w:ilvl="0">
      <w:lvlJc w:val="left"/>
      <w:lvlText w:val="*"/>
      <w:numFmt w:val="bullet"/>
      <w:start w:val="1"/>
    </w:lvl>
    <w:lvl w:ilvl="1">
      <w:lvlJc w:val="left"/>
      <w:lvlText w:val="%2"/>
      <w:numFmt w:val="decimal"/>
      <w:start w:val="10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56" Type="http://schemas.openxmlformats.org/officeDocument/2006/relationships/hyperlink" Target="http://www.sec.gov/Archives/edgar/data/46195/000104746906002592/a2167652zex-3_1.htm" TargetMode="External"/><Relationship Id="rId57" Type="http://schemas.openxmlformats.org/officeDocument/2006/relationships/hyperlink" Target="http://www.sec.gov/Archives/edgar/data/46195/000110465908028414/a08-13016_1ex3d1.htm" TargetMode="External"/><Relationship Id="rId58" Type="http://schemas.openxmlformats.org/officeDocument/2006/relationships/hyperlink" Target="http://www.sec.gov/Archives/edgar/data/46195/000110465908028414/a08-13016_1ex3d2.htm" TargetMode="External"/><Relationship Id="rId59" Type="http://schemas.openxmlformats.org/officeDocument/2006/relationships/hyperlink" Target="http://www.sec.gov/Archives/edgar/data/46195/000004619513000055/exhibit32amendedandrestate.htm" TargetMode="External"/><Relationship Id="rId60" Type="http://schemas.openxmlformats.org/officeDocument/2006/relationships/hyperlink" Target="http://www.sec.gov/Archives/edgar/data/46195/000004619518000062/exhibit32amendedandrestate.htm" TargetMode="External"/><Relationship Id="rId61" Type="http://schemas.openxmlformats.org/officeDocument/2006/relationships/hyperlink" Target="http://www.sec.gov/Archives/edgar/data/46195/000104746906002592/a2167652zex-10_2.htm" TargetMode="External"/><Relationship Id="rId62" Type="http://schemas.openxmlformats.org/officeDocument/2006/relationships/hyperlink" Target="http://www.sec.gov/Archives/edgar/data/46195/000110465905062392/a05-22324_1ex10d1.htm" TargetMode="External"/><Relationship Id="rId63" Type="http://schemas.openxmlformats.org/officeDocument/2006/relationships/hyperlink" Target="http://www.sec.gov/Archives/edgar/data/46195/000104746906002592/a2167652zex-10_7.htm" TargetMode="External"/><Relationship Id="rId64" Type="http://schemas.openxmlformats.org/officeDocument/2006/relationships/hyperlink" Target="http://www.sec.gov/Archives/edgar/data/46195/000104746906002592/a2167652zex-10_8.htm" TargetMode="External"/><Relationship Id="rId65" Type="http://schemas.openxmlformats.org/officeDocument/2006/relationships/hyperlink" Target="http://www.sec.gov/Archives/edgar/data/46195/000104746905006918/a2152883zdef14a.htm" TargetMode="External"/><Relationship Id="rId66" Type="http://schemas.openxmlformats.org/officeDocument/2006/relationships/hyperlink" Target="http://www.sec.gov/Archives/edgar/data/46195/000104746904008376/a2130590zdef14a.htm" TargetMode="External"/><Relationship Id="rId67" Type="http://schemas.openxmlformats.org/officeDocument/2006/relationships/hyperlink" Target="http://www.sec.gov/Archives/edgar/data/46195/000104746908001671/a2182848zex-10_13.htm" TargetMode="External"/><Relationship Id="rId68" Type="http://schemas.openxmlformats.org/officeDocument/2006/relationships/hyperlink" Target="http://www.sec.gov/Archives/edgar/data/46195/000104746908001671/a2182848zex-10_16.htm" TargetMode="External"/><Relationship Id="rId69" Type="http://schemas.openxmlformats.org/officeDocument/2006/relationships/hyperlink" Target="http://www.sec.gov/Archives/edgar/data/46195/000110465908048064/a08-20192_1ex10d1.htm" TargetMode="External"/><Relationship Id="rId70" Type="http://schemas.openxmlformats.org/officeDocument/2006/relationships/hyperlink" Target="http://www.sec.gov/Archives/edgar/data/46195/000110465909070586/a09-35596_1ex10d1.htm" TargetMode="External"/><Relationship Id="rId71" Type="http://schemas.openxmlformats.org/officeDocument/2006/relationships/hyperlink" Target="http://www.sec.gov/Archives/edgar/data/46195/000110465910039479/a10-14620_1ex10d1.htm" TargetMode="External"/><Relationship Id="rId72" Type="http://schemas.openxmlformats.org/officeDocument/2006/relationships/hyperlink" Target="http://www.sec.gov/Archives/edgar/data/46195/000110465911065787/a11-30336_18k.htm" TargetMode="External"/><Relationship Id="rId73" Type="http://schemas.openxmlformats.org/officeDocument/2006/relationships/hyperlink" Target="http://www.sec.gov/Archives/edgar/data/46195/000110465912003333/a12-3250_1ex10d3.htm" TargetMode="External"/><Relationship Id="rId74" Type="http://schemas.openxmlformats.org/officeDocument/2006/relationships/hyperlink" Target="http://www.sec.gov/Archives/edgar/data/46195/000110465912003333/a12-3250_1ex10d4.htm" TargetMode="External"/><Relationship Id="rId75" Type="http://schemas.openxmlformats.org/officeDocument/2006/relationships/hyperlink" Target="http://www.sec.gov/Archives/edgar/data/46195/000004619514000006/ex101rsg8k012914.htm" TargetMode="External"/><Relationship Id="rId76" Type="http://schemas.openxmlformats.org/officeDocument/2006/relationships/hyperlink" Target="http://www.sec.gov/Archives/edgar/data/46195/000004619514000006/ex102rsg8k012914.htm" TargetMode="External"/><Relationship Id="rId77" Type="http://schemas.openxmlformats.org/officeDocument/2006/relationships/hyperlink" Target="http://www.sec.gov/Archives/edgar/data/46195/000004619514000006/ex103rsg8k012914.htm" TargetMode="External"/><Relationship Id="rId78" Type="http://schemas.openxmlformats.org/officeDocument/2006/relationships/hyperlink" Target="http://www.sec.gov/Archives/edgar/data/46195/000004619514000006/ex104rsg8k012914.htm" TargetMode="External"/><Relationship Id="rId79" Type="http://schemas.openxmlformats.org/officeDocument/2006/relationships/hyperlink" Target="http://www.sec.gov/Archives/edgar/data/46195/000004619514000006/ex105specincenagmt8k012914.htm" TargetMode="External"/><Relationship Id="rId80" Type="http://schemas.openxmlformats.org/officeDocument/2006/relationships/hyperlink" Target="http://www.sec.gov/Archives/edgar/data/46195/000004619514000015/a2014proxy.htm#sB9F8950F80B45B32866B4F034B511F59" TargetMode="External"/><Relationship Id="rId81" Type="http://schemas.openxmlformats.org/officeDocument/2006/relationships/hyperlink" Target="http://www.sec.gov/Archives/edgar/data/46195/000004619515000006/ex101rsg8k012815.htm" TargetMode="External"/><Relationship Id="rId82" Type="http://schemas.openxmlformats.org/officeDocument/2006/relationships/hyperlink" Target="http://www.sec.gov/Archives/edgar/data/46195/000004619515000006/ex102rsu8k012815.htm" TargetMode="External"/><Relationship Id="rId83" Type="http://schemas.openxmlformats.org/officeDocument/2006/relationships/hyperlink" Target="http://www.sec.gov/Archives/edgar/data/46195/000004619515000021/a2015proxydraft_031315.htm#sf27a2029fbda4791b82ad014eb5bc2e8" TargetMode="External"/><Relationship Id="rId84" Type="http://schemas.openxmlformats.org/officeDocument/2006/relationships/hyperlink" Target="http://www.sec.gov/Archives/edgar/data/46195/000004619516000109/boh10k12312015exh1030.htm" TargetMode="External"/><Relationship Id="rId85" Type="http://schemas.openxmlformats.org/officeDocument/2006/relationships/hyperlink" Target="http://www.sec.gov/Archives/edgar/data/46195/000004619516000109/boh10k12312015exh1031.htm" TargetMode="External"/><Relationship Id="rId86" Type="http://schemas.openxmlformats.org/officeDocument/2006/relationships/hyperlink" Target="http://www.sec.gov/Archives/edgar/data/46195/000004619516000145/boh_20160630xex101.htm" TargetMode="External"/><Relationship Id="rId87" Type="http://schemas.openxmlformats.org/officeDocument/2006/relationships/hyperlink" Target="http://www.sec.gov/Archives/edgar/data/46195/000004619516000145/boh_20160630xex102.htm" TargetMode="External"/><Relationship Id="rId88" Type="http://schemas.openxmlformats.org/officeDocument/2006/relationships/hyperlink" Target="http://www.sec.gov/Archives/edgar/data/46195/000004619517000011/a8kitem502e_exhibit101rsgx.htm" TargetMode="External"/><Relationship Id="rId89" Type="http://schemas.openxmlformats.org/officeDocument/2006/relationships/hyperlink" Target="http://www.sec.gov/Archives/edgar/data/46195/000004619517000017/a2017proxy_031717.htm#s5c9b5aaeaf0d47ec9537cc873d00653f" TargetMode="External"/><Relationship Id="rId90" Type="http://schemas.openxmlformats.org/officeDocument/2006/relationships/hyperlink" Target="http://www.sec.gov/Archives/edgar/data/46195/000004619518000012/a8kitem502e_exhibit101rsg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2019-12-28T15:48:48Z</dcterms:created>
  <dcterms:modified xsi:type="dcterms:W3CDTF">2019-12-28T15:48:48Z</dcterms:modified>
</cp:coreProperties>
</file>