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0" w:lineRule="exact"/>
        <w:rPr>
          <w:sz w:val="24"/>
          <w:szCs w:val="24"/>
          <w:color w:val="auto"/>
        </w:rPr>
      </w:pPr>
    </w:p>
    <w:p>
      <w:pPr>
        <w:jc w:val="center"/>
        <w:ind w:left="5540" w:right="160" w:hanging="5532"/>
        <w:spacing w:after="0" w:line="264" w:lineRule="auto"/>
        <w:tabs>
          <w:tab w:leader="none" w:pos="6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for the quarterly period ended March 31, 2025 </w:t>
      </w:r>
      <w:r>
        <w:rPr>
          <w:rFonts w:ascii="Times New Roman" w:cs="Times New Roman" w:eastAsia="Times New Roman" w:hAnsi="Times New Roman"/>
          <w:sz w:val="16"/>
          <w:szCs w:val="16"/>
          <w:b w:val="1"/>
          <w:bCs w:val="1"/>
          <w:color w:val="auto"/>
        </w:rPr>
        <w:t>or</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5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w:t>
            </w:r>
          </w:p>
        </w:tc>
        <w:tc>
          <w:tcPr>
            <w:tcW w:w="440" w:type="dxa"/>
            <w:vAlign w:val="bottom"/>
            <w:tcBorders>
              <w:bottom w:val="single" w:sz="8" w:color="auto"/>
            </w:tcBorders>
          </w:tcPr>
          <w:p>
            <w:pPr>
              <w:spacing w:after="0"/>
              <w:rPr>
                <w:sz w:val="18"/>
                <w:szCs w:val="18"/>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217"/>
        </w:trPr>
        <w:tc>
          <w:tcPr>
            <w:tcW w:w="420" w:type="dxa"/>
            <w:vAlign w:val="bottom"/>
          </w:tcPr>
          <w:p>
            <w:pPr>
              <w:spacing w:after="0"/>
              <w:rPr>
                <w:sz w:val="18"/>
                <w:szCs w:val="18"/>
                <w:color w:val="auto"/>
              </w:rPr>
            </w:pPr>
          </w:p>
        </w:tc>
        <w:tc>
          <w:tcPr>
            <w:tcW w:w="8540" w:type="dxa"/>
            <w:vAlign w:val="bottom"/>
          </w:tcPr>
          <w:p>
            <w:pPr>
              <w:ind w:left="4040"/>
              <w:spacing w:after="0"/>
              <w:rPr>
                <w:sz w:val="20"/>
                <w:szCs w:val="20"/>
                <w:color w:val="auto"/>
              </w:rPr>
            </w:pPr>
            <w:r>
              <w:rPr>
                <w:rFonts w:ascii="Times New Roman" w:cs="Times New Roman" w:eastAsia="Times New Roman" w:hAnsi="Times New Roman"/>
                <w:sz w:val="16"/>
                <w:szCs w:val="16"/>
                <w:b w:val="1"/>
                <w:bCs w:val="1"/>
                <w:color w:val="auto"/>
              </w:rPr>
              <w:t>Commission File Number: 1-6887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BANK OF HAWAII CORPORATION</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40" w:type="dxa"/>
            <w:vAlign w:val="bottom"/>
            <w:gridSpan w:val="2"/>
          </w:tcPr>
          <w:p>
            <w:pPr>
              <w:jc w:val="right"/>
              <w:ind w:right="1691"/>
              <w:spacing w:after="0"/>
              <w:rPr>
                <w:sz w:val="20"/>
                <w:szCs w:val="20"/>
                <w:color w:val="auto"/>
              </w:rPr>
            </w:pPr>
            <w:r>
              <w:rPr>
                <w:rFonts w:ascii="Times New Roman" w:cs="Times New Roman" w:eastAsia="Times New Roman" w:hAnsi="Times New Roman"/>
                <w:sz w:val="16"/>
                <w:szCs w:val="16"/>
                <w:b w:val="1"/>
                <w:bCs w:val="1"/>
                <w:color w:val="auto"/>
              </w:rPr>
              <w:t>99-0148992</w:t>
            </w:r>
          </w:p>
        </w:tc>
      </w:tr>
      <w:tr>
        <w:trPr>
          <w:trHeight w:val="229"/>
        </w:trPr>
        <w:tc>
          <w:tcPr>
            <w:tcW w:w="3820" w:type="dxa"/>
            <w:vAlign w:val="bottom"/>
            <w:gridSpan w:val="3"/>
          </w:tcPr>
          <w:p>
            <w:pPr>
              <w:jc w:val="center"/>
              <w:ind w:left="1667"/>
              <w:spacing w:after="0"/>
              <w:rPr>
                <w:sz w:val="20"/>
                <w:szCs w:val="20"/>
                <w:color w:val="auto"/>
              </w:rPr>
            </w:pPr>
            <w:r>
              <w:rPr>
                <w:rFonts w:ascii="Times New Roman" w:cs="Times New Roman" w:eastAsia="Times New Roman" w:hAnsi="Times New Roman"/>
                <w:sz w:val="16"/>
                <w:szCs w:val="16"/>
                <w:color w:val="auto"/>
              </w:rPr>
              <w:t>(State of incorporation)</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40" w:type="dxa"/>
            <w:vAlign w:val="bottom"/>
            <w:gridSpan w:val="2"/>
          </w:tcPr>
          <w:p>
            <w:pPr>
              <w:jc w:val="center"/>
              <w:ind w:right="911"/>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24"/>
        </w:trPr>
        <w:tc>
          <w:tcPr>
            <w:tcW w:w="382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130 Merchant Street</w:t>
            </w:r>
          </w:p>
        </w:tc>
        <w:tc>
          <w:tcPr>
            <w:tcW w:w="1740" w:type="dxa"/>
            <w:vAlign w:val="bottom"/>
          </w:tcPr>
          <w:p>
            <w:pPr>
              <w:jc w:val="center"/>
              <w:ind w:right="701"/>
              <w:spacing w:after="0"/>
              <w:rPr>
                <w:sz w:val="20"/>
                <w:szCs w:val="20"/>
                <w:color w:val="auto"/>
              </w:rPr>
            </w:pPr>
            <w:r>
              <w:rPr>
                <w:rFonts w:ascii="Times New Roman" w:cs="Times New Roman" w:eastAsia="Times New Roman" w:hAnsi="Times New Roman"/>
                <w:sz w:val="16"/>
                <w:szCs w:val="16"/>
                <w:b w:val="1"/>
                <w:bCs w:val="1"/>
                <w:color w:val="auto"/>
                <w:w w:val="99"/>
              </w:rPr>
              <w:t>Honolulu</w:t>
            </w:r>
          </w:p>
        </w:tc>
        <w:tc>
          <w:tcPr>
            <w:tcW w:w="220" w:type="dxa"/>
            <w:vAlign w:val="bottom"/>
          </w:tcPr>
          <w:p>
            <w:pPr>
              <w:spacing w:after="0"/>
              <w:rPr>
                <w:sz w:val="24"/>
                <w:szCs w:val="24"/>
                <w:color w:val="auto"/>
              </w:rPr>
            </w:pPr>
          </w:p>
        </w:tc>
        <w:tc>
          <w:tcPr>
            <w:tcW w:w="1500" w:type="dxa"/>
            <w:vAlign w:val="bottom"/>
            <w:gridSpan w:val="2"/>
          </w:tcPr>
          <w:p>
            <w:pPr>
              <w:jc w:val="center"/>
              <w:ind w:left="88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3340" w:type="dxa"/>
            <w:vAlign w:val="bottom"/>
            <w:gridSpan w:val="2"/>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96813</w:t>
            </w:r>
          </w:p>
        </w:tc>
      </w:tr>
      <w:tr>
        <w:trPr>
          <w:trHeight w:val="230"/>
        </w:trPr>
        <w:tc>
          <w:tcPr>
            <w:tcW w:w="38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xml:space="preserve">(Address of principal executive </w:t>
            </w:r>
            <w:r>
              <w:rPr>
                <w:rFonts w:ascii="Times New Roman" w:cs="Times New Roman" w:eastAsia="Times New Roman" w:hAnsi="Times New Roman"/>
                <w:sz w:val="16"/>
                <w:szCs w:val="16"/>
                <w:color w:val="auto"/>
              </w:rPr>
              <w:t>offices)</w:t>
            </w:r>
          </w:p>
        </w:tc>
        <w:tc>
          <w:tcPr>
            <w:tcW w:w="1740" w:type="dxa"/>
            <w:vAlign w:val="bottom"/>
          </w:tcPr>
          <w:p>
            <w:pPr>
              <w:jc w:val="center"/>
              <w:ind w:right="701"/>
              <w:spacing w:after="0"/>
              <w:rPr>
                <w:sz w:val="20"/>
                <w:szCs w:val="20"/>
                <w:color w:val="auto"/>
              </w:rPr>
            </w:pPr>
            <w:r>
              <w:rPr>
                <w:rFonts w:ascii="Times New Roman" w:cs="Times New Roman" w:eastAsia="Times New Roman" w:hAnsi="Times New Roman"/>
                <w:sz w:val="14"/>
                <w:szCs w:val="14"/>
                <w:color w:val="auto"/>
              </w:rPr>
              <w:t>(City)</w:t>
            </w:r>
          </w:p>
        </w:tc>
        <w:tc>
          <w:tcPr>
            <w:tcW w:w="220" w:type="dxa"/>
            <w:vAlign w:val="bottom"/>
          </w:tcPr>
          <w:p>
            <w:pPr>
              <w:spacing w:after="0"/>
              <w:rPr>
                <w:sz w:val="19"/>
                <w:szCs w:val="19"/>
                <w:color w:val="auto"/>
              </w:rPr>
            </w:pPr>
          </w:p>
        </w:tc>
        <w:tc>
          <w:tcPr>
            <w:tcW w:w="1500" w:type="dxa"/>
            <w:vAlign w:val="bottom"/>
            <w:gridSpan w:val="2"/>
          </w:tcPr>
          <w:p>
            <w:pPr>
              <w:jc w:val="center"/>
              <w:ind w:left="889"/>
              <w:spacing w:after="0"/>
              <w:rPr>
                <w:sz w:val="20"/>
                <w:szCs w:val="20"/>
                <w:color w:val="auto"/>
              </w:rPr>
            </w:pPr>
            <w:r>
              <w:rPr>
                <w:rFonts w:ascii="Times New Roman" w:cs="Times New Roman" w:eastAsia="Times New Roman" w:hAnsi="Times New Roman"/>
                <w:sz w:val="14"/>
                <w:szCs w:val="14"/>
                <w:color w:val="auto"/>
              </w:rPr>
              <w:t>(State)</w:t>
            </w:r>
          </w:p>
        </w:tc>
        <w:tc>
          <w:tcPr>
            <w:tcW w:w="460" w:type="dxa"/>
            <w:vAlign w:val="bottom"/>
          </w:tcPr>
          <w:p>
            <w:pPr>
              <w:spacing w:after="0"/>
              <w:rPr>
                <w:sz w:val="19"/>
                <w:szCs w:val="19"/>
                <w:color w:val="auto"/>
              </w:rPr>
            </w:pPr>
          </w:p>
        </w:tc>
        <w:tc>
          <w:tcPr>
            <w:tcW w:w="2880" w:type="dxa"/>
            <w:vAlign w:val="bottom"/>
          </w:tcPr>
          <w:p>
            <w:pPr>
              <w:jc w:val="center"/>
              <w:ind w:left="1251"/>
              <w:spacing w:after="0"/>
              <w:rPr>
                <w:sz w:val="20"/>
                <w:szCs w:val="20"/>
                <w:color w:val="auto"/>
              </w:rPr>
            </w:pPr>
            <w:r>
              <w:rPr>
                <w:rFonts w:ascii="Times New Roman" w:cs="Times New Roman" w:eastAsia="Times New Roman" w:hAnsi="Times New Roman"/>
                <w:sz w:val="14"/>
                <w:szCs w:val="14"/>
                <w:color w:val="auto"/>
              </w:rPr>
              <w:t>(Zip Code)</w:t>
            </w:r>
          </w:p>
        </w:tc>
      </w:tr>
      <w:tr>
        <w:trPr>
          <w:trHeight w:val="316"/>
        </w:trPr>
        <w:tc>
          <w:tcPr>
            <w:tcW w:w="2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20" w:type="dxa"/>
            <w:vAlign w:val="bottom"/>
            <w:gridSpan w:val="3"/>
          </w:tcPr>
          <w:p>
            <w:pPr>
              <w:jc w:val="right"/>
              <w:ind w:right="609"/>
              <w:spacing w:after="0"/>
              <w:rPr>
                <w:sz w:val="20"/>
                <w:szCs w:val="20"/>
                <w:color w:val="auto"/>
              </w:rPr>
            </w:pPr>
            <w:r>
              <w:rPr>
                <w:rFonts w:ascii="Times New Roman" w:cs="Times New Roman" w:eastAsia="Times New Roman" w:hAnsi="Times New Roman"/>
                <w:sz w:val="16"/>
                <w:szCs w:val="16"/>
                <w:b w:val="1"/>
                <w:bCs w:val="1"/>
                <w:color w:val="auto"/>
              </w:rPr>
              <w:t>1-888-643-3888</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gridSpan w:val="6"/>
          </w:tcPr>
          <w:p>
            <w:pPr>
              <w:jc w:val="center"/>
              <w:ind w:right="313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7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49"/>
        </w:trPr>
        <w:tc>
          <w:tcPr>
            <w:tcW w:w="216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 of each class</w:t>
            </w:r>
          </w:p>
        </w:tc>
        <w:tc>
          <w:tcPr>
            <w:tcW w:w="1740" w:type="dxa"/>
            <w:vAlign w:val="bottom"/>
          </w:tcPr>
          <w:p>
            <w:pPr>
              <w:spacing w:after="0"/>
              <w:rPr>
                <w:sz w:val="21"/>
                <w:szCs w:val="21"/>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Trading Symbol</w:t>
            </w:r>
          </w:p>
        </w:tc>
        <w:tc>
          <w:tcPr>
            <w:tcW w:w="334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2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23"/>
        </w:trPr>
        <w:tc>
          <w:tcPr>
            <w:tcW w:w="38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 par value $0.01 per share</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BOH</w:t>
            </w:r>
          </w:p>
        </w:tc>
        <w:tc>
          <w:tcPr>
            <w:tcW w:w="46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213"/>
        </w:trPr>
        <w:tc>
          <w:tcPr>
            <w:tcW w:w="55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Depository Shares, Each Representing 1/40</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3"/>
                <w:szCs w:val="13"/>
                <w:b w:val="1"/>
                <w:bCs w:val="1"/>
                <w:color w:val="auto"/>
              </w:rPr>
              <w:t xml:space="preserve"> Interest in a Share of 4.375% Fixed Rate Non-</w:t>
            </w:r>
          </w:p>
        </w:tc>
        <w:tc>
          <w:tcPr>
            <w:tcW w:w="22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BOH.PRA</w:t>
            </w:r>
          </w:p>
        </w:tc>
        <w:tc>
          <w:tcPr>
            <w:tcW w:w="46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40"/>
        </w:trPr>
        <w:tc>
          <w:tcPr>
            <w:tcW w:w="382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b w:val="1"/>
                <w:bCs w:val="1"/>
                <w:color w:val="auto"/>
              </w:rPr>
              <w:t>Cumulative Perpetual Preferred Stock, Series A</w:t>
            </w: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75"/>
        </w:trPr>
        <w:tc>
          <w:tcPr>
            <w:tcW w:w="5560" w:type="dxa"/>
            <w:vAlign w:val="bottom"/>
            <w:gridSpan w:val="4"/>
          </w:tcPr>
          <w:p>
            <w:pPr>
              <w:ind w:left="60"/>
              <w:spacing w:after="0" w:line="175" w:lineRule="exact"/>
              <w:rPr>
                <w:sz w:val="20"/>
                <w:szCs w:val="20"/>
                <w:color w:val="auto"/>
              </w:rPr>
            </w:pPr>
            <w:r>
              <w:rPr>
                <w:rFonts w:ascii="Times New Roman" w:cs="Times New Roman" w:eastAsia="Times New Roman" w:hAnsi="Times New Roman"/>
                <w:sz w:val="13"/>
                <w:szCs w:val="13"/>
                <w:b w:val="1"/>
                <w:bCs w:val="1"/>
                <w:color w:val="auto"/>
              </w:rPr>
              <w:t>Depository Shares, Each Representing 1/40</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3"/>
                <w:szCs w:val="13"/>
                <w:b w:val="1"/>
                <w:bCs w:val="1"/>
                <w:color w:val="auto"/>
              </w:rPr>
              <w:t xml:space="preserve"> Interest in a Share of 8.000% Fixed Rate Non-</w:t>
            </w:r>
          </w:p>
        </w:tc>
        <w:tc>
          <w:tcPr>
            <w:tcW w:w="22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BOH.PRB</w:t>
            </w:r>
          </w:p>
        </w:tc>
        <w:tc>
          <w:tcPr>
            <w:tcW w:w="46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bl>
    <w:p>
      <w:pPr>
        <w:ind w:left="60"/>
        <w:spacing w:after="0"/>
        <w:rPr>
          <w:sz w:val="20"/>
          <w:szCs w:val="20"/>
          <w:color w:val="auto"/>
        </w:rPr>
      </w:pPr>
      <w:r>
        <w:rPr>
          <w:rFonts w:ascii="Times New Roman" w:cs="Times New Roman" w:eastAsia="Times New Roman" w:hAnsi="Times New Roman"/>
          <w:sz w:val="13"/>
          <w:szCs w:val="13"/>
          <w:b w:val="1"/>
          <w:bCs w:val="1"/>
          <w:color w:val="auto"/>
        </w:rPr>
        <w:t>Cumulative Perpetual Preferred Stock, Series B</w:t>
      </w:r>
    </w:p>
    <w:p>
      <w:pPr>
        <w:spacing w:after="0" w:line="65"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400"/>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82" w:lineRule="exact"/>
        <w:rPr>
          <w:sz w:val="24"/>
          <w:szCs w:val="24"/>
          <w:color w:val="auto"/>
        </w:rPr>
      </w:pPr>
    </w:p>
    <w:p>
      <w:pPr>
        <w:ind w:left="360"/>
        <w:spacing w:after="0" w:line="184" w:lineRule="exact"/>
        <w:tabs>
          <w:tab w:leader="none" w:pos="5500" w:val="left"/>
          <w:tab w:leader="none" w:pos="60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88" w:lineRule="exact"/>
        <w:rPr>
          <w:sz w:val="24"/>
          <w:szCs w:val="24"/>
          <w:color w:val="auto"/>
        </w:rPr>
      </w:pPr>
    </w:p>
    <w:p>
      <w:pPr>
        <w:ind w:left="360"/>
        <w:spacing w:after="0" w:line="184" w:lineRule="exact"/>
        <w:tabs>
          <w:tab w:leader="none" w:pos="5500" w:val="left"/>
          <w:tab w:leader="none" w:pos="606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59"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56" w:lineRule="exact"/>
        <w:rPr>
          <w:sz w:val="24"/>
          <w:szCs w:val="24"/>
          <w:color w:val="auto"/>
        </w:rPr>
      </w:pPr>
    </w:p>
    <w:p>
      <w:pPr>
        <w:sectPr>
          <w:pgSz w:w="11900" w:h="16838" w:orient="portrait"/>
          <w:cols w:equalWidth="0" w:num="2">
            <w:col w:w="10680" w:space="160"/>
            <w:col w:w="400"/>
          </w:cols>
          <w:pgMar w:left="320" w:top="225" w:right="339" w:bottom="1440" w:gutter="0" w:footer="0" w:header="0"/>
          <w:type w:val="continuous"/>
        </w:sectPr>
      </w:pP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21, 2025, there were 39,734,801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Bank of Hawaii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64"/>
        </w:trPr>
        <w:tc>
          <w:tcPr>
            <w:tcW w:w="96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40" w:type="dxa"/>
            <w:vAlign w:val="bottom"/>
          </w:tcPr>
          <w:p>
            <w:pPr>
              <w:spacing w:after="0"/>
              <w:rPr>
                <w:sz w:val="24"/>
                <w:szCs w:val="24"/>
                <w:color w:val="auto"/>
              </w:rPr>
            </w:pPr>
          </w:p>
        </w:tc>
      </w:tr>
      <w:tr>
        <w:trPr>
          <w:trHeight w:val="3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64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Condition – March 31, 2025 and December 31, 2024</w:t>
            </w:r>
          </w:p>
        </w:tc>
        <w:tc>
          <w:tcPr>
            <w:tcW w:w="20" w:type="dxa"/>
            <w:vAlign w:val="bottom"/>
            <w:tcBorders>
              <w:bottom w:val="single" w:sz="8" w:color="0000EE"/>
            </w:tcBorders>
          </w:tcPr>
          <w:p>
            <w:pPr>
              <w:spacing w:after="0"/>
              <w:rPr>
                <w:sz w:val="24"/>
                <w:szCs w:val="24"/>
                <w:color w:val="auto"/>
              </w:rPr>
            </w:pPr>
          </w:p>
        </w:tc>
        <w:tc>
          <w:tcPr>
            <w:tcW w:w="2600" w:type="dxa"/>
            <w:vAlign w:val="bottom"/>
            <w:gridSpan w:val="6"/>
          </w:tcPr>
          <w:p>
            <w:pPr>
              <w:spacing w:after="0"/>
              <w:rPr>
                <w:sz w:val="24"/>
                <w:szCs w:val="24"/>
                <w:color w:val="auto"/>
              </w:rPr>
            </w:pPr>
          </w:p>
        </w:tc>
        <w:tc>
          <w:tcPr>
            <w:tcW w:w="16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88"/>
              </w:rPr>
              <w:t>2</w:t>
            </w:r>
          </w:p>
        </w:tc>
      </w:tr>
      <w:tr>
        <w:trPr>
          <w:trHeight w:val="34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 Three months ended March 31, 2025 and 2024</w:t>
            </w:r>
          </w:p>
        </w:tc>
        <w:tc>
          <w:tcPr>
            <w:tcW w:w="2340" w:type="dxa"/>
            <w:vAlign w:val="bottom"/>
            <w:gridSpan w:val="5"/>
          </w:tcPr>
          <w:p>
            <w:pPr>
              <w:spacing w:after="0"/>
              <w:rPr>
                <w:sz w:val="24"/>
                <w:szCs w:val="24"/>
                <w:color w:val="auto"/>
              </w:rPr>
            </w:pPr>
          </w:p>
        </w:tc>
        <w:tc>
          <w:tcPr>
            <w:tcW w:w="16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88"/>
              </w:rPr>
              <w:t>3</w:t>
            </w:r>
          </w:p>
        </w:tc>
      </w:tr>
      <w:tr>
        <w:trPr>
          <w:trHeight w:val="34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 Three months ended March 31, 2025 and 2024</w:t>
            </w:r>
          </w:p>
        </w:tc>
        <w:tc>
          <w:tcPr>
            <w:tcW w:w="16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88"/>
              </w:rPr>
              <w:t>4</w:t>
            </w:r>
          </w:p>
        </w:tc>
      </w:tr>
      <w:tr>
        <w:trPr>
          <w:trHeight w:val="34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 Three months ended March 31, 2025 and 2024</w:t>
            </w:r>
          </w:p>
        </w:tc>
        <w:tc>
          <w:tcPr>
            <w:tcW w:w="18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88"/>
              </w:rPr>
              <w:t>5</w:t>
            </w:r>
          </w:p>
        </w:tc>
      </w:tr>
      <w:tr>
        <w:trPr>
          <w:trHeight w:val="34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Three months ended March 31, 2025 and 2024</w:t>
            </w:r>
          </w:p>
        </w:tc>
        <w:tc>
          <w:tcPr>
            <w:tcW w:w="2040" w:type="dxa"/>
            <w:vAlign w:val="bottom"/>
            <w:gridSpan w:val="4"/>
          </w:tcPr>
          <w:p>
            <w:pPr>
              <w:spacing w:after="0"/>
              <w:rPr>
                <w:sz w:val="24"/>
                <w:szCs w:val="24"/>
                <w:color w:val="auto"/>
              </w:rPr>
            </w:pPr>
          </w:p>
        </w:tc>
        <w:tc>
          <w:tcPr>
            <w:tcW w:w="16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88"/>
              </w:rPr>
              <w:t>6</w:t>
            </w:r>
          </w:p>
        </w:tc>
      </w:tr>
      <w:tr>
        <w:trPr>
          <w:trHeight w:val="34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0" w:type="dxa"/>
            <w:vAlign w:val="bottom"/>
            <w:tcBorders>
              <w:bottom w:val="single" w:sz="8" w:color="0000EE"/>
            </w:tcBorders>
          </w:tcPr>
          <w:p>
            <w:pPr>
              <w:spacing w:after="0"/>
              <w:rPr>
                <w:sz w:val="24"/>
                <w:szCs w:val="24"/>
                <w:color w:val="auto"/>
              </w:rPr>
            </w:pPr>
          </w:p>
        </w:tc>
        <w:tc>
          <w:tcPr>
            <w:tcW w:w="5260" w:type="dxa"/>
            <w:vAlign w:val="bottom"/>
            <w:gridSpan w:val="10"/>
          </w:tcPr>
          <w:p>
            <w:pPr>
              <w:spacing w:after="0"/>
              <w:rPr>
                <w:sz w:val="24"/>
                <w:szCs w:val="24"/>
                <w:color w:val="auto"/>
              </w:rPr>
            </w:pPr>
          </w:p>
        </w:tc>
        <w:tc>
          <w:tcPr>
            <w:tcW w:w="16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88"/>
              </w:rPr>
              <w:t>7</w:t>
            </w: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33</w:t>
            </w: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5"/>
          </w:tcPr>
          <w:p>
            <w:pPr>
              <w:spacing w:after="0"/>
              <w:rPr>
                <w:sz w:val="24"/>
                <w:szCs w:val="24"/>
                <w:color w:val="auto"/>
              </w:rPr>
            </w:pPr>
          </w:p>
        </w:tc>
        <w:tc>
          <w:tcPr>
            <w:tcW w:w="2000" w:type="dxa"/>
            <w:vAlign w:val="bottom"/>
            <w:gridSpan w:val="3"/>
          </w:tcPr>
          <w:p>
            <w:pPr>
              <w:spacing w:after="0"/>
              <w:rPr>
                <w:sz w:val="24"/>
                <w:szCs w:val="24"/>
                <w:color w:val="auto"/>
              </w:rPr>
            </w:pP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51</w:t>
            </w: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680" w:type="dxa"/>
            <w:vAlign w:val="bottom"/>
            <w:gridSpan w:val="13"/>
          </w:tcPr>
          <w:p>
            <w:pPr>
              <w:spacing w:after="0"/>
              <w:rPr>
                <w:sz w:val="24"/>
                <w:szCs w:val="24"/>
                <w:color w:val="auto"/>
              </w:rPr>
            </w:pP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51</w:t>
            </w:r>
          </w:p>
        </w:tc>
      </w:tr>
      <w:tr>
        <w:trPr>
          <w:trHeight w:val="345"/>
        </w:trPr>
        <w:tc>
          <w:tcPr>
            <w:tcW w:w="96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120" w:type="dxa"/>
            <w:vAlign w:val="bottom"/>
            <w:gridSpan w:val="14"/>
          </w:tcPr>
          <w:p>
            <w:pPr>
              <w:spacing w:after="0"/>
              <w:rPr>
                <w:sz w:val="24"/>
                <w:szCs w:val="24"/>
                <w:color w:val="auto"/>
              </w:rPr>
            </w:pP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52</w:t>
            </w: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52</w:t>
            </w: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120" w:type="dxa"/>
            <w:vAlign w:val="bottom"/>
            <w:gridSpan w:val="9"/>
          </w:tcPr>
          <w:p>
            <w:pPr>
              <w:spacing w:after="0"/>
              <w:rPr>
                <w:sz w:val="24"/>
                <w:szCs w:val="24"/>
                <w:color w:val="auto"/>
              </w:rPr>
            </w:pP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53</w:t>
            </w:r>
          </w:p>
        </w:tc>
      </w:tr>
      <w:tr>
        <w:trPr>
          <w:trHeight w:val="3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6140" w:type="dxa"/>
            <w:vAlign w:val="bottom"/>
            <w:gridSpan w:val="12"/>
          </w:tcPr>
          <w:p>
            <w:pPr>
              <w:spacing w:after="0"/>
              <w:rPr>
                <w:sz w:val="24"/>
                <w:szCs w:val="24"/>
                <w:color w:val="auto"/>
              </w:rPr>
            </w:pP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53</w:t>
            </w: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40" w:type="dxa"/>
            <w:vAlign w:val="bottom"/>
            <w:gridSpan w:val="15"/>
          </w:tcPr>
          <w:p>
            <w:pPr>
              <w:spacing w:after="0"/>
              <w:rPr>
                <w:sz w:val="24"/>
                <w:szCs w:val="24"/>
                <w:color w:val="auto"/>
              </w:rPr>
            </w:pP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53</w:t>
            </w: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54</w:t>
            </w:r>
          </w:p>
        </w:tc>
      </w:tr>
      <w:tr>
        <w:trPr>
          <w:trHeight w:val="3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55</w:t>
            </w:r>
          </w:p>
        </w:tc>
      </w:tr>
      <w:tr>
        <w:trPr>
          <w:trHeight w:val="628"/>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840" w:type="dxa"/>
            <w:vAlign w:val="bottom"/>
            <w:gridSpan w:val="12"/>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Condition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 except per share amounts)</w:t>
            </w:r>
          </w:p>
        </w:tc>
        <w:tc>
          <w:tcPr>
            <w:tcW w:w="9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935,200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763,571</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2,887,019</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2,689,528</w:t>
            </w:r>
          </w:p>
        </w:tc>
      </w:tr>
      <w:tr>
        <w:trPr>
          <w:trHeight w:val="203"/>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Held-to-Maturity (Fair Value of $3,823,655 and $3,820,882)</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4,535,108</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4,618,543</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2,640</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2,150</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and Leases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14,115,323</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14,075,980</w:t>
            </w:r>
          </w:p>
        </w:tc>
      </w:tr>
      <w:tr>
        <w:trPr>
          <w:trHeight w:val="203"/>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(147,707)</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(148,528)</w:t>
            </w:r>
          </w:p>
        </w:tc>
      </w:tr>
      <w:tr>
        <w:trPr>
          <w:trHeight w:val="196"/>
        </w:trPr>
        <w:tc>
          <w:tcPr>
            <w:tcW w:w="69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Loans and Leases</w:t>
            </w:r>
          </w:p>
        </w:tc>
        <w:tc>
          <w:tcPr>
            <w:tcW w:w="9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13,967,616</w:t>
            </w:r>
          </w:p>
        </w:tc>
        <w:tc>
          <w:tcPr>
            <w:tcW w:w="2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13,927,452</w:t>
            </w:r>
          </w:p>
        </w:tc>
      </w:tr>
      <w:tr>
        <w:trPr>
          <w:trHeight w:val="19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187,858</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184,480</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83,577</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80,165</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67,706</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66,367</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18,770</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19,199</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31,517</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31,517</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Bank-Owned Life Insurance</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481,260</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481,184</w:t>
            </w:r>
          </w:p>
        </w:tc>
      </w:tr>
      <w:tr>
        <w:trPr>
          <w:trHeight w:val="20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686,785</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736,958</w:t>
            </w:r>
          </w:p>
        </w:tc>
      </w:tr>
      <w:tr>
        <w:trPr>
          <w:trHeight w:val="236"/>
        </w:trPr>
        <w:tc>
          <w:tcPr>
            <w:tcW w:w="6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23,885,056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23,601,114</w:t>
            </w:r>
          </w:p>
        </w:tc>
      </w:tr>
      <w:tr>
        <w:trPr>
          <w:trHeight w:val="18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Deposits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5,493,232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5,423,562</w:t>
            </w:r>
          </w:p>
        </w:tc>
      </w:tr>
      <w:tr>
        <w:trPr>
          <w:trHeight w:val="203"/>
        </w:trPr>
        <w:tc>
          <w:tcPr>
            <w:tcW w:w="6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Interest-Bearing Demand</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3,775,948</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3,784,984</w:t>
            </w:r>
          </w:p>
        </w:tc>
      </w:tr>
      <w:tr>
        <w:trPr>
          <w:trHeight w:val="20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8,700,143</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8,364,916</w:t>
            </w:r>
          </w:p>
        </w:tc>
      </w:tr>
      <w:tr>
        <w:trPr>
          <w:trHeight w:val="203"/>
        </w:trPr>
        <w:tc>
          <w:tcPr>
            <w:tcW w:w="69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Time</w:t>
            </w:r>
          </w:p>
        </w:tc>
        <w:tc>
          <w:tcPr>
            <w:tcW w:w="9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3,038,894</w:t>
            </w:r>
          </w:p>
        </w:tc>
        <w:tc>
          <w:tcPr>
            <w:tcW w:w="2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3,059,575</w:t>
            </w:r>
          </w:p>
        </w:tc>
      </w:tr>
      <w:tr>
        <w:trPr>
          <w:trHeight w:val="196"/>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21,008,217</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20,633,037</w:t>
            </w: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Other Debt</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558,250</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558,274</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92,267</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88,794</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Retirement Benefits Payable</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23,640</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23,760</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23,261</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34,799</w:t>
            </w:r>
          </w:p>
        </w:tc>
      </w:tr>
      <w:tr>
        <w:trPr>
          <w:trHeight w:val="20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424,486</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494,676</w:t>
            </w:r>
          </w:p>
        </w:tc>
      </w:tr>
      <w:tr>
        <w:trPr>
          <w:trHeight w:val="196"/>
        </w:trPr>
        <w:tc>
          <w:tcPr>
            <w:tcW w:w="6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22,180,121</w:t>
            </w:r>
          </w:p>
        </w:tc>
        <w:tc>
          <w:tcPr>
            <w:tcW w:w="2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21,933,340</w:t>
            </w:r>
          </w:p>
        </w:tc>
      </w:tr>
      <w:tr>
        <w:trPr>
          <w:trHeight w:val="196"/>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(Series A, $.01 par value; authorized 180,000 shares issued and outstanding)</w:t>
            </w:r>
          </w:p>
        </w:tc>
        <w:tc>
          <w:tcPr>
            <w:tcW w:w="9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180,000</w:t>
            </w:r>
          </w:p>
        </w:tc>
        <w:tc>
          <w:tcPr>
            <w:tcW w:w="22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180,000</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 (Series B, $.01 par value; authorized 165,000 shares issued and outstanding)</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165,000</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165,000</w:t>
            </w:r>
          </w:p>
        </w:tc>
      </w:tr>
      <w:tr>
        <w:trPr>
          <w:trHeight w:val="189"/>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($.01 par value; authorized 500,000,000 shares; issued / outstanding:</w:t>
            </w:r>
          </w:p>
        </w:tc>
        <w:tc>
          <w:tcPr>
            <w:tcW w:w="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2025 - 58,765,864 / 39,734,304; and December 31, 2024 - 58,765,907 / 39,762,255)</w:t>
            </w:r>
          </w:p>
        </w:tc>
        <w:tc>
          <w:tcPr>
            <w:tcW w:w="94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586</w:t>
            </w:r>
          </w:p>
        </w:tc>
        <w:tc>
          <w:tcPr>
            <w:tcW w:w="2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r>
      <w:tr>
        <w:trPr>
          <w:trHeight w:val="205"/>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Surplus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651,374</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647,403</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4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(318,397)</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(343,389)</w:t>
            </w: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9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2,144,326</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2,133,838</w:t>
            </w:r>
          </w:p>
        </w:tc>
      </w:tr>
      <w:tr>
        <w:trPr>
          <w:trHeight w:val="189"/>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at Cost (Shares: March 31, 2025 - 19,031,560</w:t>
            </w:r>
          </w:p>
        </w:tc>
        <w:tc>
          <w:tcPr>
            <w:tcW w:w="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and December 31, 2024 - 19,003,609)</w:t>
            </w:r>
          </w:p>
        </w:tc>
        <w:tc>
          <w:tcPr>
            <w:tcW w:w="9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(1,117,954)</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(1,115,663)</w:t>
            </w:r>
          </w:p>
        </w:tc>
      </w:tr>
      <w:tr>
        <w:trPr>
          <w:trHeight w:val="199"/>
        </w:trPr>
        <w:tc>
          <w:tcPr>
            <w:tcW w:w="6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9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1,704,935</w:t>
            </w:r>
          </w:p>
        </w:tc>
        <w:tc>
          <w:tcPr>
            <w:tcW w:w="2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1,667,774</w:t>
            </w:r>
          </w:p>
        </w:tc>
      </w:tr>
      <w:tr>
        <w:trPr>
          <w:trHeight w:val="196"/>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23,885,056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23,601,114</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 except per share amounts)</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163,082</w:t>
            </w:r>
          </w:p>
        </w:tc>
        <w:tc>
          <w:tcPr>
            <w:tcW w:w="5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159,336</w:t>
            </w:r>
          </w:p>
        </w:tc>
      </w:tr>
      <w:tr>
        <w:trPr>
          <w:trHeight w:val="203"/>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on Investment Securities</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Available-for-Sale</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24,368</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21,757</w:t>
            </w:r>
          </w:p>
        </w:tc>
      </w:tr>
      <w:tr>
        <w:trPr>
          <w:trHeight w:val="203"/>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Held-to-Maturity</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20,291</w:t>
            </w: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22,136</w:t>
            </w: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5,460</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6,157</w:t>
            </w:r>
          </w:p>
        </w:tc>
      </w:tr>
      <w:tr>
        <w:trPr>
          <w:trHeight w:val="203"/>
        </w:trPr>
        <w:tc>
          <w:tcPr>
            <w:tcW w:w="7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1,085</w:t>
            </w:r>
          </w:p>
        </w:tc>
        <w:tc>
          <w:tcPr>
            <w:tcW w:w="5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970</w:t>
            </w:r>
          </w:p>
        </w:tc>
      </w:tr>
      <w:tr>
        <w:trPr>
          <w:trHeight w:val="196"/>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Interest Income</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214,286</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210,356</w:t>
            </w:r>
          </w:p>
        </w:tc>
      </w:tr>
      <w:tr>
        <w:trPr>
          <w:trHeight w:val="19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81,692</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89,056</w:t>
            </w:r>
          </w:p>
        </w:tc>
      </w:tr>
      <w:tr>
        <w:trPr>
          <w:trHeight w:val="203"/>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744</w:t>
            </w: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1,443</w:t>
            </w:r>
          </w:p>
        </w:tc>
      </w:tr>
      <w:tr>
        <w:trPr>
          <w:trHeight w:val="203"/>
        </w:trPr>
        <w:tc>
          <w:tcPr>
            <w:tcW w:w="7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Debt</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6,043</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5,919</w:t>
            </w:r>
          </w:p>
        </w:tc>
      </w:tr>
      <w:tr>
        <w:trPr>
          <w:trHeight w:val="196"/>
        </w:trPr>
        <w:tc>
          <w:tcPr>
            <w:tcW w:w="7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3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88,479</w:t>
            </w:r>
          </w:p>
        </w:tc>
        <w:tc>
          <w:tcPr>
            <w:tcW w:w="5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96,418</w:t>
            </w:r>
          </w:p>
        </w:tc>
      </w:tr>
      <w:tr>
        <w:trPr>
          <w:trHeight w:val="196"/>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125,807</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113,938</w:t>
            </w:r>
          </w:p>
        </w:tc>
      </w:tr>
      <w:tr>
        <w:trPr>
          <w:trHeight w:val="203"/>
        </w:trPr>
        <w:tc>
          <w:tcPr>
            <w:tcW w:w="7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3,250</w:t>
            </w:r>
          </w:p>
        </w:tc>
        <w:tc>
          <w:tcPr>
            <w:tcW w:w="5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196"/>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122,557</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111,938</w:t>
            </w:r>
          </w:p>
        </w:tc>
      </w:tr>
      <w:tr>
        <w:trPr>
          <w:trHeight w:val="19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14,437</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14,123</w:t>
            </w:r>
          </w:p>
        </w:tc>
      </w:tr>
      <w:tr>
        <w:trPr>
          <w:trHeight w:val="203"/>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11,741</w:t>
            </w: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11,189</w:t>
            </w: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8,259</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7,947</w:t>
            </w:r>
          </w:p>
        </w:tc>
      </w:tr>
      <w:tr>
        <w:trPr>
          <w:trHeight w:val="203"/>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Bank-Owned Life Insurance</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3,611</w:t>
            </w: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3,356</w:t>
            </w: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Annuity and Insurance</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1,555</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1,046</w:t>
            </w:r>
          </w:p>
        </w:tc>
      </w:tr>
      <w:tr>
        <w:trPr>
          <w:trHeight w:val="203"/>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Mortgage Banking</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988</w:t>
            </w: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951</w:t>
            </w: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 Losses, Net</w:t>
            </w:r>
          </w:p>
        </w:tc>
        <w:tc>
          <w:tcPr>
            <w:tcW w:w="380" w:type="dxa"/>
            <w:vAlign w:val="bottom"/>
          </w:tcPr>
          <w:p>
            <w:pPr>
              <w:spacing w:after="0"/>
              <w:rPr>
                <w:sz w:val="17"/>
                <w:szCs w:val="17"/>
                <w:color w:val="auto"/>
              </w:rPr>
            </w:pP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(1,607)</w:t>
            </w:r>
          </w:p>
        </w:tc>
        <w:tc>
          <w:tcPr>
            <w:tcW w:w="5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03"/>
        </w:trPr>
        <w:tc>
          <w:tcPr>
            <w:tcW w:w="7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5,074</w:t>
            </w:r>
          </w:p>
        </w:tc>
        <w:tc>
          <w:tcPr>
            <w:tcW w:w="5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5,170</w:t>
            </w:r>
          </w:p>
        </w:tc>
      </w:tr>
      <w:tr>
        <w:trPr>
          <w:trHeight w:val="196"/>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44,058</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42,285</w:t>
            </w:r>
          </w:p>
        </w:tc>
      </w:tr>
      <w:tr>
        <w:trPr>
          <w:trHeight w:val="19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Benefits</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62,884</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58,215</w:t>
            </w:r>
          </w:p>
        </w:tc>
      </w:tr>
      <w:tr>
        <w:trPr>
          <w:trHeight w:val="202"/>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Occupancy</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10,559</w:t>
            </w: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10,456</w:t>
            </w: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Equipment</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10,192</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10,103</w:t>
            </w:r>
          </w:p>
        </w:tc>
      </w:tr>
      <w:tr>
        <w:trPr>
          <w:trHeight w:val="203"/>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Data Processing</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5,267</w:t>
            </w: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4,770</w:t>
            </w:r>
          </w:p>
        </w:tc>
      </w:tr>
      <w:tr>
        <w:trPr>
          <w:trHeight w:val="20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4,264</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4,677</w:t>
            </w:r>
          </w:p>
        </w:tc>
      </w:tr>
      <w:tr>
        <w:trPr>
          <w:trHeight w:val="203"/>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FDIC Insurance</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1,642</w:t>
            </w:r>
          </w:p>
        </w:tc>
        <w:tc>
          <w:tcPr>
            <w:tcW w:w="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3,614</w:t>
            </w:r>
          </w:p>
        </w:tc>
      </w:tr>
      <w:tr>
        <w:trPr>
          <w:trHeight w:val="203"/>
        </w:trPr>
        <w:tc>
          <w:tcPr>
            <w:tcW w:w="7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15,651</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14,024</w:t>
            </w:r>
          </w:p>
        </w:tc>
      </w:tr>
      <w:tr>
        <w:trPr>
          <w:trHeight w:val="196"/>
        </w:trPr>
        <w:tc>
          <w:tcPr>
            <w:tcW w:w="7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3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110,459</w:t>
            </w:r>
          </w:p>
        </w:tc>
        <w:tc>
          <w:tcPr>
            <w:tcW w:w="5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105,859</w:t>
            </w:r>
          </w:p>
        </w:tc>
      </w:tr>
      <w:tr>
        <w:trPr>
          <w:trHeight w:val="196"/>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56,156</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48,364</w:t>
            </w:r>
          </w:p>
        </w:tc>
      </w:tr>
      <w:tr>
        <w:trPr>
          <w:trHeight w:val="203"/>
        </w:trPr>
        <w:tc>
          <w:tcPr>
            <w:tcW w:w="7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12,171</w:t>
            </w:r>
          </w:p>
        </w:tc>
        <w:tc>
          <w:tcPr>
            <w:tcW w:w="5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11,973</w:t>
            </w:r>
          </w:p>
        </w:tc>
      </w:tr>
      <w:tr>
        <w:trPr>
          <w:trHeight w:val="196"/>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43,985</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36,391</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8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5,269</w:t>
            </w:r>
          </w:p>
        </w:tc>
        <w:tc>
          <w:tcPr>
            <w:tcW w:w="5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1,969</w:t>
            </w:r>
          </w:p>
        </w:tc>
      </w:tr>
      <w:tr>
        <w:trPr>
          <w:trHeight w:val="196"/>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Shareholders</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38,716</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34,422</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0.98</w:t>
            </w:r>
          </w:p>
        </w:tc>
        <w:tc>
          <w:tcPr>
            <w:tcW w:w="5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0.87</w:t>
            </w: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0.97</w:t>
            </w:r>
          </w:p>
        </w:tc>
        <w:tc>
          <w:tcPr>
            <w:tcW w:w="5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0.87</w:t>
            </w:r>
          </w:p>
        </w:tc>
      </w:tr>
      <w:tr>
        <w:trPr>
          <w:trHeight w:val="20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0.70</w:t>
            </w:r>
          </w:p>
        </w:tc>
        <w:tc>
          <w:tcPr>
            <w:tcW w:w="5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0.70</w:t>
            </w: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Basic Weighted Average Common Shares</w:t>
            </w:r>
          </w:p>
        </w:tc>
        <w:tc>
          <w:tcPr>
            <w:tcW w:w="380" w:type="dxa"/>
            <w:vAlign w:val="bottom"/>
          </w:tcPr>
          <w:p>
            <w:pPr>
              <w:spacing w:after="0"/>
              <w:rPr>
                <w:sz w:val="17"/>
                <w:szCs w:val="17"/>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39,554,834</w:t>
            </w:r>
          </w:p>
        </w:tc>
        <w:tc>
          <w:tcPr>
            <w:tcW w:w="5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39,350,390</w:t>
            </w:r>
          </w:p>
        </w:tc>
      </w:tr>
      <w:tr>
        <w:trPr>
          <w:trHeight w:val="243"/>
        </w:trPr>
        <w:tc>
          <w:tcPr>
            <w:tcW w:w="7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Weighted Average Common Shares</w:t>
            </w:r>
          </w:p>
        </w:tc>
        <w:tc>
          <w:tcPr>
            <w:tcW w:w="3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39,876,406</w:t>
            </w:r>
          </w:p>
        </w:tc>
        <w:tc>
          <w:tcPr>
            <w:tcW w:w="5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39,626,463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43,985</w:t>
            </w:r>
          </w:p>
        </w:tc>
        <w:tc>
          <w:tcPr>
            <w:tcW w:w="68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36,391</w:t>
            </w: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Unrealized Gains on Investment Securities</w:t>
            </w:r>
          </w:p>
        </w:tc>
        <w:tc>
          <w:tcPr>
            <w:tcW w:w="50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24,760</w:t>
            </w:r>
          </w:p>
        </w:tc>
        <w:tc>
          <w:tcPr>
            <w:tcW w:w="68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12,938</w:t>
            </w:r>
          </w:p>
        </w:tc>
      </w:tr>
      <w:tr>
        <w:trPr>
          <w:trHeight w:val="203"/>
        </w:trPr>
        <w:tc>
          <w:tcPr>
            <w:tcW w:w="6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Defined Benefit Plans</w:t>
            </w: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232</w:t>
            </w:r>
          </w:p>
        </w:tc>
        <w:tc>
          <w:tcPr>
            <w:tcW w:w="6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169</w:t>
            </w:r>
          </w:p>
        </w:tc>
      </w:tr>
      <w:tr>
        <w:trPr>
          <w:trHeight w:val="196"/>
        </w:trPr>
        <w:tc>
          <w:tcPr>
            <w:tcW w:w="6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0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24,992</w:t>
            </w:r>
          </w:p>
        </w:tc>
        <w:tc>
          <w:tcPr>
            <w:tcW w:w="68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13,107</w:t>
            </w:r>
          </w:p>
        </w:tc>
      </w:tr>
      <w:tr>
        <w:trPr>
          <w:trHeight w:val="196"/>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68,977</w:t>
            </w: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49,498</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w:t>
            </w:r>
          </w:p>
        </w:tc>
        <w:tc>
          <w:tcPr>
            <w:tcW w:w="94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w:t>
            </w:r>
          </w:p>
        </w:tc>
        <w:tc>
          <w:tcPr>
            <w:tcW w:w="920" w:type="dxa"/>
            <w:vAlign w:val="bottom"/>
            <w:tcBorders>
              <w:top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Accum. Other</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per share</w:t>
            </w:r>
          </w:p>
        </w:tc>
        <w:tc>
          <w:tcPr>
            <w:tcW w:w="8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Series</w:t>
            </w:r>
          </w:p>
        </w:tc>
        <w:tc>
          <w:tcPr>
            <w:tcW w:w="6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vMerge w:val="continue"/>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 Series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 Series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amounts)</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 Stock</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 Stock</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 Stock</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1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6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180,00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165,00</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39,762,255</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$ 647,403</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(343,389)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line="126" w:lineRule="exact"/>
              <w:rPr>
                <w:sz w:val="20"/>
                <w:szCs w:val="20"/>
                <w:color w:val="auto"/>
              </w:rPr>
            </w:pPr>
            <w:r>
              <w:rPr>
                <w:rFonts w:ascii="Times New Roman" w:cs="Times New Roman" w:eastAsia="Times New Roman" w:hAnsi="Times New Roman"/>
                <w:sz w:val="14"/>
                <w:szCs w:val="14"/>
                <w:color w:val="auto"/>
              </w:rPr>
              <w:t>2,133,83</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(1,115,6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1,667,774</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43,985</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43,985</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24,992</w:t>
            </w:r>
          </w:p>
        </w:tc>
        <w:tc>
          <w:tcPr>
            <w:tcW w:w="140" w:type="dxa"/>
            <w:vAlign w:val="bottom"/>
          </w:tcPr>
          <w:p>
            <w:pPr>
              <w:spacing w:after="0"/>
              <w:rPr>
                <w:sz w:val="12"/>
                <w:szCs w:val="12"/>
                <w:color w:val="auto"/>
              </w:rPr>
            </w:pPr>
          </w:p>
        </w:tc>
        <w:tc>
          <w:tcPr>
            <w:tcW w:w="6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24,992</w:t>
            </w: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3,680</w:t>
            </w: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3,680</w:t>
            </w: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under Purchase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19,477</w:t>
            </w:r>
          </w:p>
        </w:tc>
        <w:tc>
          <w:tcPr>
            <w:tcW w:w="2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32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1,023</w:t>
            </w:r>
          </w:p>
        </w:tc>
        <w:tc>
          <w:tcPr>
            <w:tcW w:w="140" w:type="dxa"/>
            <w:vAlign w:val="bottom"/>
          </w:tcPr>
          <w:p>
            <w:pPr>
              <w:spacing w:after="0"/>
              <w:rPr>
                <w:sz w:val="10"/>
                <w:szCs w:val="10"/>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and Equity Compensation Plans</w:t>
            </w: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Repurchased</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(47,428)</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(3,314)</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Common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(28,228)</w:t>
            </w:r>
          </w:p>
        </w:tc>
        <w:tc>
          <w:tcPr>
            <w:tcW w:w="14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(28,228)</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Stock ($0.70 per share)</w:t>
            </w: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Preferred</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(5,269)</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180,00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165,00</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39,734,304</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$ 651,374</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(318,397)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line="119" w:lineRule="exact"/>
              <w:rPr>
                <w:sz w:val="20"/>
                <w:szCs w:val="20"/>
                <w:color w:val="auto"/>
              </w:rPr>
            </w:pPr>
            <w:r>
              <w:rPr>
                <w:rFonts w:ascii="Times New Roman" w:cs="Times New Roman" w:eastAsia="Times New Roman" w:hAnsi="Times New Roman"/>
                <w:sz w:val="13"/>
                <w:szCs w:val="13"/>
                <w:color w:val="auto"/>
              </w:rPr>
              <w:t>2,144,32</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(1,117,9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1,704,935</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180,00</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39,753,138</w:t>
            </w:r>
          </w:p>
        </w:tc>
        <w:tc>
          <w:tcPr>
            <w:tcW w:w="2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$ 636,422</w:t>
            </w:r>
          </w:p>
        </w:tc>
        <w:tc>
          <w:tcPr>
            <w:tcW w:w="3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(396,688)</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9"/>
              <w:spacing w:after="0" w:line="126" w:lineRule="exact"/>
              <w:rPr>
                <w:sz w:val="20"/>
                <w:szCs w:val="20"/>
                <w:color w:val="auto"/>
              </w:rPr>
            </w:pPr>
            <w:r>
              <w:rPr>
                <w:rFonts w:ascii="Times New Roman" w:cs="Times New Roman" w:eastAsia="Times New Roman" w:hAnsi="Times New Roman"/>
                <w:sz w:val="14"/>
                <w:szCs w:val="14"/>
                <w:color w:val="auto"/>
              </w:rPr>
              <w:t>2,107,56</w:t>
            </w:r>
          </w:p>
        </w:tc>
        <w:tc>
          <w:tcPr>
            <w:tcW w:w="1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(1,113,6</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1,414,242</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vMerge w:val="continue"/>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36,391</w:t>
            </w:r>
          </w:p>
        </w:tc>
        <w:tc>
          <w:tcPr>
            <w:tcW w:w="14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36,391</w:t>
            </w: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13,107</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13,107</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4,030</w:t>
            </w:r>
          </w:p>
        </w:tc>
        <w:tc>
          <w:tcPr>
            <w:tcW w:w="3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4,030</w:t>
            </w: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under Purchase</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21,332</w:t>
            </w:r>
          </w:p>
        </w:tc>
        <w:tc>
          <w:tcPr>
            <w:tcW w:w="22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3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794</w:t>
            </w:r>
          </w:p>
        </w:tc>
        <w:tc>
          <w:tcPr>
            <w:tcW w:w="1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546</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Equity Compensation Plans</w:t>
            </w:r>
          </w:p>
        </w:tc>
        <w:tc>
          <w:tcPr>
            <w:tcW w:w="8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Repurchased</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(53,746)</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w:t>
            </w:r>
          </w:p>
        </w:tc>
        <w:tc>
          <w:tcPr>
            <w:tcW w:w="14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(3,320)</w:t>
            </w: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Common</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(28,056)</w:t>
            </w:r>
          </w:p>
        </w:tc>
        <w:tc>
          <w:tcPr>
            <w:tcW w:w="1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(28,056)</w:t>
            </w: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($0.70 per share)</w:t>
            </w:r>
          </w:p>
        </w:tc>
        <w:tc>
          <w:tcPr>
            <w:tcW w:w="8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Preferred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4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(1,969)</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180,00</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39,720,724</w:t>
            </w:r>
          </w:p>
        </w:tc>
        <w:tc>
          <w:tcPr>
            <w:tcW w:w="2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$ 640,663</w:t>
            </w:r>
          </w:p>
        </w:tc>
        <w:tc>
          <w:tcPr>
            <w:tcW w:w="3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(383,581)</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9"/>
              <w:spacing w:after="0" w:line="119" w:lineRule="exact"/>
              <w:rPr>
                <w:sz w:val="20"/>
                <w:szCs w:val="20"/>
                <w:color w:val="auto"/>
              </w:rPr>
            </w:pPr>
            <w:r>
              <w:rPr>
                <w:rFonts w:ascii="Times New Roman" w:cs="Times New Roman" w:eastAsia="Times New Roman" w:hAnsi="Times New Roman"/>
                <w:sz w:val="13"/>
                <w:szCs w:val="13"/>
                <w:color w:val="auto"/>
              </w:rPr>
              <w:t>2,114,72</w:t>
            </w:r>
          </w:p>
        </w:tc>
        <w:tc>
          <w:tcPr>
            <w:tcW w:w="1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(1,116,4</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1,435,977</w:t>
            </w: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vMerge w:val="continue"/>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500" w:type="dxa"/>
            <w:vAlign w:val="bottom"/>
            <w:tcBorders>
              <w:bottom w:val="single" w:sz="8" w:color="auto"/>
            </w:tcBorders>
            <w:vMerge w:val="continue"/>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auto"/>
            </w:tcBorders>
            <w:vMerge w:val="continue"/>
            <w:shd w:val="clear" w:color="auto" w:fill="CFF0FC"/>
          </w:tcPr>
          <w:p>
            <w:pPr>
              <w:spacing w:after="0"/>
              <w:rPr>
                <w:sz w:val="18"/>
                <w:szCs w:val="18"/>
                <w:color w:val="auto"/>
              </w:rPr>
            </w:pPr>
          </w:p>
        </w:tc>
        <w:tc>
          <w:tcPr>
            <w:tcW w:w="400" w:type="dxa"/>
            <w:vAlign w:val="bottom"/>
            <w:tcBorders>
              <w:bottom w:val="single" w:sz="8" w:color="auto"/>
            </w:tcBorders>
            <w:vMerge w:val="continue"/>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auto"/>
            </w:tcBorders>
            <w:vMerge w:val="continue"/>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7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43,985</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36,391</w:t>
            </w:r>
          </w:p>
        </w:tc>
      </w:tr>
      <w:tr>
        <w:trPr>
          <w:trHeight w:val="203"/>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3,250</w:t>
            </w:r>
          </w:p>
        </w:tc>
        <w:tc>
          <w:tcPr>
            <w:tcW w:w="4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4,739</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5,230</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Deferred Loan and Lease (Fees) Costs, Net</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4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Amortization and Accretion of Premiums/Discounts on Investment Securities, Net</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2,962</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2,828</w:t>
            </w:r>
          </w:p>
        </w:tc>
        <w:tc>
          <w:tcPr>
            <w:tcW w:w="4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3,019</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3,680</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4,030</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Benefit Plan Contributions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(515)</w:t>
            </w: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Gains on Sales of Loans and Leases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(881)</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Sales of Loans Held for Sale</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6,942</w:t>
            </w:r>
          </w:p>
        </w:tc>
        <w:tc>
          <w:tcPr>
            <w:tcW w:w="4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11,836</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Originations of Loans Held for Sale</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(7,377)</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(10,800)</w:t>
            </w:r>
          </w:p>
        </w:tc>
      </w:tr>
      <w:tr>
        <w:trPr>
          <w:trHeight w:val="203"/>
        </w:trPr>
        <w:tc>
          <w:tcPr>
            <w:tcW w:w="6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Net Change in Other Assets and Other Liabilities</w:t>
            </w:r>
          </w:p>
        </w:tc>
        <w:tc>
          <w:tcPr>
            <w:tcW w:w="1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(41,058)</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1,621</w:t>
            </w:r>
          </w:p>
        </w:tc>
      </w:tr>
      <w:tr>
        <w:trPr>
          <w:trHeight w:val="196"/>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18,344</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55,338</w:t>
            </w:r>
          </w:p>
        </w:tc>
      </w:tr>
      <w:tr>
        <w:trPr>
          <w:trHeight w:val="203"/>
        </w:trPr>
        <w:tc>
          <w:tcPr>
            <w:tcW w:w="6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Proceeds from Prepayments and Maturities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77,046</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50,979</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(241,922)</w:t>
            </w: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r>
      <w:tr>
        <w:trPr>
          <w:trHeight w:val="203"/>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Prepayments and Maturities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87,218</w:t>
            </w:r>
          </w:p>
        </w:tc>
        <w:tc>
          <w:tcPr>
            <w:tcW w:w="4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88,021</w:t>
            </w:r>
          </w:p>
        </w:tc>
      </w:tr>
      <w:tr>
        <w:trPr>
          <w:trHeight w:val="203"/>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Change in Loans and Leases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(50,600)</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110,211</w:t>
            </w:r>
          </w:p>
        </w:tc>
      </w:tr>
      <w:tr>
        <w:trPr>
          <w:trHeight w:val="203"/>
        </w:trPr>
        <w:tc>
          <w:tcPr>
            <w:tcW w:w="6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1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(8,117)</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196"/>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(136,375)</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245,645</w:t>
            </w:r>
          </w:p>
        </w:tc>
      </w:tr>
      <w:tr>
        <w:trPr>
          <w:trHeight w:val="203"/>
        </w:trPr>
        <w:tc>
          <w:tcPr>
            <w:tcW w:w="6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Deposits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375,180</w:t>
            </w: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(378,458)</w:t>
            </w:r>
          </w:p>
        </w:tc>
      </w:tr>
      <w:tr>
        <w:trPr>
          <w:trHeight w:val="203"/>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(50,024)</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1,315</w:t>
            </w:r>
          </w:p>
        </w:tc>
        <w:tc>
          <w:tcPr>
            <w:tcW w:w="4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1,424</w:t>
            </w:r>
          </w:p>
        </w:tc>
      </w:tr>
      <w:tr>
        <w:trPr>
          <w:trHeight w:val="203"/>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(3,314)</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w:t>
            </w:r>
          </w:p>
        </w:tc>
      </w:tr>
      <w:tr>
        <w:trPr>
          <w:trHeight w:val="20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(28,228)</w:t>
            </w: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(28,056)</w:t>
            </w:r>
          </w:p>
        </w:tc>
      </w:tr>
      <w:tr>
        <w:trPr>
          <w:trHeight w:val="203"/>
        </w:trPr>
        <w:tc>
          <w:tcPr>
            <w:tcW w:w="67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Dividends Paid on Preferred Stock</w:t>
            </w:r>
          </w:p>
        </w:tc>
        <w:tc>
          <w:tcPr>
            <w:tcW w:w="10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(5,269)</w:t>
            </w:r>
          </w:p>
        </w:tc>
        <w:tc>
          <w:tcPr>
            <w:tcW w:w="4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w:t>
            </w:r>
          </w:p>
        </w:tc>
      </w:tr>
      <w:tr>
        <w:trPr>
          <w:trHeight w:val="196"/>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289,660</w:t>
            </w: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(410,406)</w:t>
            </w:r>
          </w:p>
        </w:tc>
      </w:tr>
      <w:tr>
        <w:trPr>
          <w:trHeight w:val="202"/>
        </w:trPr>
        <w:tc>
          <w:tcPr>
            <w:tcW w:w="67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171,629</w:t>
            </w:r>
          </w:p>
        </w:tc>
        <w:tc>
          <w:tcPr>
            <w:tcW w:w="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(109,423)</w:t>
            </w:r>
          </w:p>
        </w:tc>
      </w:tr>
      <w:tr>
        <w:trPr>
          <w:trHeight w:val="203"/>
        </w:trPr>
        <w:tc>
          <w:tcPr>
            <w:tcW w:w="67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763,571</w:t>
            </w:r>
          </w:p>
        </w:tc>
        <w:tc>
          <w:tcPr>
            <w:tcW w:w="4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1,000,944</w:t>
            </w:r>
          </w:p>
        </w:tc>
      </w:tr>
      <w:tr>
        <w:trPr>
          <w:trHeight w:val="196"/>
        </w:trPr>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3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935,200</w:t>
            </w:r>
          </w:p>
        </w:tc>
        <w:tc>
          <w:tcPr>
            <w:tcW w:w="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891,521</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20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100,017</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100,360</w:t>
            </w:r>
          </w:p>
        </w:tc>
      </w:tr>
      <w:tr>
        <w:trPr>
          <w:trHeight w:val="203"/>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558</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2,486</w:t>
            </w:r>
          </w:p>
        </w:tc>
      </w:tr>
      <w:tr>
        <w:trPr>
          <w:trHeight w:val="20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Transfer from Loans to Foreclosed Real Estate</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195</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 The accompanying Unaudited Consolidated Financial Statements include the accounts of the Parent and its subsidiaries. The Parent’s principal operating subsidiary is Bank of Hawai‘i (the “Bank”).</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any future period.</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2024. Significant changes to accounting policies from those disclosed in our audited Consolidated Financial Statements and related notes included in the Company’s Annual Report on Form 10-K are presented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year presentation.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Pending Adoption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“Disaggregation of Income Statement Expenses (DISE).” ASU 2024-03 </w:t>
      </w:r>
      <w:r>
        <w:rPr>
          <w:rFonts w:ascii="Times New Roman" w:cs="Times New Roman" w:eastAsia="Times New Roman" w:hAnsi="Times New Roman"/>
          <w:sz w:val="18"/>
          <w:szCs w:val="18"/>
          <w:color w:val="2D2D2D"/>
        </w:rPr>
        <w:t>requires additional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D2D2D"/>
        </w:rPr>
        <w:t xml:space="preserve">of the nature of expenses included in the income statement to be presented in a tabular format in the footnotes to the financial statements. </w:t>
      </w:r>
      <w:r>
        <w:rPr>
          <w:rFonts w:ascii="Times New Roman" w:cs="Times New Roman" w:eastAsia="Times New Roman" w:hAnsi="Times New Roman"/>
          <w:sz w:val="18"/>
          <w:szCs w:val="18"/>
          <w:color w:val="000000"/>
        </w:rPr>
        <w:t>ASU 2024-03 is</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000000"/>
        </w:rPr>
        <w:t>effective for annual periods beginning after December 15, 2026, and interim periods within fiscal years beginning after December 15, 2027. The amendments in ASU 2024-03 should be applied on a prospective basis, although retrospective application is permitted. ASU 2024-03 is not expected to have a material impact on the Company’s financial statements.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Securities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the Company’s investment securities as of March 31, 2025 and December 31, 2024,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60" w:type="dxa"/>
            <w:vAlign w:val="bottom"/>
          </w:tcPr>
          <w:p>
            <w:pPr>
              <w:spacing w:after="0"/>
              <w:rPr>
                <w:sz w:val="17"/>
                <w:szCs w:val="17"/>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60" w:type="dxa"/>
            <w:vAlign w:val="bottom"/>
          </w:tcPr>
          <w:p>
            <w:pPr>
              <w:spacing w:after="0"/>
              <w:rPr>
                <w:sz w:val="17"/>
                <w:szCs w:val="17"/>
                <w:color w:val="auto"/>
              </w:rPr>
            </w:pP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8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9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233,515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227,396</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9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72,968</w:t>
            </w:r>
          </w:p>
        </w:tc>
        <w:tc>
          <w:tcPr>
            <w:tcW w:w="2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64,996</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1,365</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1,336</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9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728,334</w:t>
            </w:r>
          </w:p>
        </w:tc>
        <w:tc>
          <w:tcPr>
            <w:tcW w:w="2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667</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(28,529)</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700,472</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9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1,110,283</w:t>
            </w:r>
          </w:p>
        </w:tc>
        <w:tc>
          <w:tcPr>
            <w:tcW w:w="2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716</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(102,495)</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1,008,504</w:t>
            </w:r>
          </w:p>
        </w:tc>
      </w:tr>
      <w:tr>
        <w:trPr>
          <w:trHeight w:val="203"/>
        </w:trPr>
        <w:tc>
          <w:tcPr>
            <w:tcW w:w="522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9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330,746</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(21,961)</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309,050</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9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1,441,029</w:t>
            </w:r>
          </w:p>
        </w:tc>
        <w:tc>
          <w:tcPr>
            <w:tcW w:w="2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981</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(124,456)</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1,317,554</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634,028</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506</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(59,269)</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575,265</w:t>
            </w:r>
          </w:p>
        </w:tc>
      </w:tr>
      <w:tr>
        <w:trPr>
          <w:trHeight w:val="196"/>
        </w:trPr>
        <w:tc>
          <w:tcPr>
            <w:tcW w:w="5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9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634,028</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506</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(59,269)</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575,265</w:t>
            </w:r>
          </w:p>
        </w:tc>
      </w:tr>
      <w:tr>
        <w:trPr>
          <w:trHeight w:val="19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3,111,239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2,887,019</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9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131,900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119,571</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10,422</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8,517</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2,142,080</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(338,686)</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1,803,398</w:t>
            </w:r>
          </w:p>
        </w:tc>
      </w:tr>
      <w:tr>
        <w:trPr>
          <w:trHeight w:val="203"/>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414,089</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(84,927)</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329,162</w:t>
            </w:r>
          </w:p>
        </w:tc>
      </w:tr>
      <w:tr>
        <w:trPr>
          <w:trHeight w:val="19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2,556,169</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(423,613)</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2,132,560</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1,826,625</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(271,727)</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1,554,946</w:t>
            </w:r>
          </w:p>
        </w:tc>
      </w:tr>
      <w:tr>
        <w:trPr>
          <w:trHeight w:val="203"/>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9,992</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8,061</w:t>
            </w:r>
          </w:p>
        </w:tc>
      </w:tr>
      <w:tr>
        <w:trPr>
          <w:trHeight w:val="196"/>
        </w:trPr>
        <w:tc>
          <w:tcPr>
            <w:tcW w:w="5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9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1,836,617</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(273,658)</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1,563,007</w:t>
            </w:r>
          </w:p>
        </w:tc>
      </w:tr>
      <w:tr>
        <w:trPr>
          <w:trHeight w:val="19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4,535,108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3,823,655</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9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9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257,036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249,072</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9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73,208</w:t>
            </w:r>
          </w:p>
        </w:tc>
        <w:tc>
          <w:tcPr>
            <w:tcW w:w="2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63,859</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1,505</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1,464</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9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703,579</w:t>
            </w:r>
          </w:p>
        </w:tc>
        <w:tc>
          <w:tcPr>
            <w:tcW w:w="2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(32,280)</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671,675</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9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1,050,299</w:t>
            </w:r>
          </w:p>
        </w:tc>
        <w:tc>
          <w:tcPr>
            <w:tcW w:w="2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(115,401)</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935,220</w:t>
            </w:r>
          </w:p>
        </w:tc>
      </w:tr>
      <w:tr>
        <w:trPr>
          <w:trHeight w:val="203"/>
        </w:trPr>
        <w:tc>
          <w:tcPr>
            <w:tcW w:w="52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9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306,696</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283,474</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9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1,356,995</w:t>
            </w:r>
          </w:p>
        </w:tc>
        <w:tc>
          <w:tcPr>
            <w:tcW w:w="2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521</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(138,822)</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1,218,694</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555,092</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484,764</w:t>
            </w:r>
          </w:p>
        </w:tc>
      </w:tr>
      <w:tr>
        <w:trPr>
          <w:trHeight w:val="196"/>
        </w:trPr>
        <w:tc>
          <w:tcPr>
            <w:tcW w:w="5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9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555,092</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484,764</w:t>
            </w:r>
          </w:p>
        </w:tc>
      </w:tr>
      <w:tr>
        <w:trPr>
          <w:trHeight w:val="19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2,947,415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(259,135)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2,689,528</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9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131,868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116,941</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10,490</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8,334</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2,185,210</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(377,149)</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1,808,064</w:t>
            </w:r>
          </w:p>
        </w:tc>
      </w:tr>
      <w:tr>
        <w:trPr>
          <w:trHeight w:val="203"/>
        </w:trPr>
        <w:tc>
          <w:tcPr>
            <w:tcW w:w="5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416,389</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(92,211)</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324,178</w:t>
            </w:r>
          </w:p>
        </w:tc>
      </w:tr>
      <w:tr>
        <w:trPr>
          <w:trHeight w:val="19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2,601,599</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(469,360)</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2,132,242</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9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1,864,591</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(309,093)</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1,555,535</w:t>
            </w:r>
          </w:p>
        </w:tc>
      </w:tr>
      <w:tr>
        <w:trPr>
          <w:trHeight w:val="203"/>
        </w:trPr>
        <w:tc>
          <w:tcPr>
            <w:tcW w:w="5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9,995</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7,830</w:t>
            </w:r>
          </w:p>
        </w:tc>
      </w:tr>
      <w:tr>
        <w:trPr>
          <w:trHeight w:val="196"/>
        </w:trPr>
        <w:tc>
          <w:tcPr>
            <w:tcW w:w="5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9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1,874,586</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(311,258)</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1,563,365</w:t>
            </w:r>
          </w:p>
        </w:tc>
      </w:tr>
      <w:tr>
        <w:trPr>
          <w:trHeight w:val="19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4,618,543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(797,701)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3,820,882</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elected to exclude accrued interest receivable (“AIR”) from the amortized cost basis of debt securities disclosed throughout this footnote. For available-for-sale (“AFS”) debt securities, AIR totaled $9.7 million and $9.0 million as of March 31, 2025 and December 31, 2024, respectively. For held-to-maturity (“HTM”) debt securities, AIR totaled $8.6 million as of both March 31, 2025 and December 31, 2024.</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table below presents an analysis of the contractual maturities of the Company’s investment securities as of March 31, 2025. Debt securities issued by government agencies (such as Small Business Administration securities), collateralized mortgage obligations, and mortgage-backed securities are disclosed separately, as these investment securities may prepay prior to their scheduled contractual maturity dates.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9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Due in One Year or Less</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72,361</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70,634</w:t>
            </w:r>
          </w:p>
        </w:tc>
      </w:tr>
      <w:tr>
        <w:trPr>
          <w:trHeight w:val="20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659,774</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642,114</w:t>
            </w:r>
          </w:p>
        </w:tc>
      </w:tr>
      <w:tr>
        <w:trPr>
          <w:trHeight w:val="20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209,128</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186,565</w:t>
            </w:r>
          </w:p>
        </w:tc>
      </w:tr>
      <w:tr>
        <w:trPr>
          <w:trHeight w:val="196"/>
        </w:trPr>
        <w:tc>
          <w:tcPr>
            <w:tcW w:w="59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941,263</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899,313</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Government Agencies</w:t>
            </w:r>
          </w:p>
        </w:tc>
        <w:tc>
          <w:tcPr>
            <w:tcW w:w="192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94,919</w:t>
            </w:r>
          </w:p>
        </w:tc>
        <w:tc>
          <w:tcPr>
            <w:tcW w:w="3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94,887</w:t>
            </w:r>
          </w:p>
        </w:tc>
      </w:tr>
      <w:tr>
        <w:trPr>
          <w:trHeight w:val="20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92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1,110,283</w:t>
            </w:r>
          </w:p>
        </w:tc>
        <w:tc>
          <w:tcPr>
            <w:tcW w:w="3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1,008,504</w:t>
            </w:r>
          </w:p>
        </w:tc>
      </w:tr>
      <w:tr>
        <w:trPr>
          <w:trHeight w:val="203"/>
        </w:trPr>
        <w:tc>
          <w:tcPr>
            <w:tcW w:w="59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19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330,746</w:t>
            </w: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309,050</w:t>
            </w:r>
          </w:p>
        </w:tc>
      </w:tr>
      <w:tr>
        <w:trPr>
          <w:trHeight w:val="19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2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1,441,029</w:t>
            </w:r>
          </w:p>
        </w:tc>
        <w:tc>
          <w:tcPr>
            <w:tcW w:w="3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1,317,554</w:t>
            </w:r>
          </w:p>
        </w:tc>
      </w:tr>
      <w:tr>
        <w:trPr>
          <w:trHeight w:val="20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5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634,028</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575,265</w:t>
            </w:r>
          </w:p>
        </w:tc>
      </w:tr>
      <w:tr>
        <w:trPr>
          <w:trHeight w:val="196"/>
        </w:trPr>
        <w:tc>
          <w:tcPr>
            <w:tcW w:w="5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634,028</w:t>
            </w: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575,265</w:t>
            </w:r>
          </w:p>
        </w:tc>
      </w:tr>
      <w:tr>
        <w:trPr>
          <w:trHeight w:val="19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3,111,239</w:t>
            </w: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2,887,019</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19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Due in One Year or Less</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7,500</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7,343</w:t>
            </w:r>
          </w:p>
        </w:tc>
      </w:tr>
      <w:tr>
        <w:trPr>
          <w:trHeight w:val="20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74,829</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69,267</w:t>
            </w:r>
          </w:p>
        </w:tc>
      </w:tr>
      <w:tr>
        <w:trPr>
          <w:trHeight w:val="20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Due After Five Year Through Ten Years</w:t>
            </w:r>
          </w:p>
        </w:tc>
        <w:tc>
          <w:tcPr>
            <w:tcW w:w="1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59,993</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51,478</w:t>
            </w:r>
          </w:p>
        </w:tc>
      </w:tr>
      <w:tr>
        <w:trPr>
          <w:trHeight w:val="196"/>
        </w:trPr>
        <w:tc>
          <w:tcPr>
            <w:tcW w:w="59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142,322</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128,088</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2,142,080</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1,803,398</w:t>
            </w:r>
          </w:p>
        </w:tc>
      </w:tr>
      <w:tr>
        <w:trPr>
          <w:trHeight w:val="203"/>
        </w:trPr>
        <w:tc>
          <w:tcPr>
            <w:tcW w:w="5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1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414,089</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329,162</w:t>
            </w:r>
          </w:p>
        </w:tc>
      </w:tr>
      <w:tr>
        <w:trPr>
          <w:trHeight w:val="19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2,556,169</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2,132,560</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9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1,826,625</w:t>
            </w: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1,554,946</w:t>
            </w:r>
          </w:p>
        </w:tc>
      </w:tr>
      <w:tr>
        <w:trPr>
          <w:trHeight w:val="203"/>
        </w:trPr>
        <w:tc>
          <w:tcPr>
            <w:tcW w:w="5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9,992</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8,061</w:t>
            </w:r>
          </w:p>
        </w:tc>
      </w:tr>
      <w:tr>
        <w:trPr>
          <w:trHeight w:val="196"/>
        </w:trPr>
        <w:tc>
          <w:tcPr>
            <w:tcW w:w="5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1,836,617</w:t>
            </w:r>
          </w:p>
        </w:tc>
        <w:tc>
          <w:tcPr>
            <w:tcW w:w="3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1,563,007</w:t>
            </w:r>
          </w:p>
        </w:tc>
      </w:tr>
      <w:tr>
        <w:trPr>
          <w:trHeight w:val="19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4,535,108</w:t>
            </w: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3,823,655</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Investment securities with carrying values of $7.3 billion and $7.2 billion as of March 31, 2025 and December 31, 2024, respectively, were pledged to secure deposits of governmental entities, securities sold under agreements to repurchase, support the Company's borrowing capacity with the Federal Reserve Bank, and secure derivative transactions.</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net realized losses on sales of investments of $1.6 million and $1.5 million, respectively. The losses on sales of investment securities were due to fees paid to the counterparties of the Company’s prior Visa Class B share sale transactions, which are expensed as incurred.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AFS debt securities in an unrealized loss position for which an allowance for credit losses was not deemed necessary, aggregated by major security type and length of time in a continuous unrealized loss position: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bottom w:val="single" w:sz="8" w:color="auto"/>
            </w:tcBorders>
          </w:tcPr>
          <w:p>
            <w:pPr>
              <w:spacing w:after="0"/>
              <w:rPr>
                <w:sz w:val="18"/>
                <w:szCs w:val="18"/>
                <w:color w:val="auto"/>
              </w:rPr>
            </w:pPr>
          </w:p>
        </w:tc>
      </w:tr>
      <w:tr>
        <w:trPr>
          <w:trHeight w:val="18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Gross</w:t>
            </w:r>
          </w:p>
        </w:tc>
      </w:tr>
      <w:tr>
        <w:trPr>
          <w:trHeight w:val="203"/>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8"/>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(dollars in thousands)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19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Agencies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34,196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140,229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174,425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64,996</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64,996</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1,336</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1,336</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74,877</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549,445</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624,322</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(28,529)</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180,884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655,542</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836,426</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(102,495)</w:t>
            </w:r>
          </w:p>
        </w:tc>
      </w:tr>
      <w:tr>
        <w:trPr>
          <w:trHeight w:val="203"/>
        </w:trPr>
        <w:tc>
          <w:tcPr>
            <w:tcW w:w="45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109,378</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128,467</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(21,806)</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237,845</w:t>
            </w: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(21,961)</w:t>
            </w: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290,262</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784,009</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1,074,271</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(124,456)</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3"/>
        </w:trPr>
        <w:tc>
          <w:tcPr>
            <w:tcW w:w="4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53,435</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472,385</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(59,158)</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525,820</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(59,269)</w:t>
            </w:r>
          </w:p>
        </w:tc>
      </w:tr>
      <w:tr>
        <w:trPr>
          <w:trHeight w:val="196"/>
        </w:trPr>
        <w:tc>
          <w:tcPr>
            <w:tcW w:w="4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53,435</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472,385</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(59,158)</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525,820</w:t>
            </w: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(59,269)</w:t>
            </w:r>
          </w:p>
        </w:tc>
      </w:tr>
      <w:tr>
        <w:trPr>
          <w:trHeight w:val="19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452,770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2,012,400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(225,807)</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2,465,170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(226,523)</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Agencies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38,854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157,456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196,310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(8,185)</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63,644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63,644</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1,464</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1,464</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24,892</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546,407</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571,299</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(32,280)</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3"/>
        </w:trPr>
        <w:tc>
          <w:tcPr>
            <w:tcW w:w="4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153,104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673,141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826,245</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(115,401)</w:t>
            </w:r>
          </w:p>
        </w:tc>
      </w:tr>
      <w:tr>
        <w:trPr>
          <w:trHeight w:val="203"/>
        </w:trPr>
        <w:tc>
          <w:tcPr>
            <w:tcW w:w="45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92,485</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128,430</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(23,416)</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220,915</w:t>
            </w: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(23,421)</w:t>
            </w: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245,589</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801,571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1,047,160</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(138,822)</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3"/>
        </w:trPr>
        <w:tc>
          <w:tcPr>
            <w:tcW w:w="4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480,189</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480,324</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(70,458)</w:t>
            </w:r>
          </w:p>
        </w:tc>
      </w:tr>
      <w:tr>
        <w:trPr>
          <w:trHeight w:val="196"/>
        </w:trPr>
        <w:tc>
          <w:tcPr>
            <w:tcW w:w="4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480,189</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480,324</w:t>
            </w: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(70,458)</w:t>
            </w:r>
          </w:p>
        </w:tc>
      </w:tr>
      <w:tr>
        <w:trPr>
          <w:trHeight w:val="19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309,470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2,050,731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(258,459)</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2,360,201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(259,135)</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does not believe the AFS debt securities that were in an unrealized loss position represent a credit loss impairment. As of March 31, 2025 and December 31, 2024, the Company's unrealized losses from AFS debt securities were generated from 376 positions and 386 positions, respectively. As of March 31, 2025 and December 31, 2024, total gross unrealized losses were attributable to changes in interest rates, relative to when the investment securities were purchased, and not due to the credit quality of the investment securities. Mortgage-backed securities issued by U.S. government agencies or U.S. government-sponsored enterprises carry the explicit and/or implicit guarantee of the U.S. government and have a long history of zero credit loss. Debt securities issued by corporations are of high credit quality and the issuers continue to make timely principal and interest payments. The Company does not intend to sell the investment securities that were in an unrealized loss position and it is more likely than not that the Company will not be required to sell the investment securities before recovery of their amortized cost basis, which may be at maturity.</w:t>
      </w:r>
    </w:p>
    <w:p>
      <w:pPr>
        <w:spacing w:after="0" w:line="16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HTM debt securities are issued by U.S. government agencies or U.S. government-sponsored enterprises. These securities carry the explicit and/or implicit guarantee of the U.S. government and have a long history of zero credit loss. Therefore, the Company did not record an allowance for credit losses for these securities as of March 31, 2025 and December 31,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taxable and non-taxable investment securities for the three months ended March 31, 2025 and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Taxable</w:t>
            </w:r>
          </w:p>
        </w:tc>
        <w:tc>
          <w:tcPr>
            <w:tcW w:w="2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44,279</w:t>
            </w:r>
          </w:p>
        </w:tc>
        <w:tc>
          <w:tcPr>
            <w:tcW w:w="58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43,887</w:t>
            </w:r>
          </w:p>
        </w:tc>
      </w:tr>
      <w:tr>
        <w:trPr>
          <w:trHeight w:val="203"/>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Non-Taxable</w:t>
            </w:r>
          </w:p>
        </w:tc>
        <w:tc>
          <w:tcPr>
            <w:tcW w:w="2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380</w:t>
            </w:r>
          </w:p>
        </w:tc>
        <w:tc>
          <w:tcPr>
            <w:tcW w:w="5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36"/>
        </w:trPr>
        <w:tc>
          <w:tcPr>
            <w:tcW w:w="5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246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44,659</w:t>
            </w:r>
          </w:p>
        </w:tc>
        <w:tc>
          <w:tcPr>
            <w:tcW w:w="580" w:type="dxa"/>
            <w:vAlign w:val="bottom"/>
            <w:tcBorders>
              <w:bottom w:val="single" w:sz="8" w:color="auto"/>
            </w:tcBorders>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43,893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and Leases and the Allowance for Credit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loan and lease portfolio was comprised of the following as of March 31,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9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29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Mortgage</w:t>
            </w:r>
          </w:p>
        </w:tc>
        <w:tc>
          <w:tcPr>
            <w:tcW w:w="2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4,038,287</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4,020,622</w:t>
            </w:r>
          </w:p>
        </w:tc>
      </w:tr>
      <w:tr>
        <w:trPr>
          <w:trHeight w:val="203"/>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9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1,703,290</w:t>
            </w: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1,705,133</w:t>
            </w:r>
          </w:p>
        </w:tc>
      </w:tr>
      <w:tr>
        <w:trPr>
          <w:trHeight w:val="20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w:t>
            </w:r>
          </w:p>
        </w:tc>
        <w:tc>
          <w:tcPr>
            <w:tcW w:w="2960" w:type="dxa"/>
            <w:vAlign w:val="bottom"/>
          </w:tcPr>
          <w:p>
            <w:pPr>
              <w:spacing w:after="0"/>
              <w:rPr>
                <w:sz w:val="17"/>
                <w:szCs w:val="17"/>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363,716</w:t>
            </w:r>
          </w:p>
        </w:tc>
        <w:tc>
          <w:tcPr>
            <w:tcW w:w="280" w:type="dxa"/>
            <w:vAlign w:val="bottom"/>
          </w:tcPr>
          <w:p>
            <w:pPr>
              <w:spacing w:after="0"/>
              <w:rPr>
                <w:sz w:val="17"/>
                <w:szCs w:val="17"/>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308,898</w:t>
            </w:r>
          </w:p>
        </w:tc>
      </w:tr>
      <w:tr>
        <w:trPr>
          <w:trHeight w:val="203"/>
        </w:trPr>
        <w:tc>
          <w:tcPr>
            <w:tcW w:w="462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Lease Financing</w:t>
            </w:r>
          </w:p>
        </w:tc>
        <w:tc>
          <w:tcPr>
            <w:tcW w:w="296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92,456</w:t>
            </w: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90,756</w:t>
            </w:r>
          </w:p>
        </w:tc>
      </w:tr>
      <w:tr>
        <w:trPr>
          <w:trHeight w:val="196"/>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29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6,197,749</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6,125,409</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29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2960" w:type="dxa"/>
            <w:vAlign w:val="bottom"/>
          </w:tcPr>
          <w:p>
            <w:pPr>
              <w:spacing w:after="0"/>
              <w:rPr>
                <w:sz w:val="17"/>
                <w:szCs w:val="17"/>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4,630,876</w:t>
            </w:r>
          </w:p>
        </w:tc>
        <w:tc>
          <w:tcPr>
            <w:tcW w:w="280" w:type="dxa"/>
            <w:vAlign w:val="bottom"/>
          </w:tcPr>
          <w:p>
            <w:pPr>
              <w:spacing w:after="0"/>
              <w:rPr>
                <w:sz w:val="17"/>
                <w:szCs w:val="17"/>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4,628,283</w:t>
            </w:r>
          </w:p>
        </w:tc>
      </w:tr>
      <w:tr>
        <w:trPr>
          <w:trHeight w:val="203"/>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296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2,144,955</w:t>
            </w: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2,165,514</w:t>
            </w:r>
          </w:p>
        </w:tc>
      </w:tr>
      <w:tr>
        <w:trPr>
          <w:trHeight w:val="20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Automobile</w:t>
            </w:r>
          </w:p>
        </w:tc>
        <w:tc>
          <w:tcPr>
            <w:tcW w:w="2960" w:type="dxa"/>
            <w:vAlign w:val="bottom"/>
          </w:tcPr>
          <w:p>
            <w:pPr>
              <w:spacing w:after="0"/>
              <w:rPr>
                <w:sz w:val="17"/>
                <w:szCs w:val="17"/>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740,390</w:t>
            </w:r>
          </w:p>
        </w:tc>
        <w:tc>
          <w:tcPr>
            <w:tcW w:w="280" w:type="dxa"/>
            <w:vAlign w:val="bottom"/>
          </w:tcPr>
          <w:p>
            <w:pPr>
              <w:spacing w:after="0"/>
              <w:rPr>
                <w:sz w:val="17"/>
                <w:szCs w:val="17"/>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764,146</w:t>
            </w:r>
          </w:p>
        </w:tc>
      </w:tr>
      <w:tr>
        <w:trPr>
          <w:trHeight w:val="203"/>
        </w:trPr>
        <w:tc>
          <w:tcPr>
            <w:tcW w:w="462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96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401,353</w:t>
            </w: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392,628</w:t>
            </w:r>
          </w:p>
        </w:tc>
      </w:tr>
      <w:tr>
        <w:trPr>
          <w:trHeight w:val="196"/>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29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7,917,574</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7,950,571</w:t>
            </w:r>
          </w:p>
        </w:tc>
      </w:tr>
      <w:tr>
        <w:trPr>
          <w:trHeight w:val="236"/>
        </w:trPr>
        <w:tc>
          <w:tcPr>
            <w:tcW w:w="46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2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14,115,323</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14,075,980</w:t>
            </w:r>
          </w:p>
        </w:tc>
      </w:tr>
    </w:tbl>
    <w:p>
      <w:pPr>
        <w:spacing w:after="0" w:line="15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majority of the Company’s lending activity is with customers located within the State of Hawai‘i. A substantial portion of the Company’s real estate loans are secured by real estate located within the State of Hawai‘i.</w:t>
      </w:r>
    </w:p>
    <w:p>
      <w:pPr>
        <w:spacing w:after="0" w:line="13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elected to exclude AIR from the amortized cost basis of loans and leases disclosed throughout this footnote. As of March 31, 2025 and December 31, 2024, AIR for loans totaled $48.6 million and $48.4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portfolio segment, the activity in the Allowance for the three months ended March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83,900</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64,628</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148,528</w:t>
            </w:r>
          </w:p>
        </w:tc>
      </w:tr>
      <w:tr>
        <w:trPr>
          <w:trHeight w:val="203"/>
        </w:trPr>
        <w:tc>
          <w:tcPr>
            <w:tcW w:w="5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4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(1,399)</w:t>
            </w:r>
          </w:p>
        </w:tc>
        <w:tc>
          <w:tcPr>
            <w:tcW w:w="2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w:t>
            </w:r>
          </w:p>
        </w:tc>
      </w:tr>
      <w:tr>
        <w:trPr>
          <w:trHeight w:val="203"/>
        </w:trPr>
        <w:tc>
          <w:tcPr>
            <w:tcW w:w="53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1,229</w:t>
            </w: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1,306</w:t>
            </w:r>
          </w:p>
        </w:tc>
      </w:tr>
      <w:tr>
        <w:trPr>
          <w:trHeight w:val="196"/>
        </w:trPr>
        <w:tc>
          <w:tcPr>
            <w:tcW w:w="5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4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(1,322)</w:t>
            </w:r>
          </w:p>
        </w:tc>
        <w:tc>
          <w:tcPr>
            <w:tcW w:w="2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(3,081)</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r>
      <w:tr>
        <w:trPr>
          <w:trHeight w:val="203"/>
        </w:trPr>
        <w:tc>
          <w:tcPr>
            <w:tcW w:w="53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(1,950)</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5,532</w:t>
            </w: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3,582</w:t>
            </w:r>
          </w:p>
        </w:tc>
      </w:tr>
      <w:tr>
        <w:trPr>
          <w:trHeight w:val="196"/>
        </w:trPr>
        <w:tc>
          <w:tcPr>
            <w:tcW w:w="5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80,628</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67,079</w:t>
            </w: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147,707</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4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74,074</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72,329</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146,403</w:t>
            </w:r>
          </w:p>
        </w:tc>
      </w:tr>
      <w:tr>
        <w:trPr>
          <w:trHeight w:val="203"/>
        </w:trPr>
        <w:tc>
          <w:tcPr>
            <w:tcW w:w="5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4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c>
          <w:tcPr>
            <w:tcW w:w="2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w:t>
            </w:r>
          </w:p>
        </w:tc>
      </w:tr>
      <w:tr>
        <w:trPr>
          <w:trHeight w:val="203"/>
        </w:trPr>
        <w:tc>
          <w:tcPr>
            <w:tcW w:w="53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116</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1,358</w:t>
            </w: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1,474</w:t>
            </w:r>
          </w:p>
        </w:tc>
      </w:tr>
      <w:tr>
        <w:trPr>
          <w:trHeight w:val="196"/>
        </w:trPr>
        <w:tc>
          <w:tcPr>
            <w:tcW w:w="5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4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w:t>
            </w:r>
          </w:p>
        </w:tc>
        <w:tc>
          <w:tcPr>
            <w:tcW w:w="2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(2,037)</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w:t>
            </w:r>
          </w:p>
        </w:tc>
      </w:tr>
      <w:tr>
        <w:trPr>
          <w:trHeight w:val="203"/>
        </w:trPr>
        <w:tc>
          <w:tcPr>
            <w:tcW w:w="53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1,257</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2,285</w:t>
            </w: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3,542</w:t>
            </w:r>
          </w:p>
        </w:tc>
      </w:tr>
      <w:tr>
        <w:trPr>
          <w:trHeight w:val="196"/>
        </w:trPr>
        <w:tc>
          <w:tcPr>
            <w:tcW w:w="5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75,087</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72,577</w:t>
            </w: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147,664</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are typically monitored and risk-rated collectively. These are typically loans and leases to individuals in the classes which comprise the consumer portfolio segment.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definitions of the Company’s credit quality indicators:</w:t>
      </w:r>
    </w:p>
    <w:p>
      <w:pPr>
        <w:sectPr>
          <w:pgSz w:w="11900" w:h="16838" w:orient="portrait"/>
          <w:cols w:equalWidth="0" w:num="1">
            <w:col w:w="11200"/>
          </w:cols>
          <w:pgMar w:left="320" w:top="117" w:right="379" w:bottom="1440" w:gutter="0" w:footer="0" w:header="0"/>
        </w:sectPr>
      </w:pP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Pass: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740"/>
        <w:spacing w:after="0" w:line="255" w:lineRule="auto"/>
        <w:rPr>
          <w:sz w:val="20"/>
          <w:szCs w:val="20"/>
          <w:color w:val="auto"/>
        </w:rPr>
      </w:pPr>
      <w:r>
        <w:rPr>
          <w:rFonts w:ascii="Times New Roman" w:cs="Times New Roman" w:eastAsia="Times New Roman" w:hAnsi="Times New Roman"/>
          <w:sz w:val="18"/>
          <w:szCs w:val="18"/>
          <w:color w:val="auto"/>
        </w:rPr>
        <w:t>Loans and leases in all classes within the commercial and consumer portfolio segments that are not adversely rated, are generally contractually current as to principal and interest, and are otherwise in compliance with the contractual terms of the loan or lease agreement. Residential mortgage loans that are past due 90 days or more as to principal or interest may be considered Pass if the current loan-to-value ratio is 60% or less. Home equity loans that are past due 90 days or more as to principal or interest may be considered Pass if: a) the home equity loan is in first lien position and the current loan-to-value ratio is 60% or less; or b) the first mortgage is with the Company and the current combined loan-to-value ratio is 60% or less.</w:t>
      </w:r>
    </w:p>
    <w:p>
      <w:pPr>
        <w:spacing w:after="0" w:line="200" w:lineRule="exact"/>
        <w:rPr>
          <w:sz w:val="20"/>
          <w:szCs w:val="20"/>
          <w:color w:val="auto"/>
        </w:rPr>
      </w:pPr>
    </w:p>
    <w:p>
      <w:pPr>
        <w:sectPr>
          <w:pgSz w:w="11900" w:h="16838" w:orient="portrait"/>
          <w:cols w:equalWidth="0" w:num="2">
            <w:col w:w="1380" w:space="720"/>
            <w:col w:w="9100"/>
          </w:cols>
          <w:pgMar w:left="320" w:top="117" w:right="379" w:bottom="1440" w:gutter="0" w:footer="0" w:header="0"/>
          <w:type w:val="continuous"/>
        </w:sectPr>
      </w:pP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Special Mention:</w:t>
      </w:r>
    </w:p>
    <w:p>
      <w:pPr>
        <w:spacing w:after="0" w:line="20" w:lineRule="exact"/>
        <w:rPr>
          <w:sz w:val="20"/>
          <w:szCs w:val="20"/>
          <w:color w:val="auto"/>
        </w:rPr>
      </w:pPr>
      <w:r>
        <w:rPr>
          <w:sz w:val="20"/>
          <w:szCs w:val="20"/>
          <w:color w:val="auto"/>
        </w:rPr>
        <w:br w:type="column"/>
      </w:r>
    </w:p>
    <w:p>
      <w:pPr>
        <w:ind w:right="740"/>
        <w:spacing w:after="0" w:line="261" w:lineRule="auto"/>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potential weaknesses that warrant management’s close attention. If not addressed, these potential weaknesses may result in deterioration of the repayment prospects for the loan or lease. The Special Mention credit quality indicator is not used for the consumer portfolio segment.</w:t>
      </w:r>
    </w:p>
    <w:p>
      <w:pPr>
        <w:spacing w:after="0" w:line="200" w:lineRule="exact"/>
        <w:rPr>
          <w:sz w:val="20"/>
          <w:szCs w:val="20"/>
          <w:color w:val="auto"/>
        </w:rPr>
      </w:pPr>
    </w:p>
    <w:p>
      <w:pPr>
        <w:sectPr>
          <w:pgSz w:w="11900" w:h="16838" w:orient="portrait"/>
          <w:cols w:equalWidth="0" w:num="2">
            <w:col w:w="1760" w:space="340"/>
            <w:col w:w="9100"/>
          </w:cols>
          <w:pgMar w:left="320" w:top="117" w:right="379" w:bottom="1440" w:gutter="0" w:footer="0" w:header="0"/>
          <w:type w:val="continuous"/>
        </w:sectPr>
      </w:pP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Classified: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a well-defined weakness or weaknesses and are inadequately protected by the sound worth and paying capacity of the borrower or applicable collateral, if any. Classified loans and leases are also those in the classes within the consumer portfolio segment that are past due 90 days or more as to principal or interest (excluding residential mortgage and home equity loans which meet the criteria for being considered Pass).</w:t>
      </w:r>
    </w:p>
    <w:p>
      <w:pPr>
        <w:spacing w:after="0" w:line="156" w:lineRule="exact"/>
        <w:rPr>
          <w:sz w:val="20"/>
          <w:szCs w:val="20"/>
          <w:color w:val="auto"/>
        </w:rPr>
      </w:pPr>
    </w:p>
    <w:p>
      <w:pPr>
        <w:sectPr>
          <w:pgSz w:w="11900" w:h="16838" w:orient="portrait"/>
          <w:cols w:equalWidth="0" w:num="2">
            <w:col w:w="1380" w:space="720"/>
            <w:col w:w="9100"/>
          </w:cols>
          <w:pgMar w:left="320" w:top="117" w:right="379" w:bottom="1440" w:gutter="0" w:footer="0" w:header="0"/>
          <w:type w:val="continuous"/>
        </w:sect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Pass rated credits in the commercial portfolio, most risk ratings are certified at a minimum annually. For Special Mention or Classified credits in the commercial portfolio, risk ratings are reviewed for appropriateness on an ongoing basis, monthly, or at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minimum, quarterly. The following presents by credit quality indicator, loan class, and year of origination, the amortized cost basis of the Company’s loans and leases as of March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 xml:space="preserve">2025 </w:t>
            </w:r>
            <w:r>
              <w:rPr>
                <w:rFonts w:ascii="Times New Roman" w:cs="Times New Roman" w:eastAsia="Times New Roman" w:hAnsi="Times New Roman"/>
                <w:sz w:val="16"/>
                <w:szCs w:val="16"/>
                <w:b w:val="1"/>
                <w:bCs w:val="1"/>
                <w:color w:val="auto"/>
                <w:vertAlign w:val="superscript"/>
              </w:rPr>
              <w:t>1</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Revolving</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Converted to</w:t>
            </w:r>
          </w:p>
        </w:tc>
        <w:tc>
          <w:tcPr>
            <w:tcW w:w="180" w:type="dxa"/>
            <w:vAlign w:val="bottom"/>
          </w:tcPr>
          <w:p>
            <w:pPr>
              <w:spacing w:after="0"/>
              <w:rPr>
                <w:sz w:val="11"/>
                <w:szCs w:val="11"/>
                <w:color w:val="auto"/>
              </w:rPr>
            </w:pPr>
          </w:p>
        </w:tc>
        <w:tc>
          <w:tcPr>
            <w:tcW w:w="9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Total Loans</w:t>
            </w:r>
          </w:p>
        </w:tc>
        <w:tc>
          <w:tcPr>
            <w:tcW w:w="0" w:type="dxa"/>
            <w:vAlign w:val="bottom"/>
          </w:tcPr>
          <w:p>
            <w:pPr>
              <w:spacing w:after="0"/>
              <w:rPr>
                <w:sz w:val="1"/>
                <w:szCs w:val="1"/>
                <w:color w:val="auto"/>
              </w:rPr>
            </w:pPr>
          </w:p>
        </w:tc>
      </w:tr>
      <w:tr>
        <w:trPr>
          <w:trHeight w:val="155"/>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3"/>
              </w:rPr>
              <w:t>Term Loans</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and Leases</w:t>
            </w:r>
          </w:p>
        </w:tc>
        <w:tc>
          <w:tcPr>
            <w:tcW w:w="0" w:type="dxa"/>
            <w:vAlign w:val="bottom"/>
          </w:tcPr>
          <w:p>
            <w:pPr>
              <w:spacing w:after="0"/>
              <w:rPr>
                <w:sz w:val="1"/>
                <w:szCs w:val="1"/>
                <w:color w:val="auto"/>
              </w:rPr>
            </w:pPr>
          </w:p>
        </w:tc>
      </w:tr>
      <w:tr>
        <w:trPr>
          <w:trHeight w:val="128"/>
        </w:trPr>
        <w:tc>
          <w:tcPr>
            <w:tcW w:w="2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Commercial</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Commercial Mortgage</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192,763</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343,134</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684,534</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1,026,804</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584,182</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971,403</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46,674</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3,849,494</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7,702</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43,540</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1,904</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13,111</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66,257</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35,000</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14,829</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27,645</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3,105</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41,791</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122,536</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Commercial Mortgage</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200,631</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378,134</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742,903</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1,056,353</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587,287</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1,026,305</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46,674</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4,038,287</w:t>
            </w:r>
          </w:p>
        </w:tc>
        <w:tc>
          <w:tcPr>
            <w:tcW w:w="0" w:type="dxa"/>
            <w:vAlign w:val="bottom"/>
          </w:tcPr>
          <w:p>
            <w:pPr>
              <w:spacing w:after="0"/>
              <w:rPr>
                <w:sz w:val="1"/>
                <w:szCs w:val="1"/>
                <w:color w:val="auto"/>
              </w:rPr>
            </w:pPr>
          </w:p>
        </w:tc>
      </w:tr>
      <w:tr>
        <w:trPr>
          <w:trHeight w:val="128"/>
        </w:trPr>
        <w:tc>
          <w:tcPr>
            <w:tcW w:w="23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68,485</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348,700</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273,782</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219,931</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142,372</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207,935</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348,894</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1,610,347</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440</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49,343</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49,809</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5,444</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14,846</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2,357</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3,728</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5,492</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11,254</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43,134</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Commercial and Industrial</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73,929</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349,149</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288,628</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222,288</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146,100</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213,453</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409,491</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252</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1,703,290</w:t>
            </w:r>
          </w:p>
        </w:tc>
        <w:tc>
          <w:tcPr>
            <w:tcW w:w="0" w:type="dxa"/>
            <w:vAlign w:val="bottom"/>
          </w:tcPr>
          <w:p>
            <w:pPr>
              <w:spacing w:after="0"/>
              <w:rPr>
                <w:sz w:val="1"/>
                <w:szCs w:val="1"/>
                <w:color w:val="auto"/>
              </w:rPr>
            </w:pPr>
          </w:p>
        </w:tc>
      </w:tr>
      <w:tr>
        <w:trPr>
          <w:trHeight w:val="128"/>
        </w:trPr>
        <w:tc>
          <w:tcPr>
            <w:tcW w:w="23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139</w:t>
            </w:r>
          </w:p>
        </w:tc>
        <w:tc>
          <w:tcPr>
            <w:tcW w:w="280" w:type="dxa"/>
            <w:vAlign w:val="bottom"/>
          </w:tcPr>
          <w:p>
            <w:pPr>
              <w:spacing w:after="0"/>
              <w:rPr>
                <w:sz w:val="11"/>
                <w:szCs w:val="11"/>
                <w:color w:val="auto"/>
              </w:rPr>
            </w:pPr>
          </w:p>
        </w:tc>
        <w:tc>
          <w:tcPr>
            <w:tcW w:w="7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1,260</w:t>
            </w:r>
          </w:p>
        </w:tc>
        <w:tc>
          <w:tcPr>
            <w:tcW w:w="200" w:type="dxa"/>
            <w:vAlign w:val="bottom"/>
          </w:tcPr>
          <w:p>
            <w:pPr>
              <w:spacing w:after="0"/>
              <w:rPr>
                <w:sz w:val="11"/>
                <w:szCs w:val="11"/>
                <w:color w:val="auto"/>
              </w:rPr>
            </w:pP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1,399</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Construction</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9,039</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101,995</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131,833</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96,283</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19,917</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360,942</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2,774</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2,774</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Construction</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9,039</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101,995</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131,833</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99,057</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1,875</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19,917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363,716</w:t>
            </w:r>
          </w:p>
        </w:tc>
        <w:tc>
          <w:tcPr>
            <w:tcW w:w="0" w:type="dxa"/>
            <w:vAlign w:val="bottom"/>
          </w:tcPr>
          <w:p>
            <w:pPr>
              <w:spacing w:after="0"/>
              <w:rPr>
                <w:sz w:val="1"/>
                <w:szCs w:val="1"/>
                <w:color w:val="auto"/>
              </w:rPr>
            </w:pPr>
          </w:p>
        </w:tc>
      </w:tr>
      <w:tr>
        <w:trPr>
          <w:trHeight w:val="128"/>
        </w:trPr>
        <w:tc>
          <w:tcPr>
            <w:tcW w:w="230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Lease Financing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7,296</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48,290</w:t>
            </w:r>
          </w:p>
        </w:tc>
        <w:tc>
          <w:tcPr>
            <w:tcW w:w="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7,597</w:t>
            </w:r>
          </w:p>
        </w:tc>
        <w:tc>
          <w:tcPr>
            <w:tcW w:w="2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8,251</w:t>
            </w:r>
          </w:p>
        </w:tc>
        <w:tc>
          <w:tcPr>
            <w:tcW w:w="2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8,521</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11,517</w:t>
            </w: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91,472</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462</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416</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984</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Lease Financing</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7,296</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48,290</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8,059</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8,284</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8,594</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11,933</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92,456</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30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Total Commercial</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290,895</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877,568</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1,171,423</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1,385,982</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743,856</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1,251,691</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476,082</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252</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6,197,749</w:t>
            </w:r>
          </w:p>
        </w:tc>
        <w:tc>
          <w:tcPr>
            <w:tcW w:w="0" w:type="dxa"/>
            <w:vAlign w:val="bottom"/>
          </w:tcPr>
          <w:p>
            <w:pPr>
              <w:spacing w:after="0"/>
              <w:rPr>
                <w:sz w:val="1"/>
                <w:szCs w:val="1"/>
                <w:color w:val="auto"/>
              </w:rPr>
            </w:pPr>
          </w:p>
        </w:tc>
      </w:tr>
      <w:tr>
        <w:trPr>
          <w:trHeight w:val="116"/>
        </w:trPr>
        <w:tc>
          <w:tcPr>
            <w:tcW w:w="2300" w:type="dxa"/>
            <w:vAlign w:val="bottom"/>
          </w:tcPr>
          <w:p>
            <w:pPr>
              <w:ind w:left="80"/>
              <w:spacing w:after="0" w:line="116" w:lineRule="exact"/>
              <w:rPr>
                <w:sz w:val="20"/>
                <w:szCs w:val="20"/>
                <w:color w:val="auto"/>
              </w:rPr>
            </w:pPr>
            <w:r>
              <w:rPr>
                <w:rFonts w:ascii="Times New Roman" w:cs="Times New Roman" w:eastAsia="Times New Roman" w:hAnsi="Times New Roman"/>
                <w:sz w:val="13"/>
                <w:szCs w:val="13"/>
                <w:color w:val="auto"/>
              </w:rPr>
              <w:t>Total Commercial Gross Charge-Offs</w:t>
            </w:r>
          </w:p>
        </w:tc>
        <w:tc>
          <w:tcPr>
            <w:tcW w:w="120" w:type="dxa"/>
            <w:vAlign w:val="bottom"/>
          </w:tcPr>
          <w:p>
            <w:pPr>
              <w:spacing w:after="0"/>
              <w:rPr>
                <w:sz w:val="10"/>
                <w:szCs w:val="10"/>
                <w:color w:val="auto"/>
              </w:rPr>
            </w:pPr>
          </w:p>
        </w:tc>
        <w:tc>
          <w:tcPr>
            <w:tcW w:w="76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72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139</w:t>
            </w:r>
          </w:p>
        </w:tc>
        <w:tc>
          <w:tcPr>
            <w:tcW w:w="280" w:type="dxa"/>
            <w:vAlign w:val="bottom"/>
          </w:tcPr>
          <w:p>
            <w:pPr>
              <w:spacing w:after="0"/>
              <w:rPr>
                <w:sz w:val="10"/>
                <w:szCs w:val="10"/>
                <w:color w:val="auto"/>
              </w:rPr>
            </w:pPr>
          </w:p>
        </w:tc>
        <w:tc>
          <w:tcPr>
            <w:tcW w:w="70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740" w:type="dxa"/>
            <w:vAlign w:val="bottom"/>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72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74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1,260</w:t>
            </w:r>
          </w:p>
        </w:tc>
        <w:tc>
          <w:tcPr>
            <w:tcW w:w="200" w:type="dxa"/>
            <w:vAlign w:val="bottom"/>
          </w:tcPr>
          <w:p>
            <w:pPr>
              <w:spacing w:after="0"/>
              <w:rPr>
                <w:sz w:val="10"/>
                <w:szCs w:val="10"/>
                <w:color w:val="auto"/>
              </w:rPr>
            </w:pPr>
          </w:p>
        </w:tc>
        <w:tc>
          <w:tcPr>
            <w:tcW w:w="80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84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900" w:type="dxa"/>
            <w:vAlign w:val="bottom"/>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1,399</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Consumer</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Residential Mortgage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88,518</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260,317</w:t>
            </w:r>
          </w:p>
        </w:tc>
        <w:tc>
          <w:tcPr>
            <w:tcW w:w="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268,763</w:t>
            </w:r>
          </w:p>
        </w:tc>
        <w:tc>
          <w:tcPr>
            <w:tcW w:w="2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739,219</w:t>
            </w:r>
          </w:p>
        </w:tc>
        <w:tc>
          <w:tcPr>
            <w:tcW w:w="2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1,166,253</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2,104,068</w:t>
            </w: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4,627,138</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859</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576</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2,303</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Residential Mortgage</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88,518</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260,317</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268,763</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740,078</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1,166,829</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2,106,371</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4,630,876</w:t>
            </w:r>
          </w:p>
        </w:tc>
        <w:tc>
          <w:tcPr>
            <w:tcW w:w="0" w:type="dxa"/>
            <w:vAlign w:val="bottom"/>
          </w:tcPr>
          <w:p>
            <w:pPr>
              <w:spacing w:after="0"/>
              <w:rPr>
                <w:sz w:val="1"/>
                <w:szCs w:val="1"/>
                <w:color w:val="auto"/>
              </w:rPr>
            </w:pPr>
          </w:p>
        </w:tc>
      </w:tr>
      <w:tr>
        <w:trPr>
          <w:trHeight w:val="128"/>
        </w:trPr>
        <w:tc>
          <w:tcPr>
            <w:tcW w:w="23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Home Equity</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2,083,861</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57,532</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2,141,432</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2,992</w:t>
            </w:r>
          </w:p>
        </w:tc>
        <w:tc>
          <w:tcPr>
            <w:tcW w:w="1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531</w:t>
            </w:r>
          </w:p>
        </w:tc>
        <w:tc>
          <w:tcPr>
            <w:tcW w:w="1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3,523</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Home Equity</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2,086,853</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58,063</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2,144,955</w:t>
            </w:r>
          </w:p>
        </w:tc>
        <w:tc>
          <w:tcPr>
            <w:tcW w:w="0" w:type="dxa"/>
            <w:vAlign w:val="bottom"/>
          </w:tcPr>
          <w:p>
            <w:pPr>
              <w:spacing w:after="0"/>
              <w:rPr>
                <w:sz w:val="1"/>
                <w:szCs w:val="1"/>
                <w:color w:val="auto"/>
              </w:rPr>
            </w:pPr>
          </w:p>
        </w:tc>
      </w:tr>
      <w:tr>
        <w:trPr>
          <w:trHeight w:val="128"/>
        </w:trPr>
        <w:tc>
          <w:tcPr>
            <w:tcW w:w="230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35"/>
        </w:trPr>
        <w:tc>
          <w:tcPr>
            <w:tcW w:w="23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Automobile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48,950</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200,325</w:t>
            </w:r>
          </w:p>
        </w:tc>
        <w:tc>
          <w:tcPr>
            <w:tcW w:w="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170,879</w:t>
            </w:r>
          </w:p>
        </w:tc>
        <w:tc>
          <w:tcPr>
            <w:tcW w:w="2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189,019</w:t>
            </w:r>
          </w:p>
        </w:tc>
        <w:tc>
          <w:tcPr>
            <w:tcW w:w="2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82,178</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48,553</w:t>
            </w: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739,904</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486</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Automobile</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48,950</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200,497</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170,966</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189,146</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82,178</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48,653</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740,390</w:t>
            </w:r>
          </w:p>
        </w:tc>
        <w:tc>
          <w:tcPr>
            <w:tcW w:w="0" w:type="dxa"/>
            <w:vAlign w:val="bottom"/>
          </w:tcPr>
          <w:p>
            <w:pPr>
              <w:spacing w:after="0"/>
              <w:rPr>
                <w:sz w:val="1"/>
                <w:szCs w:val="1"/>
                <w:color w:val="auto"/>
              </w:rPr>
            </w:pPr>
          </w:p>
        </w:tc>
      </w:tr>
      <w:tr>
        <w:trPr>
          <w:trHeight w:val="129"/>
        </w:trPr>
        <w:tc>
          <w:tcPr>
            <w:tcW w:w="23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197</w:t>
            </w:r>
          </w:p>
        </w:tc>
        <w:tc>
          <w:tcPr>
            <w:tcW w:w="280" w:type="dxa"/>
            <w:vAlign w:val="bottom"/>
          </w:tcPr>
          <w:p>
            <w:pPr>
              <w:spacing w:after="0"/>
              <w:rPr>
                <w:sz w:val="11"/>
                <w:szCs w:val="11"/>
                <w:color w:val="auto"/>
              </w:rPr>
            </w:pPr>
          </w:p>
        </w:tc>
        <w:tc>
          <w:tcPr>
            <w:tcW w:w="7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617</w:t>
            </w: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490</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26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274</w:t>
            </w:r>
          </w:p>
        </w:tc>
        <w:tc>
          <w:tcPr>
            <w:tcW w:w="200" w:type="dxa"/>
            <w:vAlign w:val="bottom"/>
          </w:tcPr>
          <w:p>
            <w:pPr>
              <w:spacing w:after="0"/>
              <w:rPr>
                <w:sz w:val="11"/>
                <w:szCs w:val="11"/>
                <w:color w:val="auto"/>
              </w:rPr>
            </w:pP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1,751</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46,344</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122,725</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67,133</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87,111</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44,362</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32,192</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543</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400,410</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2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943</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Other</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46,344</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122,880</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67,300</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87,470</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44,483</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32,333</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543</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401,353</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622</w:t>
            </w:r>
          </w:p>
        </w:tc>
        <w:tc>
          <w:tcPr>
            <w:tcW w:w="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638</w:t>
            </w: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655</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365</w:t>
            </w:r>
          </w:p>
        </w:tc>
        <w:tc>
          <w:tcPr>
            <w:tcW w:w="2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204</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2,484</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Total Consumer</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183,812</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583,694</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507,029</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1,016,694</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1,293,490</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2,187,396</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2,087,396</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58,063</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7,917,574</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00" w:type="dxa"/>
            <w:vAlign w:val="bottom"/>
            <w:tcBorders>
              <w:bottom w:val="single" w:sz="8" w:color="auto"/>
            </w:tcBorders>
            <w:shd w:val="clear" w:color="auto" w:fill="CFF0FC"/>
          </w:tcPr>
          <w:p>
            <w:pPr>
              <w:ind w:left="80"/>
              <w:spacing w:after="0" w:line="116" w:lineRule="exact"/>
              <w:rPr>
                <w:sz w:val="20"/>
                <w:szCs w:val="20"/>
                <w:color w:val="auto"/>
              </w:rPr>
            </w:pPr>
            <w:r>
              <w:rPr>
                <w:rFonts w:ascii="Times New Roman" w:cs="Times New Roman" w:eastAsia="Times New Roman" w:hAnsi="Times New Roman"/>
                <w:sz w:val="13"/>
                <w:szCs w:val="13"/>
                <w:color w:val="auto"/>
              </w:rPr>
              <w:t>Total Consumer Gross Charge-Offs</w:t>
            </w:r>
          </w:p>
        </w:tc>
        <w:tc>
          <w:tcPr>
            <w:tcW w:w="120" w:type="dxa"/>
            <w:vAlign w:val="bottom"/>
            <w:tcBorders>
              <w:bottom w:val="single" w:sz="8" w:color="auto"/>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819</w:t>
            </w:r>
          </w:p>
        </w:tc>
        <w:tc>
          <w:tcPr>
            <w:tcW w:w="2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1,255</w:t>
            </w:r>
          </w:p>
        </w:tc>
        <w:tc>
          <w:tcPr>
            <w:tcW w:w="2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1,145</w:t>
            </w:r>
          </w:p>
        </w:tc>
        <w:tc>
          <w:tcPr>
            <w:tcW w:w="26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538</w:t>
            </w:r>
          </w:p>
        </w:tc>
        <w:tc>
          <w:tcPr>
            <w:tcW w:w="26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478</w:t>
            </w:r>
          </w:p>
        </w:tc>
        <w:tc>
          <w:tcPr>
            <w:tcW w:w="20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75</w:t>
            </w:r>
          </w:p>
        </w:tc>
        <w:tc>
          <w:tcPr>
            <w:tcW w:w="180" w:type="dxa"/>
            <w:vAlign w:val="bottom"/>
            <w:tcBorders>
              <w:bottom w:val="single" w:sz="8" w:color="auto"/>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4,310</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Total Loans and Leases</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474,707</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1,461,262</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1,678,452</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2,402,676</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2,037,346</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3,439,087</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2,563,478</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58,315</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14,115,323</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00" w:type="dxa"/>
            <w:vAlign w:val="bottom"/>
            <w:shd w:val="clear" w:color="auto" w:fill="CFF0FC"/>
          </w:tcPr>
          <w:p>
            <w:pPr>
              <w:ind w:left="80"/>
              <w:spacing w:after="0" w:line="116" w:lineRule="exact"/>
              <w:rPr>
                <w:sz w:val="20"/>
                <w:szCs w:val="20"/>
                <w:color w:val="auto"/>
              </w:rPr>
            </w:pPr>
            <w:r>
              <w:rPr>
                <w:rFonts w:ascii="Times New Roman" w:cs="Times New Roman" w:eastAsia="Times New Roman" w:hAnsi="Times New Roman"/>
                <w:sz w:val="13"/>
                <w:szCs w:val="13"/>
                <w:color w:val="auto"/>
              </w:rPr>
              <w:t>Total Gross Charge-Offs</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958</w:t>
            </w:r>
          </w:p>
        </w:tc>
        <w:tc>
          <w:tcPr>
            <w:tcW w:w="2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1,255</w:t>
            </w:r>
          </w:p>
        </w:tc>
        <w:tc>
          <w:tcPr>
            <w:tcW w:w="2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1,145</w:t>
            </w: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538</w:t>
            </w: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1,738</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75</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5,709</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Loans reported as Special Mention and Classified in the 2025 column represent renewal of loans that originated in an earlier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$2.3 million of revolving loans were converted to term loans.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presents by credit quality indicator, loan class, and year of origination, the amortized cost basis of the Company’s loans and leases as of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1</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Revolving</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Converted to</w:t>
            </w:r>
          </w:p>
        </w:tc>
        <w:tc>
          <w:tcPr>
            <w:tcW w:w="180" w:type="dxa"/>
            <w:vAlign w:val="bottom"/>
          </w:tcPr>
          <w:p>
            <w:pPr>
              <w:spacing w:after="0"/>
              <w:rPr>
                <w:sz w:val="11"/>
                <w:szCs w:val="11"/>
                <w:color w:val="auto"/>
              </w:rPr>
            </w:pPr>
          </w:p>
        </w:tc>
        <w:tc>
          <w:tcPr>
            <w:tcW w:w="9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Total Loans</w:t>
            </w:r>
          </w:p>
        </w:tc>
        <w:tc>
          <w:tcPr>
            <w:tcW w:w="0" w:type="dxa"/>
            <w:vAlign w:val="bottom"/>
          </w:tcPr>
          <w:p>
            <w:pPr>
              <w:spacing w:after="0"/>
              <w:rPr>
                <w:sz w:val="1"/>
                <w:szCs w:val="1"/>
                <w:color w:val="auto"/>
              </w:rPr>
            </w:pPr>
          </w:p>
        </w:tc>
      </w:tr>
      <w:tr>
        <w:trPr>
          <w:trHeight w:val="155"/>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3"/>
              </w:rPr>
              <w:t>Term Loans</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and Leases</w:t>
            </w:r>
          </w:p>
        </w:tc>
        <w:tc>
          <w:tcPr>
            <w:tcW w:w="0" w:type="dxa"/>
            <w:vAlign w:val="bottom"/>
          </w:tcPr>
          <w:p>
            <w:pPr>
              <w:spacing w:after="0"/>
              <w:rPr>
                <w:sz w:val="1"/>
                <w:szCs w:val="1"/>
                <w:color w:val="auto"/>
              </w:rPr>
            </w:pPr>
          </w:p>
        </w:tc>
      </w:tr>
      <w:tr>
        <w:trPr>
          <w:trHeight w:val="128"/>
        </w:trPr>
        <w:tc>
          <w:tcPr>
            <w:tcW w:w="2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Commercial</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Commercial Mortgage</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401,415</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687,580</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1,091,627</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596,386</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405,244</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600,386</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48,655</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3,831,293</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47,773</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1,918</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3,348</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2,911</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15,148</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71,098</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35,770</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14,491</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24,420</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3,136</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19,609</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20,805</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118,231</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Commercial Mortgage</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437,185</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749,844</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1,117,965</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602,870</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427,764</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636,339</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48,655</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4,020,622</w:t>
            </w:r>
          </w:p>
        </w:tc>
        <w:tc>
          <w:tcPr>
            <w:tcW w:w="0" w:type="dxa"/>
            <w:vAlign w:val="bottom"/>
          </w:tcPr>
          <w:p>
            <w:pPr>
              <w:spacing w:after="0"/>
              <w:rPr>
                <w:sz w:val="1"/>
                <w:szCs w:val="1"/>
                <w:color w:val="auto"/>
              </w:rPr>
            </w:pPr>
          </w:p>
        </w:tc>
      </w:tr>
      <w:tr>
        <w:trPr>
          <w:trHeight w:val="128"/>
        </w:trPr>
        <w:tc>
          <w:tcPr>
            <w:tcW w:w="23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356,831</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281,168</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236,802</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146,458</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135,158</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79,258</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375,135</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1,611,086</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38,587</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39,054</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325</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15,614</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3,483</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4,831</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6,590</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6,427</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17,716</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54,993</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Commercial and Industrial</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357,623</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296,782</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240,285</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151,289</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141,748</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85,685</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431,438</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283</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1,705,133</w:t>
            </w:r>
          </w:p>
        </w:tc>
        <w:tc>
          <w:tcPr>
            <w:tcW w:w="0" w:type="dxa"/>
            <w:vAlign w:val="bottom"/>
          </w:tcPr>
          <w:p>
            <w:pPr>
              <w:spacing w:after="0"/>
              <w:rPr>
                <w:sz w:val="1"/>
                <w:szCs w:val="1"/>
                <w:color w:val="auto"/>
              </w:rPr>
            </w:pPr>
          </w:p>
        </w:tc>
      </w:tr>
      <w:tr>
        <w:trPr>
          <w:trHeight w:val="128"/>
        </w:trPr>
        <w:tc>
          <w:tcPr>
            <w:tcW w:w="23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362</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282</w:t>
            </w:r>
          </w:p>
        </w:tc>
        <w:tc>
          <w:tcPr>
            <w:tcW w:w="280" w:type="dxa"/>
            <w:vAlign w:val="bottom"/>
          </w:tcPr>
          <w:p>
            <w:pPr>
              <w:spacing w:after="0"/>
              <w:rPr>
                <w:sz w:val="11"/>
                <w:szCs w:val="11"/>
                <w:color w:val="auto"/>
              </w:rPr>
            </w:pPr>
          </w:p>
        </w:tc>
        <w:tc>
          <w:tcPr>
            <w:tcW w:w="7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1,438</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128</w:t>
            </w:r>
          </w:p>
        </w:tc>
        <w:tc>
          <w:tcPr>
            <w:tcW w:w="26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399</w:t>
            </w:r>
          </w:p>
        </w:tc>
        <w:tc>
          <w:tcPr>
            <w:tcW w:w="200" w:type="dxa"/>
            <w:vAlign w:val="bottom"/>
          </w:tcPr>
          <w:p>
            <w:pPr>
              <w:spacing w:after="0"/>
              <w:rPr>
                <w:sz w:val="11"/>
                <w:szCs w:val="11"/>
                <w:color w:val="auto"/>
              </w:rPr>
            </w:pP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2,609</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Construction</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89,334</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110,153</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87,006</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1,689</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1,279</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16,766</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306,227</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2,671</w:t>
            </w: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2,671</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Construction</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89,334</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110,153</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89,677</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1,689</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1,279</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16,766</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308,898</w:t>
            </w:r>
          </w:p>
        </w:tc>
        <w:tc>
          <w:tcPr>
            <w:tcW w:w="0" w:type="dxa"/>
            <w:vAlign w:val="bottom"/>
          </w:tcPr>
          <w:p>
            <w:pPr>
              <w:spacing w:after="0"/>
              <w:rPr>
                <w:sz w:val="1"/>
                <w:szCs w:val="1"/>
                <w:color w:val="auto"/>
              </w:rPr>
            </w:pPr>
          </w:p>
        </w:tc>
      </w:tr>
      <w:tr>
        <w:trPr>
          <w:trHeight w:val="128"/>
        </w:trPr>
        <w:tc>
          <w:tcPr>
            <w:tcW w:w="230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Lease Financing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49,360</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8,174</w:t>
            </w:r>
          </w:p>
        </w:tc>
        <w:tc>
          <w:tcPr>
            <w:tcW w:w="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9,568</w:t>
            </w:r>
          </w:p>
        </w:tc>
        <w:tc>
          <w:tcPr>
            <w:tcW w:w="2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9,751</w:t>
            </w:r>
          </w:p>
        </w:tc>
        <w:tc>
          <w:tcPr>
            <w:tcW w:w="2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5,244</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7,602</w:t>
            </w: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89,699</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491</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386</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1,057</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Lease Financing</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49,360</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8,665</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9,605</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9,832</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5,306</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7,988</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90,756</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30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Total Commercial</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933,502</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1,165,444</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1,457,532</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765,680</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576,097</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730,012</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496,859</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283</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6,125,409</w:t>
            </w:r>
          </w:p>
        </w:tc>
        <w:tc>
          <w:tcPr>
            <w:tcW w:w="0" w:type="dxa"/>
            <w:vAlign w:val="bottom"/>
          </w:tcPr>
          <w:p>
            <w:pPr>
              <w:spacing w:after="0"/>
              <w:rPr>
                <w:sz w:val="1"/>
                <w:szCs w:val="1"/>
                <w:color w:val="auto"/>
              </w:rPr>
            </w:pPr>
          </w:p>
        </w:tc>
      </w:tr>
      <w:tr>
        <w:trPr>
          <w:trHeight w:val="116"/>
        </w:trPr>
        <w:tc>
          <w:tcPr>
            <w:tcW w:w="2300" w:type="dxa"/>
            <w:vAlign w:val="bottom"/>
          </w:tcPr>
          <w:p>
            <w:pPr>
              <w:ind w:left="80"/>
              <w:spacing w:after="0" w:line="116" w:lineRule="exact"/>
              <w:rPr>
                <w:sz w:val="20"/>
                <w:szCs w:val="20"/>
                <w:color w:val="auto"/>
              </w:rPr>
            </w:pPr>
            <w:r>
              <w:rPr>
                <w:rFonts w:ascii="Times New Roman" w:cs="Times New Roman" w:eastAsia="Times New Roman" w:hAnsi="Times New Roman"/>
                <w:sz w:val="13"/>
                <w:szCs w:val="13"/>
                <w:color w:val="auto"/>
              </w:rPr>
              <w:t>Total Commercial Gross Charge-Offs</w:t>
            </w:r>
          </w:p>
        </w:tc>
        <w:tc>
          <w:tcPr>
            <w:tcW w:w="120" w:type="dxa"/>
            <w:vAlign w:val="bottom"/>
          </w:tcPr>
          <w:p>
            <w:pPr>
              <w:spacing w:after="0"/>
              <w:rPr>
                <w:sz w:val="10"/>
                <w:szCs w:val="10"/>
                <w:color w:val="auto"/>
              </w:rPr>
            </w:pPr>
          </w:p>
        </w:tc>
        <w:tc>
          <w:tcPr>
            <w:tcW w:w="76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362</w:t>
            </w:r>
          </w:p>
        </w:tc>
        <w:tc>
          <w:tcPr>
            <w:tcW w:w="260" w:type="dxa"/>
            <w:vAlign w:val="bottom"/>
          </w:tcPr>
          <w:p>
            <w:pPr>
              <w:spacing w:after="0"/>
              <w:rPr>
                <w:sz w:val="10"/>
                <w:szCs w:val="10"/>
                <w:color w:val="auto"/>
              </w:rPr>
            </w:pPr>
          </w:p>
        </w:tc>
        <w:tc>
          <w:tcPr>
            <w:tcW w:w="72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282</w:t>
            </w:r>
          </w:p>
        </w:tc>
        <w:tc>
          <w:tcPr>
            <w:tcW w:w="280" w:type="dxa"/>
            <w:vAlign w:val="bottom"/>
          </w:tcPr>
          <w:p>
            <w:pPr>
              <w:spacing w:after="0"/>
              <w:rPr>
                <w:sz w:val="10"/>
                <w:szCs w:val="10"/>
                <w:color w:val="auto"/>
              </w:rPr>
            </w:pPr>
          </w:p>
        </w:tc>
        <w:tc>
          <w:tcPr>
            <w:tcW w:w="70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740" w:type="dxa"/>
            <w:vAlign w:val="bottom"/>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1,438</w:t>
            </w:r>
          </w:p>
        </w:tc>
        <w:tc>
          <w:tcPr>
            <w:tcW w:w="260" w:type="dxa"/>
            <w:vAlign w:val="bottom"/>
          </w:tcPr>
          <w:p>
            <w:pPr>
              <w:spacing w:after="0"/>
              <w:rPr>
                <w:sz w:val="10"/>
                <w:szCs w:val="10"/>
                <w:color w:val="auto"/>
              </w:rPr>
            </w:pPr>
          </w:p>
        </w:tc>
        <w:tc>
          <w:tcPr>
            <w:tcW w:w="72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128</w:t>
            </w:r>
          </w:p>
        </w:tc>
        <w:tc>
          <w:tcPr>
            <w:tcW w:w="260" w:type="dxa"/>
            <w:vAlign w:val="bottom"/>
          </w:tcPr>
          <w:p>
            <w:pPr>
              <w:spacing w:after="0"/>
              <w:rPr>
                <w:sz w:val="10"/>
                <w:szCs w:val="10"/>
                <w:color w:val="auto"/>
              </w:rPr>
            </w:pPr>
          </w:p>
        </w:tc>
        <w:tc>
          <w:tcPr>
            <w:tcW w:w="74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399</w:t>
            </w:r>
          </w:p>
        </w:tc>
        <w:tc>
          <w:tcPr>
            <w:tcW w:w="200" w:type="dxa"/>
            <w:vAlign w:val="bottom"/>
          </w:tcPr>
          <w:p>
            <w:pPr>
              <w:spacing w:after="0"/>
              <w:rPr>
                <w:sz w:val="10"/>
                <w:szCs w:val="10"/>
                <w:color w:val="auto"/>
              </w:rPr>
            </w:pPr>
          </w:p>
        </w:tc>
        <w:tc>
          <w:tcPr>
            <w:tcW w:w="80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84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900" w:type="dxa"/>
            <w:vAlign w:val="bottom"/>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2,609</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Consumer</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Residential Mortgage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268,330</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271,985</w:t>
            </w:r>
          </w:p>
        </w:tc>
        <w:tc>
          <w:tcPr>
            <w:tcW w:w="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751,920</w:t>
            </w:r>
          </w:p>
        </w:tc>
        <w:tc>
          <w:tcPr>
            <w:tcW w:w="2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1,180,191</w:t>
            </w:r>
          </w:p>
        </w:tc>
        <w:tc>
          <w:tcPr>
            <w:tcW w:w="2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919,280</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1,232,582</w:t>
            </w: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4,624,288</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858</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735</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1,928</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3,995</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Residential Mortgage</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268,330</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271,985</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752,778</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1,180,665</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920,015</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1,234,510</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4,628,283</w:t>
            </w:r>
          </w:p>
        </w:tc>
        <w:tc>
          <w:tcPr>
            <w:tcW w:w="0" w:type="dxa"/>
            <w:vAlign w:val="bottom"/>
          </w:tcPr>
          <w:p>
            <w:pPr>
              <w:spacing w:after="0"/>
              <w:rPr>
                <w:sz w:val="1"/>
                <w:szCs w:val="1"/>
                <w:color w:val="auto"/>
              </w:rPr>
            </w:pPr>
          </w:p>
        </w:tc>
      </w:tr>
      <w:tr>
        <w:trPr>
          <w:trHeight w:val="128"/>
        </w:trPr>
        <w:tc>
          <w:tcPr>
            <w:tcW w:w="23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337</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200" w:type="dxa"/>
            <w:vAlign w:val="bottom"/>
          </w:tcPr>
          <w:p>
            <w:pPr>
              <w:spacing w:after="0"/>
              <w:rPr>
                <w:sz w:val="11"/>
                <w:szCs w:val="11"/>
                <w:color w:val="auto"/>
              </w:rPr>
            </w:pP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385</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Home Equity</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2,105,833</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55,963</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2,161,836</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3,092</w:t>
            </w:r>
          </w:p>
        </w:tc>
        <w:tc>
          <w:tcPr>
            <w:tcW w:w="1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586</w:t>
            </w:r>
          </w:p>
        </w:tc>
        <w:tc>
          <w:tcPr>
            <w:tcW w:w="1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3,678</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Home Equity</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2,108,925</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56,549</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2,165,514</w:t>
            </w:r>
          </w:p>
        </w:tc>
        <w:tc>
          <w:tcPr>
            <w:tcW w:w="0" w:type="dxa"/>
            <w:vAlign w:val="bottom"/>
          </w:tcPr>
          <w:p>
            <w:pPr>
              <w:spacing w:after="0"/>
              <w:rPr>
                <w:sz w:val="1"/>
                <w:szCs w:val="1"/>
                <w:color w:val="auto"/>
              </w:rPr>
            </w:pPr>
          </w:p>
        </w:tc>
      </w:tr>
      <w:tr>
        <w:trPr>
          <w:trHeight w:val="128"/>
        </w:trPr>
        <w:tc>
          <w:tcPr>
            <w:tcW w:w="230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429</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272</w:t>
            </w: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701</w:t>
            </w:r>
          </w:p>
        </w:tc>
        <w:tc>
          <w:tcPr>
            <w:tcW w:w="0" w:type="dxa"/>
            <w:vAlign w:val="bottom"/>
          </w:tcPr>
          <w:p>
            <w:pPr>
              <w:spacing w:after="0"/>
              <w:rPr>
                <w:sz w:val="1"/>
                <w:szCs w:val="1"/>
                <w:color w:val="auto"/>
              </w:rPr>
            </w:pPr>
          </w:p>
        </w:tc>
      </w:tr>
      <w:tr>
        <w:trPr>
          <w:trHeight w:val="135"/>
        </w:trPr>
        <w:tc>
          <w:tcPr>
            <w:tcW w:w="23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Automobile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210,145</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187,136</w:t>
            </w:r>
          </w:p>
        </w:tc>
        <w:tc>
          <w:tcPr>
            <w:tcW w:w="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210,207</w:t>
            </w:r>
          </w:p>
        </w:tc>
        <w:tc>
          <w:tcPr>
            <w:tcW w:w="2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94,492</w:t>
            </w:r>
          </w:p>
        </w:tc>
        <w:tc>
          <w:tcPr>
            <w:tcW w:w="26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34,614</w:t>
            </w:r>
          </w:p>
        </w:tc>
        <w:tc>
          <w:tcPr>
            <w:tcW w:w="2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26,777</w:t>
            </w: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763,371</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154</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775</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Automobile</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210,235</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187,327</w:t>
            </w:r>
          </w:p>
        </w:tc>
        <w:tc>
          <w:tcPr>
            <w:tcW w:w="280" w:type="dxa"/>
            <w:vAlign w:val="bottom"/>
            <w:tcBorders>
              <w:bottom w:val="single" w:sz="8" w:color="auto"/>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210,431</w:t>
            </w:r>
          </w:p>
        </w:tc>
        <w:tc>
          <w:tcPr>
            <w:tcW w:w="28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94,646</w:t>
            </w:r>
          </w:p>
        </w:tc>
        <w:tc>
          <w:tcPr>
            <w:tcW w:w="26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34,671</w:t>
            </w:r>
          </w:p>
        </w:tc>
        <w:tc>
          <w:tcPr>
            <w:tcW w:w="2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26,836</w:t>
            </w:r>
          </w:p>
        </w:tc>
        <w:tc>
          <w:tcPr>
            <w:tcW w:w="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764,146</w:t>
            </w:r>
          </w:p>
        </w:tc>
        <w:tc>
          <w:tcPr>
            <w:tcW w:w="0" w:type="dxa"/>
            <w:vAlign w:val="bottom"/>
          </w:tcPr>
          <w:p>
            <w:pPr>
              <w:spacing w:after="0"/>
              <w:rPr>
                <w:sz w:val="1"/>
                <w:szCs w:val="1"/>
                <w:color w:val="auto"/>
              </w:rPr>
            </w:pPr>
          </w:p>
        </w:tc>
      </w:tr>
      <w:tr>
        <w:trPr>
          <w:trHeight w:val="129"/>
        </w:trPr>
        <w:tc>
          <w:tcPr>
            <w:tcW w:w="23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Pr>
          <w:p>
            <w:pPr>
              <w:spacing w:after="0"/>
              <w:rPr>
                <w:sz w:val="11"/>
                <w:szCs w:val="11"/>
                <w:color w:val="auto"/>
              </w:rPr>
            </w:pPr>
          </w:p>
        </w:tc>
        <w:tc>
          <w:tcPr>
            <w:tcW w:w="7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227</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1,578</w:t>
            </w:r>
          </w:p>
        </w:tc>
        <w:tc>
          <w:tcPr>
            <w:tcW w:w="280" w:type="dxa"/>
            <w:vAlign w:val="bottom"/>
          </w:tcPr>
          <w:p>
            <w:pPr>
              <w:spacing w:after="0"/>
              <w:rPr>
                <w:sz w:val="11"/>
                <w:szCs w:val="11"/>
                <w:color w:val="auto"/>
              </w:rPr>
            </w:pPr>
          </w:p>
        </w:tc>
        <w:tc>
          <w:tcPr>
            <w:tcW w:w="7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1,340</w:t>
            </w: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1,083</w:t>
            </w:r>
          </w:p>
        </w:tc>
        <w:tc>
          <w:tcPr>
            <w:tcW w:w="26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293</w:t>
            </w:r>
          </w:p>
        </w:tc>
        <w:tc>
          <w:tcPr>
            <w:tcW w:w="260" w:type="dxa"/>
            <w:vAlign w:val="bottom"/>
          </w:tcPr>
          <w:p>
            <w:pPr>
              <w:spacing w:after="0"/>
              <w:rPr>
                <w:sz w:val="11"/>
                <w:szCs w:val="11"/>
                <w:color w:val="auto"/>
              </w:rPr>
            </w:pP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821</w:t>
            </w:r>
          </w:p>
        </w:tc>
        <w:tc>
          <w:tcPr>
            <w:tcW w:w="200" w:type="dxa"/>
            <w:vAlign w:val="bottom"/>
          </w:tcPr>
          <w:p>
            <w:pPr>
              <w:spacing w:after="0"/>
              <w:rPr>
                <w:sz w:val="11"/>
                <w:szCs w:val="11"/>
                <w:color w:val="auto"/>
              </w:rPr>
            </w:pPr>
          </w:p>
        </w:tc>
        <w:tc>
          <w:tcPr>
            <w:tcW w:w="8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5,342</w:t>
            </w:r>
          </w:p>
        </w:tc>
        <w:tc>
          <w:tcPr>
            <w:tcW w:w="0" w:type="dxa"/>
            <w:vAlign w:val="bottom"/>
          </w:tcPr>
          <w:p>
            <w:pPr>
              <w:spacing w:after="0"/>
              <w:rPr>
                <w:sz w:val="1"/>
                <w:szCs w:val="1"/>
                <w:color w:val="auto"/>
              </w:rPr>
            </w:pPr>
          </w:p>
        </w:tc>
      </w:tr>
      <w:tr>
        <w:trPr>
          <w:trHeight w:val="135"/>
        </w:trPr>
        <w:tc>
          <w:tcPr>
            <w:tcW w:w="23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133,093</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74,068</w:t>
            </w:r>
          </w:p>
        </w:tc>
        <w:tc>
          <w:tcPr>
            <w:tcW w:w="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96,376</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52,152</w:t>
            </w:r>
          </w:p>
        </w:tc>
        <w:tc>
          <w:tcPr>
            <w:tcW w:w="2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5,149</w:t>
            </w:r>
          </w:p>
        </w:tc>
        <w:tc>
          <w:tcPr>
            <w:tcW w:w="2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30,580</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533</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391,951</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Classified</w:t>
            </w: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246</w:t>
            </w: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677</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Other</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133,144</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74,297</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96,622</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52,235</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5,149</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30,648</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533</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392,628</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Gross Charge-Offs</w:t>
            </w:r>
          </w:p>
        </w:tc>
        <w:tc>
          <w:tcPr>
            <w:tcW w:w="1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1,431</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2,151</w:t>
            </w:r>
          </w:p>
        </w:tc>
        <w:tc>
          <w:tcPr>
            <w:tcW w:w="2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2,901</w:t>
            </w: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1,869</w:t>
            </w:r>
          </w:p>
        </w:tc>
        <w:tc>
          <w:tcPr>
            <w:tcW w:w="2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326</w:t>
            </w:r>
          </w:p>
        </w:tc>
        <w:tc>
          <w:tcPr>
            <w:tcW w:w="2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1,421</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10,099</w:t>
            </w:r>
          </w:p>
        </w:tc>
        <w:tc>
          <w:tcPr>
            <w:tcW w:w="0" w:type="dxa"/>
            <w:vAlign w:val="bottom"/>
          </w:tcPr>
          <w:p>
            <w:pPr>
              <w:spacing w:after="0"/>
              <w:rPr>
                <w:sz w:val="1"/>
                <w:szCs w:val="1"/>
                <w:color w:val="auto"/>
              </w:rPr>
            </w:pPr>
          </w:p>
        </w:tc>
      </w:tr>
      <w:tr>
        <w:trPr>
          <w:trHeight w:val="129"/>
        </w:trPr>
        <w:tc>
          <w:tcPr>
            <w:tcW w:w="23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Total Consumer</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611,709</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533,609</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1,059,831</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1,327,546</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959,835</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1,292,034</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2,109,458</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56,549</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7,950,571</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00" w:type="dxa"/>
            <w:vAlign w:val="bottom"/>
            <w:tcBorders>
              <w:bottom w:val="single" w:sz="8" w:color="auto"/>
            </w:tcBorders>
            <w:shd w:val="clear" w:color="auto" w:fill="CFF0FC"/>
          </w:tcPr>
          <w:p>
            <w:pPr>
              <w:ind w:left="80"/>
              <w:spacing w:after="0" w:line="116" w:lineRule="exact"/>
              <w:rPr>
                <w:sz w:val="20"/>
                <w:szCs w:val="20"/>
                <w:color w:val="auto"/>
              </w:rPr>
            </w:pPr>
            <w:r>
              <w:rPr>
                <w:rFonts w:ascii="Times New Roman" w:cs="Times New Roman" w:eastAsia="Times New Roman" w:hAnsi="Times New Roman"/>
                <w:sz w:val="13"/>
                <w:szCs w:val="13"/>
                <w:color w:val="auto"/>
              </w:rPr>
              <w:t>Total Consumer Gross Charge-Offs</w:t>
            </w:r>
          </w:p>
        </w:tc>
        <w:tc>
          <w:tcPr>
            <w:tcW w:w="120" w:type="dxa"/>
            <w:vAlign w:val="bottom"/>
            <w:tcBorders>
              <w:bottom w:val="single" w:sz="8" w:color="auto"/>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1,658</w:t>
            </w:r>
          </w:p>
        </w:tc>
        <w:tc>
          <w:tcPr>
            <w:tcW w:w="26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3,729</w:t>
            </w:r>
          </w:p>
        </w:tc>
        <w:tc>
          <w:tcPr>
            <w:tcW w:w="2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4,241</w:t>
            </w:r>
          </w:p>
        </w:tc>
        <w:tc>
          <w:tcPr>
            <w:tcW w:w="2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3,289</w:t>
            </w:r>
          </w:p>
        </w:tc>
        <w:tc>
          <w:tcPr>
            <w:tcW w:w="26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619</w:t>
            </w:r>
          </w:p>
        </w:tc>
        <w:tc>
          <w:tcPr>
            <w:tcW w:w="26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2,290</w:t>
            </w:r>
          </w:p>
        </w:tc>
        <w:tc>
          <w:tcPr>
            <w:tcW w:w="20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429</w:t>
            </w:r>
          </w:p>
        </w:tc>
        <w:tc>
          <w:tcPr>
            <w:tcW w:w="180" w:type="dxa"/>
            <w:vAlign w:val="bottom"/>
            <w:tcBorders>
              <w:bottom w:val="single" w:sz="8" w:color="auto"/>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272</w:t>
            </w:r>
          </w:p>
        </w:tc>
        <w:tc>
          <w:tcPr>
            <w:tcW w:w="18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16,527</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Total Loans and Leases</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1,545,211</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1,699,053</w:t>
            </w:r>
          </w:p>
        </w:tc>
        <w:tc>
          <w:tcPr>
            <w:tcW w:w="280" w:type="dxa"/>
            <w:vAlign w:val="bottom"/>
            <w:tcBorders>
              <w:bottom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2,517,363</w:t>
            </w:r>
          </w:p>
        </w:tc>
        <w:tc>
          <w:tcPr>
            <w:tcW w:w="2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2,093,226</w:t>
            </w:r>
          </w:p>
        </w:tc>
        <w:tc>
          <w:tcPr>
            <w:tcW w:w="26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1,535,932</w:t>
            </w:r>
          </w:p>
        </w:tc>
        <w:tc>
          <w:tcPr>
            <w:tcW w:w="2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2,022,046</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2,606,317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56,832</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14,075,980</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00" w:type="dxa"/>
            <w:vAlign w:val="bottom"/>
            <w:shd w:val="clear" w:color="auto" w:fill="CFF0FC"/>
          </w:tcPr>
          <w:p>
            <w:pPr>
              <w:ind w:left="80"/>
              <w:spacing w:after="0" w:line="116" w:lineRule="exact"/>
              <w:rPr>
                <w:sz w:val="20"/>
                <w:szCs w:val="20"/>
                <w:color w:val="auto"/>
              </w:rPr>
            </w:pPr>
            <w:r>
              <w:rPr>
                <w:rFonts w:ascii="Times New Roman" w:cs="Times New Roman" w:eastAsia="Times New Roman" w:hAnsi="Times New Roman"/>
                <w:sz w:val="13"/>
                <w:szCs w:val="13"/>
                <w:color w:val="auto"/>
              </w:rPr>
              <w:t>Total Gross Charge-Offs</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2,020</w:t>
            </w: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4,011</w:t>
            </w:r>
          </w:p>
        </w:tc>
        <w:tc>
          <w:tcPr>
            <w:tcW w:w="2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4,241</w:t>
            </w:r>
          </w:p>
        </w:tc>
        <w:tc>
          <w:tcPr>
            <w:tcW w:w="2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4,727</w:t>
            </w: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747</w:t>
            </w: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2,689</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429</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272</w:t>
            </w: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19,136</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Loans reported as Special Mention or Classified in the 2024 column represent renewal of loans that originated in an earlier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$12.7 million of revolving loans were converted to term loans.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Analysis</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March 31, 2025 and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Total Past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4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10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10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Past Due 90</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00" w:type="dxa"/>
            <w:vAlign w:val="bottom"/>
          </w:tcPr>
          <w:p>
            <w:pPr>
              <w:spacing w:after="0"/>
              <w:rPr>
                <w:sz w:val="12"/>
                <w:szCs w:val="12"/>
                <w:color w:val="auto"/>
              </w:rPr>
            </w:pPr>
          </w:p>
        </w:tc>
        <w:tc>
          <w:tcPr>
            <w:tcW w:w="9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48"/>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00" w:type="dxa"/>
            <w:vAlign w:val="bottom"/>
          </w:tcPr>
          <w:p>
            <w:pPr>
              <w:spacing w:after="0"/>
              <w:rPr>
                <w:sz w:val="12"/>
                <w:szCs w:val="12"/>
                <w:color w:val="auto"/>
              </w:rPr>
            </w:pPr>
          </w:p>
        </w:tc>
        <w:tc>
          <w:tcPr>
            <w:tcW w:w="8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Due and</w:t>
            </w:r>
          </w:p>
        </w:tc>
        <w:tc>
          <w:tcPr>
            <w:tcW w:w="240" w:type="dxa"/>
            <w:vAlign w:val="bottom"/>
          </w:tcPr>
          <w:p>
            <w:pPr>
              <w:spacing w:after="0"/>
              <w:rPr>
                <w:sz w:val="12"/>
                <w:szCs w:val="12"/>
                <w:color w:val="auto"/>
              </w:rPr>
            </w:pPr>
          </w:p>
        </w:tc>
        <w:tc>
          <w:tcPr>
            <w:tcW w:w="8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Leases that</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 or More</w:t>
            </w:r>
          </w:p>
        </w:tc>
        <w:tc>
          <w:tcPr>
            <w:tcW w:w="1080" w:type="dxa"/>
            <w:vAlign w:val="bottom"/>
            <w:tcBorders>
              <w:bottom w:val="single" w:sz="8" w:color="auto"/>
            </w:tcBorders>
            <w:gridSpan w:val="2"/>
            <w:vMerge w:val="continue"/>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are Current</w:t>
            </w: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March 31, 2025</w:t>
            </w:r>
          </w:p>
        </w:tc>
        <w:tc>
          <w:tcPr>
            <w:tcW w:w="6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Commercial Mortgage</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2,602</w:t>
            </w: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4,035,685</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4,038,287</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148"/>
        </w:trPr>
        <w:tc>
          <w:tcPr>
            <w:tcW w:w="2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6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42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4,249</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1,699,041</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1,703,290</w:t>
            </w:r>
          </w:p>
        </w:tc>
        <w:tc>
          <w:tcPr>
            <w:tcW w:w="20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21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6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363,716</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363,716</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Borders>
              <w:bottom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92,456</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92,456</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1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Commercial</w:t>
            </w:r>
          </w:p>
        </w:tc>
        <w:tc>
          <w:tcPr>
            <w:tcW w:w="6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1,095</w:t>
            </w:r>
          </w:p>
        </w:tc>
        <w:tc>
          <w:tcPr>
            <w:tcW w:w="2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4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5,646</w:t>
            </w: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6,851</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6,190,898</w:t>
            </w: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6,197,749</w:t>
            </w:r>
          </w:p>
        </w:tc>
        <w:tc>
          <w:tcPr>
            <w:tcW w:w="2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2,198</w:t>
            </w:r>
          </w:p>
        </w:tc>
        <w:tc>
          <w:tcPr>
            <w:tcW w:w="0" w:type="dxa"/>
            <w:vAlign w:val="bottom"/>
          </w:tcPr>
          <w:p>
            <w:pPr>
              <w:spacing w:after="0"/>
              <w:rPr>
                <w:sz w:val="1"/>
                <w:szCs w:val="1"/>
                <w:color w:val="auto"/>
              </w:rPr>
            </w:pPr>
          </w:p>
        </w:tc>
      </w:tr>
      <w:tr>
        <w:trPr>
          <w:trHeight w:val="142"/>
        </w:trPr>
        <w:tc>
          <w:tcPr>
            <w:tcW w:w="2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6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4,015</w:t>
            </w:r>
          </w:p>
        </w:tc>
        <w:tc>
          <w:tcPr>
            <w:tcW w:w="4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3,895</w:t>
            </w: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4,686</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18,635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4,612,241</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4,630,876</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1,576</w:t>
            </w:r>
          </w:p>
        </w:tc>
        <w:tc>
          <w:tcPr>
            <w:tcW w:w="0" w:type="dxa"/>
            <w:vAlign w:val="bottom"/>
          </w:tcPr>
          <w:p>
            <w:pPr>
              <w:spacing w:after="0"/>
              <w:rPr>
                <w:sz w:val="1"/>
                <w:szCs w:val="1"/>
                <w:color w:val="auto"/>
              </w:rPr>
            </w:pPr>
          </w:p>
        </w:tc>
      </w:tr>
      <w:tr>
        <w:trPr>
          <w:trHeight w:val="148"/>
        </w:trPr>
        <w:tc>
          <w:tcPr>
            <w:tcW w:w="2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6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2,814</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2,623</w:t>
            </w:r>
          </w:p>
        </w:tc>
        <w:tc>
          <w:tcPr>
            <w:tcW w:w="42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2,228</w:t>
            </w:r>
          </w:p>
        </w:tc>
        <w:tc>
          <w:tcPr>
            <w:tcW w:w="38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5,759</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13,424</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2,131,531</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2,144,955</w:t>
            </w:r>
          </w:p>
        </w:tc>
        <w:tc>
          <w:tcPr>
            <w:tcW w:w="20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Automobile</w:t>
            </w:r>
          </w:p>
        </w:tc>
        <w:tc>
          <w:tcPr>
            <w:tcW w:w="6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14,145</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4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16,234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724,156</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740,390</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Borders>
              <w:bottom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2,199</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816</w:t>
            </w: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943</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3,958</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397,395</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401,353</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1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6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25,197</w:t>
            </w:r>
          </w:p>
        </w:tc>
        <w:tc>
          <w:tcPr>
            <w:tcW w:w="2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9,057</w:t>
            </w:r>
          </w:p>
        </w:tc>
        <w:tc>
          <w:tcPr>
            <w:tcW w:w="4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7,552</w:t>
            </w:r>
          </w:p>
        </w:tc>
        <w:tc>
          <w:tcPr>
            <w:tcW w:w="3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10,445</w:t>
            </w: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52,251</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7,865,323</w:t>
            </w: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7,917,574</w:t>
            </w:r>
          </w:p>
        </w:tc>
        <w:tc>
          <w:tcPr>
            <w:tcW w:w="2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2,597</w:t>
            </w:r>
          </w:p>
        </w:tc>
        <w:tc>
          <w:tcPr>
            <w:tcW w:w="0" w:type="dxa"/>
            <w:vAlign w:val="bottom"/>
          </w:tcPr>
          <w:p>
            <w:pPr>
              <w:spacing w:after="0"/>
              <w:rPr>
                <w:sz w:val="1"/>
                <w:szCs w:val="1"/>
                <w:color w:val="auto"/>
              </w:rPr>
            </w:pP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26,292</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9,167</w:t>
            </w:r>
          </w:p>
        </w:tc>
        <w:tc>
          <w:tcPr>
            <w:tcW w:w="4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7,552</w:t>
            </w:r>
          </w:p>
        </w:tc>
        <w:tc>
          <w:tcPr>
            <w:tcW w:w="3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16,091</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59,102</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14,056,221</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14,115,323</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4,795</w:t>
            </w: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6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Commercial Mortgage</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4,018,172</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4,020,622</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6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4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4,627</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4,834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1,700,299</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1,705,133</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6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308,898</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308,898</w:t>
            </w:r>
          </w:p>
        </w:tc>
        <w:tc>
          <w:tcPr>
            <w:tcW w:w="20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Lease Financing</w:t>
            </w:r>
          </w:p>
        </w:tc>
        <w:tc>
          <w:tcPr>
            <w:tcW w:w="6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90,756</w:t>
            </w: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90,756</w:t>
            </w:r>
          </w:p>
        </w:tc>
        <w:tc>
          <w:tcPr>
            <w:tcW w:w="2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w:t>
            </w: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7,077</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7,284</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6,118,125</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6,125,409</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6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6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5,184</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4,174</w:t>
            </w:r>
          </w:p>
        </w:tc>
        <w:tc>
          <w:tcPr>
            <w:tcW w:w="42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3,984</w:t>
            </w:r>
          </w:p>
        </w:tc>
        <w:tc>
          <w:tcPr>
            <w:tcW w:w="38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5,052</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18,394</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4,609,889</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4,628,283</w:t>
            </w:r>
          </w:p>
        </w:tc>
        <w:tc>
          <w:tcPr>
            <w:tcW w:w="20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6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6,109</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2,753</w:t>
            </w:r>
          </w:p>
        </w:tc>
        <w:tc>
          <w:tcPr>
            <w:tcW w:w="4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4,514</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16,221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2,149,293</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2,165,514</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49"/>
        </w:trPr>
        <w:tc>
          <w:tcPr>
            <w:tcW w:w="21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Automobile</w:t>
            </w:r>
          </w:p>
        </w:tc>
        <w:tc>
          <w:tcPr>
            <w:tcW w:w="6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16,443</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42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38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18,880</w:t>
            </w:r>
          </w:p>
        </w:tc>
        <w:tc>
          <w:tcPr>
            <w:tcW w:w="24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745,266</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764,146</w:t>
            </w:r>
          </w:p>
        </w:tc>
        <w:tc>
          <w:tcPr>
            <w:tcW w:w="20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2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4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3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4,318</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388,310</w:t>
            </w: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392,628</w:t>
            </w:r>
          </w:p>
        </w:tc>
        <w:tc>
          <w:tcPr>
            <w:tcW w:w="2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30,301</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9,664</w:t>
            </w: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8,282</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9,566</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57,813</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7,892,758</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7,950,571</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182"/>
        </w:trPr>
        <w:tc>
          <w:tcPr>
            <w:tcW w:w="21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30,391</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9,781</w:t>
            </w:r>
          </w:p>
        </w:tc>
        <w:tc>
          <w:tcPr>
            <w:tcW w:w="420" w:type="dxa"/>
            <w:vAlign w:val="bottom"/>
            <w:tcBorders>
              <w:bottom w:val="single" w:sz="8" w:color="auto"/>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8,282</w:t>
            </w:r>
          </w:p>
        </w:tc>
        <w:tc>
          <w:tcPr>
            <w:tcW w:w="38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16,643</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65,097</w:t>
            </w:r>
          </w:p>
        </w:tc>
        <w:tc>
          <w:tcPr>
            <w:tcW w:w="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14,010,883</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14,075,980</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 and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non-accrual loans and leases as of March 31, 2025 and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0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1160" w:type="dxa"/>
            <w:vAlign w:val="bottom"/>
            <w:gridSpan w:val="2"/>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220" w:type="dxa"/>
            <w:vAlign w:val="bottom"/>
          </w:tcPr>
          <w:p>
            <w:pPr>
              <w:spacing w:after="0"/>
              <w:rPr>
                <w:sz w:val="10"/>
                <w:szCs w:val="10"/>
                <w:color w:val="auto"/>
              </w:rPr>
            </w:pP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Non-</w:t>
            </w:r>
          </w:p>
        </w:tc>
        <w:tc>
          <w:tcPr>
            <w:tcW w:w="120" w:type="dxa"/>
            <w:vAlign w:val="bottom"/>
          </w:tcPr>
          <w:p>
            <w:pPr>
              <w:spacing w:after="0"/>
              <w:rPr>
                <w:sz w:val="10"/>
                <w:szCs w:val="10"/>
                <w:color w:val="auto"/>
              </w:rPr>
            </w:pPr>
          </w:p>
        </w:tc>
        <w:tc>
          <w:tcPr>
            <w:tcW w:w="10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1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160" w:type="dxa"/>
            <w:vAlign w:val="bottom"/>
          </w:tcPr>
          <w:p>
            <w:pPr>
              <w:spacing w:after="0"/>
              <w:rPr>
                <w:sz w:val="10"/>
                <w:szCs w:val="10"/>
                <w:color w:val="auto"/>
              </w:rPr>
            </w:pPr>
          </w:p>
        </w:tc>
        <w:tc>
          <w:tcPr>
            <w:tcW w:w="9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Non-</w:t>
            </w: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Loans with a</w:t>
            </w: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Loans without</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Loans with a</w:t>
            </w: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Loans without</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Related ACL</w:t>
            </w: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 Related ACL</w:t>
            </w:r>
          </w:p>
        </w:tc>
        <w:tc>
          <w:tcPr>
            <w:tcW w:w="11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Accrual Loans</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Related ACL</w:t>
            </w: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 Related ACL</w:t>
            </w:r>
          </w:p>
        </w:tc>
        <w:tc>
          <w:tcPr>
            <w:tcW w:w="11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Accrual Loans</w:t>
            </w:r>
          </w:p>
        </w:tc>
        <w:tc>
          <w:tcPr>
            <w:tcW w:w="0" w:type="dxa"/>
            <w:vAlign w:val="bottom"/>
          </w:tcPr>
          <w:p>
            <w:pPr>
              <w:spacing w:after="0"/>
              <w:rPr>
                <w:sz w:val="1"/>
                <w:szCs w:val="1"/>
                <w:color w:val="auto"/>
              </w:rPr>
            </w:pPr>
          </w:p>
        </w:tc>
      </w:tr>
      <w:tr>
        <w:trPr>
          <w:trHeight w:val="142"/>
        </w:trPr>
        <w:tc>
          <w:tcPr>
            <w:tcW w:w="4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Commercial Mortgage</w:t>
            </w:r>
          </w:p>
        </w:tc>
        <w:tc>
          <w:tcPr>
            <w:tcW w:w="320" w:type="dxa"/>
            <w:vAlign w:val="bottom"/>
          </w:tcPr>
          <w:p>
            <w:pPr>
              <w:jc w:val="right"/>
              <w:ind w:right="16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auto"/>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3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2,534</w:t>
            </w:r>
          </w:p>
        </w:tc>
        <w:tc>
          <w:tcPr>
            <w:tcW w:w="4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2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1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3,695</w:t>
            </w:r>
          </w:p>
        </w:tc>
        <w:tc>
          <w:tcPr>
            <w:tcW w:w="5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1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4,627</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Commercial</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2,534</w:t>
            </w: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3,112</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5,646</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3,695</w:t>
            </w: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3,382</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7,077</w:t>
            </w:r>
          </w:p>
        </w:tc>
        <w:tc>
          <w:tcPr>
            <w:tcW w:w="0" w:type="dxa"/>
            <w:vAlign w:val="bottom"/>
          </w:tcPr>
          <w:p>
            <w:pPr>
              <w:spacing w:after="0"/>
              <w:rPr>
                <w:sz w:val="1"/>
                <w:szCs w:val="1"/>
                <w:color w:val="auto"/>
              </w:rPr>
            </w:pPr>
          </w:p>
        </w:tc>
      </w:tr>
      <w:tr>
        <w:trPr>
          <w:trHeight w:val="142"/>
        </w:trPr>
        <w:tc>
          <w:tcPr>
            <w:tcW w:w="4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32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4,686</w:t>
            </w:r>
          </w:p>
        </w:tc>
        <w:tc>
          <w:tcPr>
            <w:tcW w:w="4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5,052</w:t>
            </w:r>
          </w:p>
        </w:tc>
        <w:tc>
          <w:tcPr>
            <w:tcW w:w="500" w:type="dxa"/>
            <w:vAlign w:val="bottom"/>
          </w:tcPr>
          <w:p>
            <w:pPr>
              <w:spacing w:after="0"/>
              <w:rPr>
                <w:sz w:val="12"/>
                <w:szCs w:val="12"/>
                <w:color w:val="auto"/>
              </w:rPr>
            </w:pPr>
          </w:p>
        </w:tc>
        <w:tc>
          <w:tcPr>
            <w:tcW w:w="7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5,052</w:t>
            </w:r>
          </w:p>
        </w:tc>
        <w:tc>
          <w:tcPr>
            <w:tcW w:w="0" w:type="dxa"/>
            <w:vAlign w:val="bottom"/>
          </w:tcPr>
          <w:p>
            <w:pPr>
              <w:spacing w:after="0"/>
              <w:rPr>
                <w:sz w:val="1"/>
                <w:szCs w:val="1"/>
                <w:color w:val="auto"/>
              </w:rPr>
            </w:pPr>
          </w:p>
        </w:tc>
      </w:tr>
      <w:tr>
        <w:trPr>
          <w:trHeight w:val="149"/>
        </w:trPr>
        <w:tc>
          <w:tcPr>
            <w:tcW w:w="4300" w:type="dxa"/>
            <w:vAlign w:val="bottom"/>
            <w:tcBorders>
              <w:bottom w:val="single" w:sz="8" w:color="auto"/>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3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5,759</w:t>
            </w:r>
          </w:p>
        </w:tc>
        <w:tc>
          <w:tcPr>
            <w:tcW w:w="4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5,759</w:t>
            </w:r>
          </w:p>
        </w:tc>
        <w:tc>
          <w:tcPr>
            <w:tcW w:w="1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4,514</w:t>
            </w:r>
          </w:p>
        </w:tc>
        <w:tc>
          <w:tcPr>
            <w:tcW w:w="5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4,514</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10,445</w:t>
            </w: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10,445</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9,566</w:t>
            </w: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9,566</w:t>
            </w:r>
          </w:p>
        </w:tc>
        <w:tc>
          <w:tcPr>
            <w:tcW w:w="0" w:type="dxa"/>
            <w:vAlign w:val="bottom"/>
          </w:tcPr>
          <w:p>
            <w:pPr>
              <w:spacing w:after="0"/>
              <w:rPr>
                <w:sz w:val="1"/>
                <w:szCs w:val="1"/>
                <w:color w:val="auto"/>
              </w:rPr>
            </w:pPr>
          </w:p>
        </w:tc>
      </w:tr>
      <w:tr>
        <w:trPr>
          <w:trHeight w:val="182"/>
        </w:trPr>
        <w:tc>
          <w:tcPr>
            <w:tcW w:w="430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shd w:val="clear" w:color="auto" w:fill="CFF0FC"/>
          </w:tcPr>
          <w:p>
            <w:pPr>
              <w:jc w:val="right"/>
              <w:ind w:right="16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12,979</w:t>
            </w:r>
          </w:p>
        </w:tc>
        <w:tc>
          <w:tcPr>
            <w:tcW w:w="440" w:type="dxa"/>
            <w:vAlign w:val="bottom"/>
            <w:tcBorders>
              <w:bottom w:val="single" w:sz="8" w:color="auto"/>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3,112</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16,091</w:t>
            </w:r>
          </w:p>
        </w:tc>
        <w:tc>
          <w:tcPr>
            <w:tcW w:w="20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13,261</w:t>
            </w:r>
          </w:p>
        </w:tc>
        <w:tc>
          <w:tcPr>
            <w:tcW w:w="500" w:type="dxa"/>
            <w:vAlign w:val="bottom"/>
            <w:tcBorders>
              <w:bottom w:val="single" w:sz="8" w:color="auto"/>
            </w:tcBorders>
            <w:shd w:val="clear" w:color="auto" w:fill="CFF0FC"/>
          </w:tcPr>
          <w:p>
            <w:pPr>
              <w:jc w:val="right"/>
              <w:ind w:right="20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3,382</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16,643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Payments received while on non-accrual status are normally applied against the principal balance of the loan or lease. Payments may be recognized as income if the full collection of principal and interest is reasonably assured.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to Borrowers Experiencing Financial Difficulty</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Modifications to borrowers experiencing financial difficulty may include interest rate reductions, principal or interest forgiveness, forbearances, term extensions, and other actions intended to minimize economic loss and to avoid foreclosure or repossession of collateral. The following illustrates the most common loan modifications by loan classes offered by the Company:</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227"/>
        </w:trPr>
        <w:tc>
          <w:tcPr>
            <w:tcW w:w="1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Loan Classes</w:t>
            </w:r>
          </w:p>
        </w:tc>
        <w:tc>
          <w:tcPr>
            <w:tcW w:w="8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Modification Types</w:t>
            </w:r>
          </w:p>
        </w:tc>
      </w:tr>
      <w:tr>
        <w:trPr>
          <w:trHeight w:val="175"/>
        </w:trPr>
        <w:tc>
          <w:tcPr>
            <w:tcW w:w="184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auto"/>
              </w:rPr>
              <w:t>Commercial:</w:t>
            </w:r>
          </w:p>
        </w:tc>
        <w:tc>
          <w:tcPr>
            <w:tcW w:w="8260" w:type="dxa"/>
            <w:vAlign w:val="bottom"/>
          </w:tcPr>
          <w:p>
            <w:pPr>
              <w:ind w:left="240"/>
              <w:spacing w:after="0" w:line="176" w:lineRule="exact"/>
              <w:rPr>
                <w:sz w:val="20"/>
                <w:szCs w:val="20"/>
                <w:color w:val="auto"/>
              </w:rPr>
            </w:pPr>
            <w:r>
              <w:rPr>
                <w:rFonts w:ascii="Times New Roman" w:cs="Times New Roman" w:eastAsia="Times New Roman" w:hAnsi="Times New Roman"/>
                <w:sz w:val="17"/>
                <w:szCs w:val="17"/>
                <w:color w:val="auto"/>
              </w:rPr>
              <w:t>Term extension, interest rate reductions, other-than-insignificant payment delay, or combination thereof. These</w:t>
            </w:r>
          </w:p>
        </w:tc>
      </w:tr>
      <w:tr>
        <w:trPr>
          <w:trHeight w:val="203"/>
        </w:trPr>
        <w:tc>
          <w:tcPr>
            <w:tcW w:w="1840" w:type="dxa"/>
            <w:vAlign w:val="bottom"/>
          </w:tcPr>
          <w:p>
            <w:pPr>
              <w:spacing w:after="0"/>
              <w:rPr>
                <w:sz w:val="17"/>
                <w:szCs w:val="17"/>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modifications extend the term of the loan, lower the payment amount, or result in an other-than-insignificant</w:t>
            </w:r>
          </w:p>
        </w:tc>
      </w:tr>
      <w:tr>
        <w:trPr>
          <w:trHeight w:val="203"/>
        </w:trPr>
        <w:tc>
          <w:tcPr>
            <w:tcW w:w="1840" w:type="dxa"/>
            <w:vAlign w:val="bottom"/>
          </w:tcPr>
          <w:p>
            <w:pPr>
              <w:spacing w:after="0"/>
              <w:rPr>
                <w:sz w:val="17"/>
                <w:szCs w:val="17"/>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payment delay during a defined period for the purpose of providing borrowers additional time to return to</w:t>
            </w:r>
          </w:p>
        </w:tc>
      </w:tr>
      <w:tr>
        <w:trPr>
          <w:trHeight w:val="222"/>
        </w:trPr>
        <w:tc>
          <w:tcPr>
            <w:tcW w:w="184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compliance with the original loan term.</w:t>
            </w:r>
          </w:p>
        </w:tc>
      </w:tr>
      <w:tr>
        <w:trPr>
          <w:trHeight w:val="385"/>
        </w:trPr>
        <w:tc>
          <w:tcPr>
            <w:tcW w:w="1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Residential Mortgage/</w:t>
            </w: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Forbearance period greater than six months. These modifications require reduced or no payments during the</w:t>
            </w:r>
          </w:p>
        </w:tc>
      </w:tr>
      <w:tr>
        <w:trPr>
          <w:trHeight w:val="203"/>
        </w:trPr>
        <w:tc>
          <w:tcPr>
            <w:tcW w:w="1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Home Equity:</w:t>
            </w: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forbearance period for the purpose of providing borrowers additional time to return to compliance with the original</w:t>
            </w:r>
          </w:p>
        </w:tc>
      </w:tr>
      <w:tr>
        <w:trPr>
          <w:trHeight w:val="222"/>
        </w:trPr>
        <w:tc>
          <w:tcPr>
            <w:tcW w:w="184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loan term.</w:t>
            </w:r>
          </w:p>
        </w:tc>
      </w:tr>
      <w:tr>
        <w:trPr>
          <w:trHeight w:val="385"/>
        </w:trPr>
        <w:tc>
          <w:tcPr>
            <w:tcW w:w="1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Residential Mortgage/</w:t>
            </w: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extension and rate adjustment. These modifications extend the term of the loan and provide for an adjustment</w:t>
            </w:r>
          </w:p>
        </w:tc>
      </w:tr>
      <w:tr>
        <w:trPr>
          <w:trHeight w:val="222"/>
        </w:trPr>
        <w:tc>
          <w:tcPr>
            <w:tcW w:w="1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Home Equity:</w:t>
            </w: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 the interest rate, which reduces the monthly payment requirement.</w:t>
            </w:r>
          </w:p>
        </w:tc>
      </w:tr>
      <w:tr>
        <w:trPr>
          <w:trHeight w:val="385"/>
        </w:trPr>
        <w:tc>
          <w:tcPr>
            <w:tcW w:w="1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Automobile/</w:t>
            </w: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extension greater than three months. These modifications extend the term of the loan, which reduces the</w:t>
            </w:r>
          </w:p>
        </w:tc>
      </w:tr>
      <w:tr>
        <w:trPr>
          <w:trHeight w:val="222"/>
        </w:trPr>
        <w:tc>
          <w:tcPr>
            <w:tcW w:w="18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Direct Installment:</w:t>
            </w:r>
          </w:p>
        </w:tc>
        <w:tc>
          <w:tcPr>
            <w:tcW w:w="82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monthly payment requirement.</w:t>
            </w:r>
          </w:p>
        </w:tc>
      </w:tr>
    </w:tbl>
    <w:p>
      <w:pPr>
        <w:spacing w:after="0" w:line="200" w:lineRule="exact"/>
        <w:rPr>
          <w:sz w:val="20"/>
          <w:szCs w:val="20"/>
          <w:color w:val="auto"/>
        </w:rPr>
      </w:pP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loan modifications made to borrowers experiencing financial difficulty during three months ended March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80" w:type="dxa"/>
            <w:vAlign w:val="bottom"/>
          </w:tcPr>
          <w:p>
            <w:pPr>
              <w:spacing w:after="0"/>
              <w:rPr>
                <w:sz w:val="12"/>
                <w:szCs w:val="12"/>
                <w:color w:val="auto"/>
              </w:rPr>
            </w:pPr>
          </w:p>
        </w:tc>
        <w:tc>
          <w:tcPr>
            <w:tcW w:w="116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 of Total Class</w:t>
            </w:r>
          </w:p>
        </w:tc>
      </w:tr>
      <w:tr>
        <w:trPr>
          <w:trHeight w:val="138"/>
        </w:trPr>
        <w:tc>
          <w:tcPr>
            <w:tcW w:w="2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73"/>
              <w:spacing w:after="0" w:line="139" w:lineRule="exact"/>
              <w:rPr>
                <w:sz w:val="20"/>
                <w:szCs w:val="20"/>
                <w:color w:val="auto"/>
              </w:rPr>
            </w:pPr>
            <w:r>
              <w:rPr>
                <w:rFonts w:ascii="Times New Roman" w:cs="Times New Roman" w:eastAsia="Times New Roman" w:hAnsi="Times New Roman"/>
                <w:sz w:val="13"/>
                <w:szCs w:val="13"/>
                <w:b w:val="1"/>
                <w:bCs w:val="1"/>
                <w:color w:val="auto"/>
              </w:rPr>
              <w:t>and Term</w:t>
            </w:r>
          </w:p>
        </w:tc>
        <w:tc>
          <w:tcPr>
            <w:tcW w:w="13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and Interest Rate</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of Loans and</w:t>
            </w:r>
          </w:p>
        </w:tc>
      </w:tr>
      <w:tr>
        <w:trPr>
          <w:trHeight w:val="176"/>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3"/>
              <w:spacing w:after="0" w:line="176" w:lineRule="exact"/>
              <w:rPr>
                <w:sz w:val="20"/>
                <w:szCs w:val="20"/>
                <w:color w:val="auto"/>
              </w:rPr>
            </w:pPr>
            <w:r>
              <w:rPr>
                <w:rFonts w:ascii="Times New Roman" w:cs="Times New Roman" w:eastAsia="Times New Roman" w:hAnsi="Times New Roman"/>
                <w:sz w:val="13"/>
                <w:szCs w:val="13"/>
                <w:b w:val="1"/>
                <w:bCs w:val="1"/>
                <w:color w:val="auto"/>
              </w:rPr>
              <w:t>Extension</w:t>
            </w:r>
            <w:r>
              <w:rPr>
                <w:rFonts w:ascii="Times New Roman" w:cs="Times New Roman" w:eastAsia="Times New Roman" w:hAnsi="Times New Roman"/>
                <w:sz w:val="18"/>
                <w:szCs w:val="18"/>
                <w:b w:val="1"/>
                <w:bCs w:val="1"/>
                <w:color w:val="auto"/>
                <w:vertAlign w:val="superscript"/>
              </w:rPr>
              <w:t>1</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Leases</w:t>
            </w:r>
          </w:p>
        </w:tc>
      </w:tr>
      <w:tr>
        <w:trPr>
          <w:trHeight w:val="142"/>
        </w:trPr>
        <w:tc>
          <w:tcPr>
            <w:tcW w:w="2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6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9"/>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Commercial</w:t>
            </w: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27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Mortgage</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2,195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2,195</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0.05%</w:t>
            </w:r>
          </w:p>
        </w:tc>
      </w:tr>
      <w:tr>
        <w:trPr>
          <w:trHeight w:val="142"/>
        </w:trPr>
        <w:tc>
          <w:tcPr>
            <w:tcW w:w="2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Total Commercial</w:t>
            </w:r>
          </w:p>
        </w:tc>
        <w:tc>
          <w:tcPr>
            <w:tcW w:w="6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2,195</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2,195</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0.04%</w:t>
            </w:r>
          </w:p>
        </w:tc>
      </w:tr>
      <w:tr>
        <w:trPr>
          <w:trHeight w:val="142"/>
        </w:trPr>
        <w:tc>
          <w:tcPr>
            <w:tcW w:w="2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Consumer</w:t>
            </w:r>
          </w:p>
        </w:tc>
        <w:tc>
          <w:tcPr>
            <w:tcW w:w="6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8"/>
        </w:trPr>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Residential Mortgage</w:t>
            </w:r>
          </w:p>
        </w:tc>
        <w:tc>
          <w:tcPr>
            <w:tcW w:w="64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tcPr>
          <w:p>
            <w:pPr>
              <w:spacing w:after="0"/>
              <w:rPr>
                <w:sz w:val="12"/>
                <w:szCs w:val="12"/>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72</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r>
      <w:tr>
        <w:trPr>
          <w:trHeight w:val="148"/>
        </w:trPr>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Home Equity</w:t>
            </w:r>
          </w:p>
        </w:tc>
        <w:tc>
          <w:tcPr>
            <w:tcW w:w="6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232</w:t>
            </w: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232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r>
      <w:tr>
        <w:trPr>
          <w:trHeight w:val="149"/>
        </w:trPr>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Automobile</w:t>
            </w:r>
          </w:p>
        </w:tc>
        <w:tc>
          <w:tcPr>
            <w:tcW w:w="64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3,686</w:t>
            </w:r>
          </w:p>
        </w:tc>
        <w:tc>
          <w:tcPr>
            <w:tcW w:w="20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3,686</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w:t>
            </w:r>
          </w:p>
        </w:tc>
      </w:tr>
      <w:tr>
        <w:trPr>
          <w:trHeight w:val="148"/>
        </w:trPr>
        <w:tc>
          <w:tcPr>
            <w:tcW w:w="27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6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642</w:t>
            </w:r>
          </w:p>
        </w:tc>
        <w:tc>
          <w:tcPr>
            <w:tcW w:w="2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642</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142"/>
        </w:trPr>
        <w:tc>
          <w:tcPr>
            <w:tcW w:w="2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Total Consumer</w:t>
            </w:r>
          </w:p>
        </w:tc>
        <w:tc>
          <w:tcPr>
            <w:tcW w:w="6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4,328</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304</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4,632</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0.06%</w:t>
            </w:r>
          </w:p>
        </w:tc>
      </w:tr>
      <w:tr>
        <w:trPr>
          <w:trHeight w:val="182"/>
        </w:trPr>
        <w:tc>
          <w:tcPr>
            <w:tcW w:w="27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Loans and Leases</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4,328</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2,499</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FF0FC"/>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6,827</w:t>
            </w: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0.05%</w:t>
            </w:r>
          </w:p>
        </w:tc>
      </w:tr>
      <w:tr>
        <w:trPr>
          <w:trHeight w:val="129"/>
        </w:trPr>
        <w:tc>
          <w:tcPr>
            <w:tcW w:w="2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4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2024</w:t>
            </w:r>
          </w:p>
        </w:tc>
        <w:tc>
          <w:tcPr>
            <w:tcW w:w="6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8"/>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Commercial</w:t>
            </w: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27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4,841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4,866</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0.29%</w:t>
            </w:r>
          </w:p>
        </w:tc>
      </w:tr>
      <w:tr>
        <w:trPr>
          <w:trHeight w:val="142"/>
        </w:trPr>
        <w:tc>
          <w:tcPr>
            <w:tcW w:w="2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Total Commercial</w:t>
            </w:r>
          </w:p>
        </w:tc>
        <w:tc>
          <w:tcPr>
            <w:tcW w:w="6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4,841</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4,866</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0.08%</w:t>
            </w:r>
          </w:p>
        </w:tc>
      </w:tr>
      <w:tr>
        <w:trPr>
          <w:trHeight w:val="142"/>
        </w:trPr>
        <w:tc>
          <w:tcPr>
            <w:tcW w:w="2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Consumer</w:t>
            </w:r>
          </w:p>
        </w:tc>
        <w:tc>
          <w:tcPr>
            <w:tcW w:w="6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8"/>
        </w:trPr>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Residential Mortgage</w:t>
            </w:r>
          </w:p>
        </w:tc>
        <w:tc>
          <w:tcPr>
            <w:tcW w:w="64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15,261</w:t>
            </w:r>
          </w:p>
        </w:tc>
        <w:tc>
          <w:tcPr>
            <w:tcW w:w="34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15,261</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w:t>
            </w:r>
          </w:p>
        </w:tc>
      </w:tr>
      <w:tr>
        <w:trPr>
          <w:trHeight w:val="149"/>
        </w:trPr>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Home Equity</w:t>
            </w:r>
          </w:p>
        </w:tc>
        <w:tc>
          <w:tcPr>
            <w:tcW w:w="6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610</w:t>
            </w:r>
          </w:p>
        </w:tc>
        <w:tc>
          <w:tcPr>
            <w:tcW w:w="3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610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r>
      <w:tr>
        <w:trPr>
          <w:trHeight w:val="148"/>
        </w:trPr>
        <w:tc>
          <w:tcPr>
            <w:tcW w:w="2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Automobile</w:t>
            </w:r>
          </w:p>
        </w:tc>
        <w:tc>
          <w:tcPr>
            <w:tcW w:w="64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4,314</w:t>
            </w:r>
          </w:p>
        </w:tc>
        <w:tc>
          <w:tcPr>
            <w:tcW w:w="200" w:type="dxa"/>
            <w:vAlign w:val="bottom"/>
          </w:tcPr>
          <w:p>
            <w:pPr>
              <w:spacing w:after="0"/>
              <w:rPr>
                <w:sz w:val="12"/>
                <w:szCs w:val="12"/>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875</w:t>
            </w:r>
          </w:p>
        </w:tc>
        <w:tc>
          <w:tcPr>
            <w:tcW w:w="180" w:type="dxa"/>
            <w:vAlign w:val="bottom"/>
          </w:tcPr>
          <w:p>
            <w:pPr>
              <w:spacing w:after="0"/>
              <w:rPr>
                <w:sz w:val="12"/>
                <w:szCs w:val="12"/>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5,189</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w:t>
            </w:r>
          </w:p>
        </w:tc>
      </w:tr>
      <w:tr>
        <w:trPr>
          <w:trHeight w:val="148"/>
        </w:trPr>
        <w:tc>
          <w:tcPr>
            <w:tcW w:w="27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6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455</w:t>
            </w:r>
          </w:p>
        </w:tc>
        <w:tc>
          <w:tcPr>
            <w:tcW w:w="2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116</w:t>
            </w:r>
          </w:p>
        </w:tc>
        <w:tc>
          <w:tcPr>
            <w:tcW w:w="1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571</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0.14%</w:t>
            </w:r>
          </w:p>
        </w:tc>
      </w:tr>
      <w:tr>
        <w:trPr>
          <w:trHeight w:val="142"/>
        </w:trPr>
        <w:tc>
          <w:tcPr>
            <w:tcW w:w="2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Total Consumer</w:t>
            </w:r>
          </w:p>
        </w:tc>
        <w:tc>
          <w:tcPr>
            <w:tcW w:w="6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4,769</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991</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15,871</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21,631</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0.27%</w:t>
            </w:r>
          </w:p>
        </w:tc>
      </w:tr>
      <w:tr>
        <w:trPr>
          <w:trHeight w:val="182"/>
        </w:trPr>
        <w:tc>
          <w:tcPr>
            <w:tcW w:w="27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Loans and Leases</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4,794</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5,832</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15,871</w:t>
            </w:r>
          </w:p>
        </w:tc>
        <w:tc>
          <w:tcPr>
            <w:tcW w:w="340" w:type="dxa"/>
            <w:vAlign w:val="bottom"/>
            <w:tcBorders>
              <w:bottom w:val="single" w:sz="8" w:color="auto"/>
            </w:tcBorders>
            <w:shd w:val="clear" w:color="auto" w:fill="CFF0FC"/>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26,497</w:t>
            </w: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7047230</wp:posOffset>
            </wp:positionH>
            <wp:positionV relativeFrom="paragraph">
              <wp:posOffset>-2018030</wp:posOffset>
            </wp:positionV>
            <wp:extent cx="102870" cy="218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21844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-826770</wp:posOffset>
            </wp:positionV>
            <wp:extent cx="102870" cy="218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218440"/>
                    </a:xfrm>
                    <a:prstGeom prst="rect">
                      <a:avLst/>
                    </a:prstGeom>
                    <a:noFill/>
                  </pic:spPr>
                </pic:pic>
              </a:graphicData>
            </a:graphic>
          </wp:anchor>
        </w:drawing>
      </w:r>
    </w:p>
    <w:p>
      <w:pPr>
        <w:ind w:left="180" w:hanging="172"/>
        <w:spacing w:after="0"/>
        <w:tabs>
          <w:tab w:leader="none" w:pos="18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forbearance plans.</w:t>
      </w: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 of loan modifications made to borrowers experiencing financial difficulty during the three months ended March 31,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3180" w:type="dxa"/>
            <w:vAlign w:val="bottom"/>
          </w:tcPr>
          <w:p>
            <w:pPr>
              <w:jc w:val="center"/>
              <w:ind w:left="105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75"/>
        </w:trPr>
        <w:tc>
          <w:tcPr>
            <w:tcW w:w="4120" w:type="dxa"/>
            <w:vAlign w:val="bottom"/>
          </w:tcPr>
          <w:p>
            <w:pPr>
              <w:spacing w:after="0"/>
              <w:rPr>
                <w:sz w:val="15"/>
                <w:szCs w:val="15"/>
                <w:color w:val="auto"/>
              </w:rPr>
            </w:pPr>
          </w:p>
        </w:tc>
        <w:tc>
          <w:tcPr>
            <w:tcW w:w="3180" w:type="dxa"/>
            <w:vAlign w:val="bottom"/>
          </w:tcPr>
          <w:p>
            <w:pPr>
              <w:jc w:val="center"/>
              <w:ind w:left="10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Months of Term</w:t>
            </w:r>
          </w:p>
        </w:tc>
        <w:tc>
          <w:tcPr>
            <w:tcW w:w="240" w:type="dxa"/>
            <w:vAlign w:val="bottom"/>
          </w:tcPr>
          <w:p>
            <w:pPr>
              <w:spacing w:after="0"/>
              <w:rPr>
                <w:sz w:val="15"/>
                <w:szCs w:val="15"/>
                <w:color w:val="auto"/>
              </w:rPr>
            </w:pPr>
          </w:p>
        </w:tc>
        <w:tc>
          <w:tcPr>
            <w:tcW w:w="166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20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Weighted-Average Interest</w:t>
            </w:r>
          </w:p>
        </w:tc>
      </w:tr>
      <w:tr>
        <w:trPr>
          <w:trHeight w:val="246"/>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180" w:type="dxa"/>
            <w:vAlign w:val="bottom"/>
            <w:tcBorders>
              <w:bottom w:val="single" w:sz="8" w:color="auto"/>
            </w:tcBorders>
          </w:tcPr>
          <w:p>
            <w:pPr>
              <w:jc w:val="center"/>
              <w:ind w:left="1099"/>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Payment Deferral</w:t>
            </w:r>
            <w:r>
              <w:rPr>
                <w:rFonts w:ascii="Times New Roman" w:cs="Times New Roman" w:eastAsia="Times New Roman" w:hAnsi="Times New Roman"/>
                <w:sz w:val="21"/>
                <w:szCs w:val="21"/>
                <w:b w:val="1"/>
                <w:bCs w:val="1"/>
                <w:color w:val="auto"/>
                <w:vertAlign w:val="superscript"/>
              </w:rPr>
              <w:t>1</w:t>
            </w:r>
          </w:p>
        </w:tc>
        <w:tc>
          <w:tcPr>
            <w:tcW w:w="1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Rate Reduction</w:t>
            </w:r>
          </w:p>
        </w:tc>
        <w:tc>
          <w:tcPr>
            <w:tcW w:w="260" w:type="dxa"/>
            <w:vAlign w:val="bottom"/>
            <w:tcBorders>
              <w:bottom w:val="single" w:sz="8" w:color="auto"/>
            </w:tcBorders>
          </w:tcPr>
          <w:p>
            <w:pPr>
              <w:spacing w:after="0"/>
              <w:rPr>
                <w:sz w:val="21"/>
                <w:szCs w:val="21"/>
                <w:color w:val="auto"/>
              </w:rPr>
            </w:pP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3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Commercial Mortgage</w:t>
            </w:r>
          </w:p>
        </w:tc>
        <w:tc>
          <w:tcPr>
            <w:tcW w:w="3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Residential Mortgage</w:t>
            </w:r>
          </w:p>
        </w:tc>
        <w:tc>
          <w:tcPr>
            <w:tcW w:w="3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0.37</w:t>
            </w:r>
          </w:p>
        </w:tc>
        <w:tc>
          <w:tcPr>
            <w:tcW w:w="260" w:type="dxa"/>
            <w:vAlign w:val="bottom"/>
            <w:shd w:val="clear" w:color="auto" w:fill="CFF0FC"/>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Home Equity</w:t>
            </w:r>
          </w:p>
        </w:tc>
        <w:tc>
          <w:tcPr>
            <w:tcW w:w="3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0.88</w:t>
            </w:r>
          </w:p>
        </w:tc>
        <w:tc>
          <w:tcPr>
            <w:tcW w:w="260" w:type="dxa"/>
            <w:vAlign w:val="bottom"/>
          </w:tcPr>
          <w:p>
            <w:pPr>
              <w:spacing w:after="0"/>
              <w:rPr>
                <w:sz w:val="17"/>
                <w:szCs w:val="17"/>
                <w:color w:val="auto"/>
              </w:rPr>
            </w:pPr>
          </w:p>
        </w:tc>
      </w:tr>
      <w:tr>
        <w:trPr>
          <w:trHeight w:val="203"/>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r>
      <w:tr>
        <w:trPr>
          <w:trHeight w:val="203"/>
        </w:trPr>
        <w:tc>
          <w:tcPr>
            <w:tcW w:w="4120" w:type="dxa"/>
            <w:vAlign w:val="bottom"/>
            <w:shd w:val="clear" w:color="auto" w:fill="CFF0FC"/>
          </w:tcPr>
          <w:p>
            <w:pPr>
              <w:spacing w:after="0"/>
              <w:rPr>
                <w:sz w:val="17"/>
                <w:szCs w:val="17"/>
                <w:color w:val="auto"/>
              </w:rPr>
            </w:pPr>
          </w:p>
        </w:tc>
        <w:tc>
          <w:tcPr>
            <w:tcW w:w="3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Residential Mortgage</w:t>
            </w:r>
          </w:p>
        </w:tc>
        <w:tc>
          <w:tcPr>
            <w:tcW w:w="3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r>
      <w:tr>
        <w:trPr>
          <w:trHeight w:val="203"/>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Home Equity</w:t>
            </w:r>
          </w:p>
        </w:tc>
        <w:tc>
          <w:tcPr>
            <w:tcW w:w="3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r>
      <w:tr>
        <w:trPr>
          <w:trHeight w:val="203"/>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r>
    </w:tbl>
    <w:p>
      <w:pPr>
        <w:ind w:left="180" w:hanging="172"/>
        <w:spacing w:after="0" w:line="226" w:lineRule="auto"/>
        <w:tabs>
          <w:tab w:leader="none" w:pos="1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forbearance plans.</w:t>
      </w:r>
    </w:p>
    <w:p>
      <w:pPr>
        <w:spacing w:after="0" w:line="10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loan modifications made to borrowers experiencing financial difficulty that defaulted during the three months ended March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1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Payment Delay and Term</w:t>
            </w:r>
          </w:p>
        </w:tc>
        <w:tc>
          <w:tcPr>
            <w:tcW w:w="5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(dollars in thousands)</w:t>
            </w:r>
          </w:p>
        </w:tc>
        <w:tc>
          <w:tcPr>
            <w:tcW w:w="1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Term Extension</w:t>
            </w: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24"/>
              <w:spacing w:after="0" w:line="189" w:lineRule="exact"/>
              <w:rPr>
                <w:sz w:val="20"/>
                <w:szCs w:val="20"/>
                <w:color w:val="auto"/>
              </w:rPr>
            </w:pPr>
            <w:r>
              <w:rPr>
                <w:rFonts w:ascii="Times New Roman" w:cs="Times New Roman" w:eastAsia="Times New Roman" w:hAnsi="Times New Roman"/>
                <w:sz w:val="15"/>
                <w:szCs w:val="15"/>
                <w:b w:val="1"/>
                <w:bCs w:val="1"/>
                <w:color w:val="auto"/>
              </w:rPr>
              <w:t>Extension</w:t>
            </w:r>
            <w:r>
              <w:rPr>
                <w:rFonts w:ascii="Times New Roman" w:cs="Times New Roman" w:eastAsia="Times New Roman" w:hAnsi="Times New Roman"/>
                <w:sz w:val="20"/>
                <w:szCs w:val="20"/>
                <w:b w:val="1"/>
                <w:bCs w:val="1"/>
                <w:color w:val="auto"/>
                <w:vertAlign w:val="superscript"/>
              </w:rPr>
              <w:t>1</w:t>
            </w: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55"/>
        </w:trPr>
        <w:tc>
          <w:tcPr>
            <w:tcW w:w="3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Three Months Ended March 31, 2025</w:t>
            </w:r>
          </w:p>
        </w:tc>
        <w:tc>
          <w:tcPr>
            <w:tcW w:w="158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162"/>
        </w:trPr>
        <w:tc>
          <w:tcPr>
            <w:tcW w:w="3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Consumer</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38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Automobile</w:t>
            </w:r>
          </w:p>
        </w:tc>
        <w:tc>
          <w:tcPr>
            <w:tcW w:w="158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717</w:t>
            </w:r>
          </w:p>
        </w:tc>
        <w:tc>
          <w:tcPr>
            <w:tcW w:w="480" w:type="dxa"/>
            <w:vAlign w:val="bottom"/>
            <w:shd w:val="clear" w:color="auto" w:fill="CFF0FC"/>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540" w:type="dxa"/>
            <w:vAlign w:val="bottom"/>
            <w:shd w:val="clear" w:color="auto" w:fill="CFF0FC"/>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744</w:t>
            </w:r>
          </w:p>
        </w:tc>
      </w:tr>
      <w:tr>
        <w:trPr>
          <w:trHeight w:val="162"/>
        </w:trPr>
        <w:tc>
          <w:tcPr>
            <w:tcW w:w="3800" w:type="dxa"/>
            <w:vAlign w:val="bottom"/>
            <w:tcBorders>
              <w:bottom w:val="single" w:sz="8" w:color="auto"/>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200</w:t>
            </w:r>
          </w:p>
        </w:tc>
      </w:tr>
      <w:tr>
        <w:trPr>
          <w:trHeight w:val="156"/>
        </w:trPr>
        <w:tc>
          <w:tcPr>
            <w:tcW w:w="3800" w:type="dxa"/>
            <w:vAlign w:val="bottom"/>
            <w:tcBorders>
              <w:bottom w:val="single" w:sz="8" w:color="auto"/>
            </w:tcBorders>
            <w:shd w:val="clear" w:color="auto" w:fill="CFF0FC"/>
          </w:tcPr>
          <w:p>
            <w:pPr>
              <w:ind w:left="40"/>
              <w:spacing w:after="0" w:line="156" w:lineRule="exact"/>
              <w:rPr>
                <w:sz w:val="20"/>
                <w:szCs w:val="20"/>
                <w:color w:val="auto"/>
              </w:rPr>
            </w:pPr>
            <w:r>
              <w:rPr>
                <w:rFonts w:ascii="Times New Roman" w:cs="Times New Roman" w:eastAsia="Times New Roman" w:hAnsi="Times New Roman"/>
                <w:sz w:val="15"/>
                <w:szCs w:val="15"/>
                <w:color w:val="auto"/>
              </w:rPr>
              <w:t>Total Consumer</w:t>
            </w:r>
          </w:p>
        </w:tc>
        <w:tc>
          <w:tcPr>
            <w:tcW w:w="1580" w:type="dxa"/>
            <w:vAlign w:val="bottom"/>
            <w:tcBorders>
              <w:bottom w:val="single" w:sz="8" w:color="auto"/>
            </w:tcBorders>
            <w:shd w:val="clear" w:color="auto" w:fill="CFF0FC"/>
          </w:tcPr>
          <w:p>
            <w:pPr>
              <w:spacing w:after="0"/>
              <w:rPr>
                <w:sz w:val="13"/>
                <w:szCs w:val="13"/>
                <w:color w:val="auto"/>
              </w:rPr>
            </w:pPr>
          </w:p>
        </w:tc>
        <w:tc>
          <w:tcPr>
            <w:tcW w:w="172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917</w:t>
            </w:r>
          </w:p>
        </w:tc>
        <w:tc>
          <w:tcPr>
            <w:tcW w:w="48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27</w:t>
            </w:r>
          </w:p>
        </w:tc>
        <w:tc>
          <w:tcPr>
            <w:tcW w:w="54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944</w:t>
            </w:r>
          </w:p>
        </w:tc>
      </w:tr>
      <w:tr>
        <w:trPr>
          <w:trHeight w:val="155"/>
        </w:trPr>
        <w:tc>
          <w:tcPr>
            <w:tcW w:w="3800" w:type="dxa"/>
            <w:vAlign w:val="bottom"/>
            <w:tcBorders>
              <w:bottom w:val="single" w:sz="8" w:color="auto"/>
            </w:tcBorders>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Loans and Leases</w:t>
            </w:r>
          </w:p>
        </w:tc>
        <w:tc>
          <w:tcPr>
            <w:tcW w:w="158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917</w:t>
            </w:r>
          </w:p>
        </w:tc>
        <w:tc>
          <w:tcPr>
            <w:tcW w:w="480" w:type="dxa"/>
            <w:vAlign w:val="bottom"/>
            <w:tcBorders>
              <w:bottom w:val="single" w:sz="8" w:color="auto"/>
            </w:tcBorders>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27</w:t>
            </w:r>
          </w:p>
        </w:tc>
        <w:tc>
          <w:tcPr>
            <w:tcW w:w="540" w:type="dxa"/>
            <w:vAlign w:val="bottom"/>
            <w:tcBorders>
              <w:bottom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944</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3"/>
        </w:trPr>
        <w:tc>
          <w:tcPr>
            <w:tcW w:w="380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r>
      <w:tr>
        <w:trPr>
          <w:trHeight w:val="162"/>
        </w:trPr>
        <w:tc>
          <w:tcPr>
            <w:tcW w:w="38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Three Months Ended March 31, 2024</w:t>
            </w: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3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Consumer</w:t>
            </w:r>
          </w:p>
        </w:tc>
        <w:tc>
          <w:tcPr>
            <w:tcW w:w="158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162"/>
        </w:trPr>
        <w:tc>
          <w:tcPr>
            <w:tcW w:w="38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Automobile</w:t>
            </w:r>
          </w:p>
        </w:tc>
        <w:tc>
          <w:tcPr>
            <w:tcW w:w="158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514</w:t>
            </w:r>
          </w:p>
        </w:tc>
        <w:tc>
          <w:tcPr>
            <w:tcW w:w="480" w:type="dxa"/>
            <w:vAlign w:val="bottom"/>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514</w:t>
            </w:r>
          </w:p>
        </w:tc>
      </w:tr>
      <w:tr>
        <w:trPr>
          <w:trHeight w:val="162"/>
        </w:trPr>
        <w:tc>
          <w:tcPr>
            <w:tcW w:w="3800" w:type="dxa"/>
            <w:vAlign w:val="bottom"/>
            <w:tcBorders>
              <w:bottom w:val="single" w:sz="8" w:color="auto"/>
            </w:tcBorders>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580" w:type="dxa"/>
            <w:vAlign w:val="bottom"/>
            <w:tcBorders>
              <w:bottom w:val="single" w:sz="8" w:color="auto"/>
            </w:tcBorders>
            <w:shd w:val="clear" w:color="auto" w:fill="CFF0FC"/>
          </w:tcPr>
          <w:p>
            <w:pPr>
              <w:spacing w:after="0"/>
              <w:rPr>
                <w:sz w:val="14"/>
                <w:szCs w:val="14"/>
                <w:color w:val="auto"/>
              </w:rPr>
            </w:pPr>
          </w:p>
        </w:tc>
        <w:tc>
          <w:tcPr>
            <w:tcW w:w="1720" w:type="dxa"/>
            <w:vAlign w:val="bottom"/>
            <w:tcBorders>
              <w:bottom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253</w:t>
            </w:r>
          </w:p>
        </w:tc>
        <w:tc>
          <w:tcPr>
            <w:tcW w:w="48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253</w:t>
            </w:r>
          </w:p>
        </w:tc>
      </w:tr>
      <w:tr>
        <w:trPr>
          <w:trHeight w:val="155"/>
        </w:trPr>
        <w:tc>
          <w:tcPr>
            <w:tcW w:w="3800" w:type="dxa"/>
            <w:vAlign w:val="bottom"/>
            <w:tcBorders>
              <w:bottom w:val="single" w:sz="8" w:color="auto"/>
            </w:tcBorders>
          </w:tcPr>
          <w:p>
            <w:pPr>
              <w:ind w:left="40"/>
              <w:spacing w:after="0" w:line="156" w:lineRule="exact"/>
              <w:rPr>
                <w:sz w:val="20"/>
                <w:szCs w:val="20"/>
                <w:color w:val="auto"/>
              </w:rPr>
            </w:pPr>
            <w:r>
              <w:rPr>
                <w:rFonts w:ascii="Times New Roman" w:cs="Times New Roman" w:eastAsia="Times New Roman" w:hAnsi="Times New Roman"/>
                <w:sz w:val="15"/>
                <w:szCs w:val="15"/>
                <w:color w:val="auto"/>
              </w:rPr>
              <w:t>Total Consumer</w:t>
            </w:r>
          </w:p>
        </w:tc>
        <w:tc>
          <w:tcPr>
            <w:tcW w:w="15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767</w:t>
            </w:r>
          </w:p>
        </w:tc>
        <w:tc>
          <w:tcPr>
            <w:tcW w:w="4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767</w:t>
            </w:r>
          </w:p>
        </w:tc>
      </w:tr>
      <w:tr>
        <w:trPr>
          <w:trHeight w:val="195"/>
        </w:trPr>
        <w:tc>
          <w:tcPr>
            <w:tcW w:w="3800" w:type="dxa"/>
            <w:vAlign w:val="bottom"/>
            <w:tcBorders>
              <w:bottom w:val="single" w:sz="8" w:color="auto"/>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Loans and Leases</w:t>
            </w:r>
          </w:p>
        </w:tc>
        <w:tc>
          <w:tcPr>
            <w:tcW w:w="158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767</w:t>
            </w:r>
          </w:p>
        </w:tc>
        <w:tc>
          <w:tcPr>
            <w:tcW w:w="480" w:type="dxa"/>
            <w:vAlign w:val="bottom"/>
            <w:tcBorders>
              <w:bottom w:val="single" w:sz="8" w:color="auto"/>
            </w:tcBorders>
            <w:shd w:val="clear" w:color="auto" w:fill="CFF0FC"/>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FF0FC"/>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767</w:t>
            </w:r>
          </w:p>
        </w:tc>
      </w:tr>
    </w:tbl>
    <w:p>
      <w:pPr>
        <w:spacing w:after="0" w:line="1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forbearance plans.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analysis of loans that have been modified in the last 12 months made to borrowers experiencing financial difficulty as of March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340" w:type="dxa"/>
            <w:vAlign w:val="bottom"/>
          </w:tcPr>
          <w:p>
            <w:pPr>
              <w:spacing w:after="0"/>
              <w:rPr>
                <w:sz w:val="13"/>
                <w:szCs w:val="13"/>
                <w:color w:val="auto"/>
              </w:rPr>
            </w:pPr>
          </w:p>
        </w:tc>
        <w:tc>
          <w:tcPr>
            <w:tcW w:w="90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220" w:type="dxa"/>
            <w:vAlign w:val="bottom"/>
          </w:tcPr>
          <w:p>
            <w:pPr>
              <w:spacing w:after="0"/>
              <w:rPr>
                <w:sz w:val="13"/>
                <w:szCs w:val="13"/>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8"/>
              </w:rPr>
              <w:t>Past Due 90</w:t>
            </w:r>
          </w:p>
        </w:tc>
        <w:tc>
          <w:tcPr>
            <w:tcW w:w="12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Non- Accrual</w:t>
            </w:r>
          </w:p>
        </w:tc>
        <w:tc>
          <w:tcPr>
            <w:tcW w:w="320" w:type="dxa"/>
            <w:vAlign w:val="bottom"/>
          </w:tcPr>
          <w:p>
            <w:pPr>
              <w:spacing w:after="0"/>
              <w:rPr>
                <w:sz w:val="13"/>
                <w:szCs w:val="13"/>
                <w:color w:val="auto"/>
              </w:rPr>
            </w:pPr>
          </w:p>
        </w:tc>
        <w:tc>
          <w:tcPr>
            <w:tcW w:w="8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2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Days or More</w:t>
            </w:r>
          </w:p>
        </w:tc>
        <w:tc>
          <w:tcPr>
            <w:tcW w:w="120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Commercial Mortgage</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2,195</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2,195</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Commercial</w:t>
            </w:r>
          </w:p>
        </w:tc>
        <w:tc>
          <w:tcPr>
            <w:tcW w:w="1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2,195</w:t>
            </w: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2,266</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Residential Mortgage</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3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Home Equity</w:t>
            </w:r>
          </w:p>
        </w:tc>
        <w:tc>
          <w:tcPr>
            <w:tcW w:w="1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1,139</w:t>
            </w:r>
          </w:p>
        </w:tc>
        <w:tc>
          <w:tcPr>
            <w:tcW w:w="2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Automobile</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11,943</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1,708</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438</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81</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14,170</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1,771</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Consumer</w:t>
            </w:r>
          </w:p>
        </w:tc>
        <w:tc>
          <w:tcPr>
            <w:tcW w:w="1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14,853</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1,937</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514</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193</w:t>
            </w:r>
          </w:p>
        </w:tc>
        <w:tc>
          <w:tcPr>
            <w:tcW w:w="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17,497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14,914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1,947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193</w:t>
            </w:r>
          </w:p>
        </w:tc>
        <w:tc>
          <w:tcPr>
            <w:tcW w:w="4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2,195</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19,763</w:t>
            </w:r>
          </w:p>
        </w:tc>
        <w:tc>
          <w:tcPr>
            <w:tcW w:w="0" w:type="dxa"/>
            <w:vAlign w:val="bottom"/>
          </w:tcPr>
          <w:p>
            <w:pPr>
              <w:spacing w:after="0"/>
              <w:rPr>
                <w:sz w:val="1"/>
                <w:szCs w:val="1"/>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Commercial Mortgage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4,908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4,908</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6,459</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6,520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Commercial</w:t>
            </w:r>
          </w:p>
        </w:tc>
        <w:tc>
          <w:tcPr>
            <w:tcW w:w="1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11,367</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11,428</w:t>
            </w:r>
          </w:p>
        </w:tc>
        <w:tc>
          <w:tcPr>
            <w:tcW w:w="0" w:type="dxa"/>
            <w:vAlign w:val="bottom"/>
          </w:tcPr>
          <w:p>
            <w:pPr>
              <w:spacing w:after="0"/>
              <w:rPr>
                <w:sz w:val="1"/>
                <w:szCs w:val="1"/>
                <w:color w:val="auto"/>
              </w:rPr>
            </w:pPr>
          </w:p>
        </w:tc>
      </w:tr>
      <w:tr>
        <w:trPr>
          <w:trHeight w:val="19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Residential Mortgage</w:t>
            </w:r>
          </w:p>
        </w:tc>
        <w:tc>
          <w:tcPr>
            <w:tcW w:w="1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15,261</w:t>
            </w:r>
          </w:p>
        </w:tc>
        <w:tc>
          <w:tcPr>
            <w:tcW w:w="2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603</w:t>
            </w:r>
          </w:p>
        </w:tc>
        <w:tc>
          <w:tcPr>
            <w:tcW w:w="3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15,864</w:t>
            </w: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Home Equity</w:t>
            </w: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610</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3"/>
        </w:trPr>
        <w:tc>
          <w:tcPr>
            <w:tcW w:w="3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Automobile</w:t>
            </w:r>
          </w:p>
        </w:tc>
        <w:tc>
          <w:tcPr>
            <w:tcW w:w="1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12,381</w:t>
            </w:r>
          </w:p>
        </w:tc>
        <w:tc>
          <w:tcPr>
            <w:tcW w:w="2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1,265</w:t>
            </w:r>
          </w:p>
        </w:tc>
        <w:tc>
          <w:tcPr>
            <w:tcW w:w="2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w:t>
            </w:r>
          </w:p>
        </w:tc>
        <w:tc>
          <w:tcPr>
            <w:tcW w:w="46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14,025</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1,252</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w:t>
            </w:r>
          </w:p>
        </w:tc>
        <w:tc>
          <w:tcPr>
            <w:tcW w:w="4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1,625</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Consumer</w:t>
            </w:r>
          </w:p>
        </w:tc>
        <w:tc>
          <w:tcPr>
            <w:tcW w:w="1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29,504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1,387</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216</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603</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32,124</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40,871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216</w:t>
            </w:r>
          </w:p>
        </w:tc>
        <w:tc>
          <w:tcPr>
            <w:tcW w:w="460" w:type="dxa"/>
            <w:vAlign w:val="bottom"/>
            <w:tcBorders>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603</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43,552</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Foreclosure Proceedings</w:t>
      </w:r>
    </w:p>
    <w:p>
      <w:pPr>
        <w:spacing w:after="0" w:line="20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Consumer mortgage loans collateralized by residential real estate property (residential mortgage and home equity) that are in the process of foreclosure totaled $8.6 million and $9.6 million as of March 31, 2025 and December 31,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Mortgage Servicing Rights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Company’s portfolio of residential mortgage loans serviced for third parties was $2.4 billion as of March 31, 2025 and $2.5 billion as of December 31, 2024. Substantially all of these loans were originated by the Company and sold to third parties on a non-recourse basis with servicing rights retained. These retained servicing rights are recorded as a servicing asset and are initially recorded at fair value (see Note 12 </w:t>
      </w:r>
      <w:r>
        <w:rPr>
          <w:rFonts w:ascii="Times New Roman" w:cs="Times New Roman" w:eastAsia="Times New Roman" w:hAnsi="Times New Roman"/>
          <w:sz w:val="18"/>
          <w:szCs w:val="18"/>
          <w:i w:val="1"/>
          <w:iCs w:val="1"/>
          <w:color w:val="auto"/>
        </w:rPr>
        <w:t>Fair Value of Assets and Liabilities</w:t>
      </w:r>
      <w:r>
        <w:rPr>
          <w:rFonts w:ascii="Times New Roman" w:cs="Times New Roman" w:eastAsia="Times New Roman" w:hAnsi="Times New Roman"/>
          <w:sz w:val="18"/>
          <w:szCs w:val="18"/>
          <w:color w:val="auto"/>
        </w:rPr>
        <w:t xml:space="preserve"> for more information). Changes to the balance of mortgage servicing rights are recorded in noninterest income under Mortgage Banking in the Company’s unaudited consolidated statements of income.</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$1.3 million and $1.4 million for the three months ended March 31, 2025 and 2024, respectively. Servicing income is recorded in noninterest income under Mortgage Banking in the Company’s unaudited consolidated statements of income. The Company’s residential mortgage investor loan servicing portfolio is primarily comprised of fixed rate loans concentrated in Hawai‘i.</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change in the carrying value of the Company’s mortgage servicing rights accounted for under the fair value measurement method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647</w:t>
            </w:r>
          </w:p>
        </w:tc>
        <w:tc>
          <w:tcPr>
            <w:tcW w:w="4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678</w:t>
            </w:r>
          </w:p>
        </w:tc>
      </w:tr>
      <w:tr>
        <w:trPr>
          <w:trHeight w:val="203"/>
        </w:trPr>
        <w:tc>
          <w:tcPr>
            <w:tcW w:w="5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Change in Fair Value Due to Payoffs</w:t>
            </w:r>
          </w:p>
        </w:tc>
        <w:tc>
          <w:tcPr>
            <w:tcW w:w="2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6"/>
        </w:trPr>
        <w:tc>
          <w:tcPr>
            <w:tcW w:w="5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94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628</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change in the carrying value of the Company’s mortgage servicing rights accounted for under the amortization method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18,552</w:t>
            </w:r>
          </w:p>
        </w:tc>
        <w:tc>
          <w:tcPr>
            <w:tcW w:w="4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20,201</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Servicing Rights that Resulted From Asset Transfers</w:t>
            </w:r>
          </w:p>
        </w:tc>
        <w:tc>
          <w:tcPr>
            <w:tcW w:w="32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86</w:t>
            </w:r>
          </w:p>
        </w:tc>
        <w:tc>
          <w:tcPr>
            <w:tcW w:w="4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r>
      <w:tr>
        <w:trPr>
          <w:trHeight w:val="203"/>
        </w:trPr>
        <w:tc>
          <w:tcPr>
            <w:tcW w:w="77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w:t>
            </w:r>
          </w:p>
        </w:tc>
        <w:tc>
          <w:tcPr>
            <w:tcW w:w="4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196"/>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18,141</w:t>
            </w:r>
          </w:p>
        </w:tc>
        <w:tc>
          <w:tcPr>
            <w:tcW w:w="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19,748</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7"/>
        </w:trPr>
        <w:tc>
          <w:tcPr>
            <w:tcW w:w="776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Fair Value of Mortgage Servicing Rights Accounted for</w:t>
            </w:r>
          </w:p>
        </w:tc>
        <w:tc>
          <w:tcPr>
            <w:tcW w:w="3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218"/>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Under the Amortization Method</w:t>
            </w: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24,989</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26,173</w:t>
            </w: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24,569</w:t>
            </w:r>
          </w:p>
        </w:tc>
        <w:tc>
          <w:tcPr>
            <w:tcW w:w="4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25,649</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key data and assumptions used in estimating the fair value of the Company’s mortgage servicing rights as of March 31, 2025 and December 31, 2024,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4000" w:type="dxa"/>
            <w:vAlign w:val="bottom"/>
          </w:tcPr>
          <w:p>
            <w:pPr>
              <w:ind w:left="24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5500" w:type="dxa"/>
            <w:vAlign w:val="bottom"/>
            <w:tcBorders>
              <w:top w:val="single" w:sz="8" w:color="auto"/>
            </w:tcBorders>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 xml:space="preserve">Weighted-Average Constant Prepayment Rate </w:t>
            </w:r>
            <w:r>
              <w:rPr>
                <w:rFonts w:ascii="Times New Roman" w:cs="Times New Roman" w:eastAsia="Times New Roman" w:hAnsi="Times New Roman"/>
                <w:sz w:val="21"/>
                <w:szCs w:val="21"/>
                <w:color w:val="auto"/>
                <w:vertAlign w:val="superscript"/>
              </w:rPr>
              <w:t>1</w:t>
            </w:r>
          </w:p>
        </w:tc>
        <w:tc>
          <w:tcPr>
            <w:tcW w:w="4000" w:type="dxa"/>
            <w:vAlign w:val="bottom"/>
            <w:tcBorders>
              <w:top w:val="single" w:sz="8" w:color="auto"/>
            </w:tcBorders>
            <w:shd w:val="clear" w:color="auto" w:fill="CFF0FC"/>
          </w:tcPr>
          <w:p>
            <w:pPr>
              <w:ind w:left="3440"/>
              <w:spacing w:after="0"/>
              <w:rPr>
                <w:sz w:val="20"/>
                <w:szCs w:val="20"/>
                <w:color w:val="auto"/>
              </w:rPr>
            </w:pPr>
            <w:r>
              <w:rPr>
                <w:rFonts w:ascii="Times New Roman" w:cs="Times New Roman" w:eastAsia="Times New Roman" w:hAnsi="Times New Roman"/>
                <w:sz w:val="16"/>
                <w:szCs w:val="16"/>
                <w:color w:val="auto"/>
              </w:rPr>
              <w:t>4.12%</w:t>
            </w:r>
          </w:p>
        </w:tc>
        <w:tc>
          <w:tcPr>
            <w:tcW w:w="1740" w:type="dxa"/>
            <w:vAlign w:val="bottom"/>
            <w:tcBorders>
              <w:top w:val="single" w:sz="8" w:color="auto"/>
            </w:tcBorders>
            <w:shd w:val="clear" w:color="auto" w:fill="CFF0FC"/>
          </w:tcPr>
          <w:p>
            <w:pPr>
              <w:ind w:left="1320"/>
              <w:spacing w:after="0"/>
              <w:rPr>
                <w:sz w:val="20"/>
                <w:szCs w:val="20"/>
                <w:color w:val="auto"/>
              </w:rPr>
            </w:pPr>
            <w:r>
              <w:rPr>
                <w:rFonts w:ascii="Times New Roman" w:cs="Times New Roman" w:eastAsia="Times New Roman" w:hAnsi="Times New Roman"/>
                <w:sz w:val="16"/>
                <w:szCs w:val="16"/>
                <w:color w:val="auto"/>
                <w:w w:val="96"/>
              </w:rPr>
              <w:t>4.00%</w:t>
            </w:r>
          </w:p>
        </w:tc>
        <w:tc>
          <w:tcPr>
            <w:tcW w:w="20" w:type="dxa"/>
            <w:vAlign w:val="bottom"/>
          </w:tcPr>
          <w:p>
            <w:pPr>
              <w:spacing w:after="0"/>
              <w:rPr>
                <w:sz w:val="17"/>
                <w:szCs w:val="17"/>
                <w:color w:val="auto"/>
              </w:rPr>
            </w:pP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Life (in years)</w:t>
            </w:r>
          </w:p>
        </w:tc>
        <w:tc>
          <w:tcPr>
            <w:tcW w:w="4000" w:type="dxa"/>
            <w:vAlign w:val="bottom"/>
          </w:tcPr>
          <w:p>
            <w:pPr>
              <w:ind w:left="3440"/>
              <w:spacing w:after="0"/>
              <w:rPr>
                <w:sz w:val="20"/>
                <w:szCs w:val="20"/>
                <w:color w:val="auto"/>
              </w:rPr>
            </w:pPr>
            <w:r>
              <w:rPr>
                <w:rFonts w:ascii="Times New Roman" w:cs="Times New Roman" w:eastAsia="Times New Roman" w:hAnsi="Times New Roman"/>
                <w:sz w:val="16"/>
                <w:szCs w:val="16"/>
                <w:color w:val="auto"/>
              </w:rPr>
              <w:t>9.14</w:t>
            </w:r>
          </w:p>
        </w:tc>
        <w:tc>
          <w:tcPr>
            <w:tcW w:w="17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9.28</w:t>
            </w:r>
          </w:p>
        </w:tc>
        <w:tc>
          <w:tcPr>
            <w:tcW w:w="20" w:type="dxa"/>
            <w:vAlign w:val="bottom"/>
          </w:tcPr>
          <w:p>
            <w:pPr>
              <w:spacing w:after="0"/>
              <w:rPr>
                <w:sz w:val="17"/>
                <w:szCs w:val="17"/>
                <w:color w:val="auto"/>
              </w:rPr>
            </w:pPr>
          </w:p>
        </w:tc>
      </w:tr>
      <w:tr>
        <w:trPr>
          <w:trHeight w:val="20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Note Rate</w:t>
            </w:r>
          </w:p>
        </w:tc>
        <w:tc>
          <w:tcPr>
            <w:tcW w:w="400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6"/>
                <w:szCs w:val="16"/>
                <w:color w:val="auto"/>
              </w:rPr>
              <w:t>3.75%</w:t>
            </w:r>
          </w:p>
        </w:tc>
        <w:tc>
          <w:tcPr>
            <w:tcW w:w="174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6"/>
                <w:szCs w:val="16"/>
                <w:color w:val="auto"/>
                <w:w w:val="96"/>
              </w:rPr>
              <w:t>3.74%</w:t>
            </w:r>
          </w:p>
        </w:tc>
        <w:tc>
          <w:tcPr>
            <w:tcW w:w="20" w:type="dxa"/>
            <w:vAlign w:val="bottom"/>
          </w:tcPr>
          <w:p>
            <w:pPr>
              <w:spacing w:after="0"/>
              <w:rPr>
                <w:sz w:val="17"/>
                <w:szCs w:val="17"/>
                <w:color w:val="auto"/>
              </w:rPr>
            </w:pPr>
          </w:p>
        </w:tc>
      </w:tr>
      <w:tr>
        <w:trPr>
          <w:trHeight w:val="26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2</w:t>
            </w:r>
          </w:p>
        </w:tc>
        <w:tc>
          <w:tcPr>
            <w:tcW w:w="4000" w:type="dxa"/>
            <w:vAlign w:val="bottom"/>
          </w:tcPr>
          <w:p>
            <w:pPr>
              <w:ind w:left="3440"/>
              <w:spacing w:after="0"/>
              <w:rPr>
                <w:sz w:val="20"/>
                <w:szCs w:val="20"/>
                <w:color w:val="auto"/>
              </w:rPr>
            </w:pPr>
            <w:r>
              <w:rPr>
                <w:rFonts w:ascii="Times New Roman" w:cs="Times New Roman" w:eastAsia="Times New Roman" w:hAnsi="Times New Roman"/>
                <w:sz w:val="16"/>
                <w:szCs w:val="16"/>
                <w:color w:val="auto"/>
              </w:rPr>
              <w:t>9.64%</w:t>
            </w:r>
          </w:p>
        </w:tc>
        <w:tc>
          <w:tcPr>
            <w:tcW w:w="1740" w:type="dxa"/>
            <w:vAlign w:val="bottom"/>
          </w:tcPr>
          <w:p>
            <w:pPr>
              <w:ind w:left="1320"/>
              <w:spacing w:after="0"/>
              <w:rPr>
                <w:sz w:val="20"/>
                <w:szCs w:val="20"/>
                <w:color w:val="auto"/>
              </w:rPr>
            </w:pPr>
            <w:r>
              <w:rPr>
                <w:rFonts w:ascii="Times New Roman" w:cs="Times New Roman" w:eastAsia="Times New Roman" w:hAnsi="Times New Roman"/>
                <w:sz w:val="16"/>
                <w:szCs w:val="16"/>
                <w:color w:val="auto"/>
                <w:w w:val="96"/>
              </w:rPr>
              <w:t>9.92%</w:t>
            </w:r>
          </w:p>
        </w:tc>
        <w:tc>
          <w:tcPr>
            <w:tcW w:w="20" w:type="dxa"/>
            <w:vAlign w:val="bottom"/>
          </w:tcPr>
          <w:p>
            <w:pPr>
              <w:spacing w:after="0"/>
              <w:rPr>
                <w:sz w:val="22"/>
                <w:szCs w:val="22"/>
                <w:color w:val="auto"/>
              </w:rPr>
            </w:pPr>
          </w:p>
        </w:tc>
      </w:tr>
    </w:tbl>
    <w:p>
      <w:pPr>
        <w:ind w:left="180" w:hanging="172"/>
        <w:spacing w:after="0" w:line="182" w:lineRule="auto"/>
        <w:tabs>
          <w:tab w:leader="none" w:pos="18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annualized loan prepayment rate assumption.</w:t>
      </w:r>
    </w:p>
    <w:p>
      <w:pPr>
        <w:ind w:left="180" w:hanging="172"/>
        <w:spacing w:after="0" w:line="189"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Derived from multiple interest rate scenarios that incorporate a spread to a market yield curve and market volatilities.</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sensitivity analysis of the Company’s fair value of mortgage servicing rights to changes in certain key assumptions as of March 31, 2025 and December 31, 2024, is presented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7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Constant Prepayment Rate</w:t>
            </w:r>
          </w:p>
        </w:tc>
        <w:tc>
          <w:tcPr>
            <w:tcW w:w="17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03"/>
        </w:trPr>
        <w:tc>
          <w:tcPr>
            <w:tcW w:w="6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fair value from 25 basis points (“bps”) adverse change</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03"/>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7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(598)</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 in fair value from 25 bps adverse change</w:t>
            </w:r>
          </w:p>
        </w:tc>
        <w:tc>
          <w:tcPr>
            <w:tcW w:w="17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(278)</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0"/>
        </w:trPr>
        <w:tc>
          <w:tcPr>
            <w:tcW w:w="6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780" w:type="dxa"/>
            <w:vAlign w:val="bottom"/>
          </w:tcPr>
          <w:p>
            <w:pPr>
              <w:spacing w:after="0"/>
              <w:rPr>
                <w:sz w:val="18"/>
                <w:szCs w:val="18"/>
                <w:color w:val="auto"/>
              </w:rPr>
            </w:pP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(551)</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bl>
    <w:p>
      <w:pPr>
        <w:spacing w:after="0" w:line="190"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Affordable Housing Projects Tax Credit Partnerships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makes equity investments in various limited partnerships or limited liability companies that sponsor affordable housing projects utilizing the Low-Income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is a limited partner or non-managing member in each LIHTC limited partnership or limited liability company, respectively. Each of these entities is managed by an unrelated third-party general partner or managing member who exercises</w:t>
      </w:r>
    </w:p>
    <w:p>
      <w:pPr>
        <w:sectPr>
          <w:pgSz w:w="11900" w:h="16838" w:orient="portrait"/>
          <w:cols w:equalWidth="0" w:num="1">
            <w:col w:w="11240"/>
          </w:cols>
          <w:pgMar w:left="320" w:top="117"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6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including the related unfunded commitments were $232.4 million and $233.2 million as of March 31, 2025 and December 31, 2024, respectively, and are included in Other Assets in the unaudited consolidated statements of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expected payments for unfunded affordable housing commitments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9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39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47,380</w:t>
            </w:r>
          </w:p>
        </w:tc>
      </w:tr>
      <w:tr>
        <w:trPr>
          <w:trHeight w:val="202"/>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94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61,293</w:t>
            </w:r>
          </w:p>
        </w:tc>
      </w:tr>
      <w:tr>
        <w:trPr>
          <w:trHeight w:val="20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39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1,871</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394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r>
      <w:tr>
        <w:trPr>
          <w:trHeight w:val="20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39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235</w:t>
            </w:r>
          </w:p>
        </w:tc>
      </w:tr>
      <w:tr>
        <w:trPr>
          <w:trHeight w:val="20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39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13,746</w:t>
            </w:r>
          </w:p>
        </w:tc>
      </w:tr>
      <w:tr>
        <w:trPr>
          <w:trHeight w:val="236"/>
        </w:trPr>
        <w:tc>
          <w:tcPr>
            <w:tcW w:w="5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394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124,794</w:t>
            </w: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tax credits and other tax benefits recognized and amortization expense related to affordable housing for the three months ended March 31,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Yield Method</w:t>
            </w:r>
          </w:p>
        </w:tc>
        <w:tc>
          <w:tcPr>
            <w:tcW w:w="16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0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2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533</w:t>
            </w:r>
          </w:p>
        </w:tc>
        <w:tc>
          <w:tcPr>
            <w:tcW w:w="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1,137</w:t>
            </w:r>
          </w:p>
        </w:tc>
      </w:tr>
      <w:tr>
        <w:trPr>
          <w:trHeight w:val="203"/>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16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557</w:t>
            </w:r>
          </w:p>
        </w:tc>
        <w:tc>
          <w:tcPr>
            <w:tcW w:w="6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1,119</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Proportional Amortization Method</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21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8,844</w:t>
            </w:r>
          </w:p>
        </w:tc>
        <w:tc>
          <w:tcPr>
            <w:tcW w:w="6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6,210</w:t>
            </w:r>
          </w:p>
        </w:tc>
      </w:tr>
      <w:tr>
        <w:trPr>
          <w:trHeight w:val="210"/>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7,491</w:t>
            </w:r>
          </w:p>
        </w:tc>
        <w:tc>
          <w:tcPr>
            <w:tcW w:w="60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5,348</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related to LIHTC investments during the three months ended March 31, 2025 and 2024.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Securities Sold Under Agreements to Repurchase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remaining contractual maturities of the Company’s repurchase agreements as of March 31,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Remaining Contractual Maturity of Repurchase Agreements</w:t>
            </w:r>
          </w:p>
        </w:tc>
        <w:tc>
          <w:tcPr>
            <w:tcW w:w="900" w:type="dxa"/>
            <w:vAlign w:val="bottom"/>
            <w:tcBorders>
              <w:bottom w:val="single" w:sz="8" w:color="auto"/>
            </w:tcBorders>
          </w:tcPr>
          <w:p>
            <w:pPr>
              <w:spacing w:after="0"/>
              <w:rPr>
                <w:sz w:val="18"/>
                <w:szCs w:val="18"/>
                <w:color w:val="auto"/>
              </w:rPr>
            </w:pPr>
          </w:p>
        </w:tc>
      </w:tr>
      <w:tr>
        <w:trPr>
          <w:trHeight w:val="202"/>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Up to 90 days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91-365 days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2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After 3 Years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48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4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10"/>
        </w:trPr>
        <w:tc>
          <w:tcPr>
            <w:tcW w:w="5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50,064</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49,936</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r>
    </w:tbl>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presents the assets and liabilities subject to an enforceable master netting arrangement, or repurchase agreements as of March 31, 2025 and December 31, 2024. The Company has swap agreements with commercial banking customers that are not subject to an enforceable master netting arrangement, and therefore, are excluded from this table. Interest rate swaps that are designated as fair value hedges between the Company and institutional counterparties are also excluded from this table.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on swap agreements.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2"/>
              </w:rPr>
              <w:t>(i)</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1"/>
              </w:rPr>
              <w:t>(ii)</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(iii) = (i)-(ii)</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(iv)</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 = (iii)-(iv)</w:t>
            </w:r>
          </w:p>
        </w:tc>
      </w:tr>
      <w:tr>
        <w:trPr>
          <w:trHeight w:val="183"/>
        </w:trPr>
        <w:tc>
          <w:tcPr>
            <w:tcW w:w="2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2"/>
        </w:trPr>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Statements of Condition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6"/>
        </w:trPr>
        <w:tc>
          <w:tcPr>
            <w:tcW w:w="2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120" w:type="dxa"/>
            <w:vAlign w:val="bottom"/>
          </w:tcPr>
          <w:p>
            <w:pPr>
              <w:spacing w:after="0"/>
              <w:rPr>
                <w:sz w:val="16"/>
                <w:szCs w:val="16"/>
                <w:color w:val="auto"/>
              </w:rPr>
            </w:pPr>
          </w:p>
        </w:tc>
        <w:tc>
          <w:tcPr>
            <w:tcW w:w="13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22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2460" w:type="dxa"/>
            <w:vAlign w:val="bottom"/>
          </w:tcPr>
          <w:p>
            <w:pPr>
              <w:spacing w:after="0"/>
              <w:rPr>
                <w:sz w:val="17"/>
                <w:szCs w:val="17"/>
                <w:color w:val="auto"/>
              </w:rPr>
            </w:pPr>
          </w:p>
        </w:tc>
        <w:tc>
          <w:tcPr>
            <w:tcW w:w="174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Recognized in the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Offset in the</w:t>
            </w:r>
          </w:p>
        </w:tc>
        <w:tc>
          <w:tcPr>
            <w:tcW w:w="120" w:type="dxa"/>
            <w:vAlign w:val="bottom"/>
          </w:tcPr>
          <w:p>
            <w:pPr>
              <w:spacing w:after="0"/>
              <w:rPr>
                <w:sz w:val="17"/>
                <w:szCs w:val="17"/>
                <w:color w:val="auto"/>
              </w:rPr>
            </w:pPr>
          </w:p>
        </w:tc>
        <w:tc>
          <w:tcPr>
            <w:tcW w:w="132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Presented in the</w:t>
            </w:r>
          </w:p>
        </w:tc>
        <w:tc>
          <w:tcPr>
            <w:tcW w:w="1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Adjustments per</w:t>
            </w:r>
          </w:p>
        </w:tc>
        <w:tc>
          <w:tcPr>
            <w:tcW w:w="160" w:type="dxa"/>
            <w:vAlign w:val="bottom"/>
          </w:tcPr>
          <w:p>
            <w:pPr>
              <w:spacing w:after="0"/>
              <w:rPr>
                <w:sz w:val="17"/>
                <w:szCs w:val="17"/>
                <w:color w:val="auto"/>
              </w:rPr>
            </w:pPr>
          </w:p>
        </w:tc>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1"/>
        </w:trPr>
        <w:tc>
          <w:tcPr>
            <w:tcW w:w="2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120" w:type="dxa"/>
            <w:vAlign w:val="bottom"/>
          </w:tcPr>
          <w:p>
            <w:pPr>
              <w:spacing w:after="0"/>
              <w:rPr>
                <w:sz w:val="16"/>
                <w:szCs w:val="16"/>
                <w:color w:val="auto"/>
              </w:rPr>
            </w:pPr>
          </w:p>
        </w:tc>
        <w:tc>
          <w:tcPr>
            <w:tcW w:w="140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Master Netting</w:t>
            </w:r>
          </w:p>
        </w:tc>
        <w:tc>
          <w:tcPr>
            <w:tcW w:w="160" w:type="dxa"/>
            <w:vAlign w:val="bottom"/>
          </w:tcPr>
          <w:p>
            <w:pPr>
              <w:spacing w:after="0"/>
              <w:rPr>
                <w:sz w:val="16"/>
                <w:szCs w:val="16"/>
                <w:color w:val="auto"/>
              </w:rPr>
            </w:pPr>
          </w:p>
        </w:tc>
        <w:tc>
          <w:tcPr>
            <w:tcW w:w="10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Pledged/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Condition</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Condition</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Condition</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Arrangements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9"/>
              <w:spacing w:after="0" w:line="230" w:lineRule="exact"/>
              <w:rPr>
                <w:sz w:val="20"/>
                <w:szCs w:val="20"/>
                <w:color w:val="auto"/>
              </w:rPr>
            </w:pPr>
            <w:r>
              <w:rPr>
                <w:rFonts w:ascii="Times New Roman" w:cs="Times New Roman" w:eastAsia="Times New Roman" w:hAnsi="Times New Roman"/>
                <w:sz w:val="16"/>
                <w:szCs w:val="16"/>
                <w:b w:val="1"/>
                <w:bCs w:val="1"/>
                <w:color w:val="auto"/>
                <w:w w:val="99"/>
              </w:rPr>
              <w:t xml:space="preserve">Received </w:t>
            </w:r>
            <w:r>
              <w:rPr>
                <w:rFonts w:ascii="Times New Roman" w:cs="Times New Roman" w:eastAsia="Times New Roman" w:hAnsi="Times New Roman"/>
                <w:sz w:val="21"/>
                <w:szCs w:val="21"/>
                <w:color w:val="auto"/>
                <w:w w:val="99"/>
                <w:vertAlign w:val="superscript"/>
              </w:rPr>
              <w:t>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Amount</w:t>
            </w: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110,323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110,323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9,810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100,513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9,810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9,810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9,810</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Private Institutions</w:t>
            </w:r>
          </w:p>
        </w:tc>
        <w:tc>
          <w:tcPr>
            <w:tcW w:w="3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Total Repurchase Agreements</w:t>
            </w:r>
          </w:p>
        </w:tc>
        <w:tc>
          <w:tcPr>
            <w:tcW w:w="4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141,571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141,571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5,446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136,125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5,446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5,446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5,446</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Private Institutions</w:t>
            </w:r>
          </w:p>
        </w:tc>
        <w:tc>
          <w:tcPr>
            <w:tcW w:w="3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Total Repurchase Agreements</w:t>
            </w:r>
          </w:p>
        </w:tc>
        <w:tc>
          <w:tcPr>
            <w:tcW w:w="4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180" w:right="260" w:hanging="172"/>
        <w:spacing w:after="0" w:line="212" w:lineRule="auto"/>
        <w:tabs>
          <w:tab w:leader="none" w:pos="1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application of collateral cannot reduce the net amount below zero. Therefore, excess collateral is not reflected in this table. For repurchase agreements with private institutions, the fair value of investment securities pledged was $57.4 million and $109.5 million as of March 31, 2025 and December 31, 2024, respectively.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comprehensive income for the three months ended March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Net of Tax</w:t>
            </w:r>
          </w:p>
        </w:tc>
      </w:tr>
      <w:tr>
        <w:trPr>
          <w:trHeight w:val="145"/>
        </w:trPr>
        <w:tc>
          <w:tcPr>
            <w:tcW w:w="62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5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62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5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27,992</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7,417</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67"/>
              <w:spacing w:after="0" w:line="149" w:lineRule="exact"/>
              <w:rPr>
                <w:sz w:val="20"/>
                <w:szCs w:val="20"/>
                <w:color w:val="auto"/>
              </w:rPr>
            </w:pPr>
            <w:r>
              <w:rPr>
                <w:rFonts w:ascii="Times New Roman" w:cs="Times New Roman" w:eastAsia="Times New Roman" w:hAnsi="Times New Roman"/>
                <w:sz w:val="14"/>
                <w:szCs w:val="14"/>
                <w:color w:val="auto"/>
              </w:rPr>
              <w:t>20,575</w:t>
            </w:r>
          </w:p>
        </w:tc>
      </w:tr>
      <w:tr>
        <w:trPr>
          <w:trHeight w:val="149"/>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6240" w:type="dxa"/>
            <w:vAlign w:val="bottom"/>
            <w:tcBorders>
              <w:bottom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5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5,694</w:t>
            </w: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1,509</w:t>
            </w:r>
          </w:p>
        </w:tc>
        <w:tc>
          <w:tcPr>
            <w:tcW w:w="2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7"/>
              <w:spacing w:after="0" w:line="149" w:lineRule="exact"/>
              <w:rPr>
                <w:sz w:val="20"/>
                <w:szCs w:val="20"/>
                <w:color w:val="auto"/>
              </w:rPr>
            </w:pPr>
            <w:r>
              <w:rPr>
                <w:rFonts w:ascii="Times New Roman" w:cs="Times New Roman" w:eastAsia="Times New Roman" w:hAnsi="Times New Roman"/>
                <w:sz w:val="14"/>
                <w:szCs w:val="14"/>
                <w:color w:val="auto"/>
              </w:rPr>
              <w:t>4,185</w:t>
            </w:r>
          </w:p>
        </w:tc>
      </w:tr>
      <w:tr>
        <w:trPr>
          <w:trHeight w:val="142"/>
        </w:trPr>
        <w:tc>
          <w:tcPr>
            <w:tcW w:w="62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560" w:type="dxa"/>
            <w:vAlign w:val="bottom"/>
          </w:tcPr>
          <w:p>
            <w:pPr>
              <w:spacing w:after="0"/>
              <w:rPr>
                <w:sz w:val="12"/>
                <w:szCs w:val="12"/>
                <w:color w:val="auto"/>
              </w:rPr>
            </w:pPr>
          </w:p>
        </w:tc>
        <w:tc>
          <w:tcPr>
            <w:tcW w:w="1300" w:type="dxa"/>
            <w:vAlign w:val="bottom"/>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33,686</w:t>
            </w:r>
          </w:p>
        </w:tc>
        <w:tc>
          <w:tcPr>
            <w:tcW w:w="280" w:type="dxa"/>
            <w:vAlign w:val="bottom"/>
          </w:tcPr>
          <w:p>
            <w:pPr>
              <w:spacing w:after="0"/>
              <w:rPr>
                <w:sz w:val="12"/>
                <w:szCs w:val="12"/>
                <w:color w:val="auto"/>
              </w:rPr>
            </w:pPr>
          </w:p>
        </w:tc>
        <w:tc>
          <w:tcPr>
            <w:tcW w:w="1300" w:type="dxa"/>
            <w:vAlign w:val="bottom"/>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8,926</w:t>
            </w:r>
          </w:p>
        </w:tc>
        <w:tc>
          <w:tcPr>
            <w:tcW w:w="280" w:type="dxa"/>
            <w:vAlign w:val="bottom"/>
          </w:tcPr>
          <w:p>
            <w:pPr>
              <w:spacing w:after="0"/>
              <w:rPr>
                <w:sz w:val="12"/>
                <w:szCs w:val="12"/>
                <w:color w:val="auto"/>
              </w:rPr>
            </w:pPr>
          </w:p>
        </w:tc>
        <w:tc>
          <w:tcPr>
            <w:tcW w:w="1280" w:type="dxa"/>
            <w:vAlign w:val="bottom"/>
          </w:tcPr>
          <w:p>
            <w:pPr>
              <w:jc w:val="right"/>
              <w:ind w:right="67"/>
              <w:spacing w:after="0" w:line="142" w:lineRule="exact"/>
              <w:rPr>
                <w:sz w:val="20"/>
                <w:szCs w:val="20"/>
                <w:color w:val="auto"/>
              </w:rPr>
            </w:pPr>
            <w:r>
              <w:rPr>
                <w:rFonts w:ascii="Times New Roman" w:cs="Times New Roman" w:eastAsia="Times New Roman" w:hAnsi="Times New Roman"/>
                <w:sz w:val="14"/>
                <w:szCs w:val="14"/>
                <w:color w:val="auto"/>
              </w:rPr>
              <w:t>24,760</w:t>
            </w:r>
          </w:p>
        </w:tc>
      </w:tr>
      <w:tr>
        <w:trPr>
          <w:trHeight w:val="148"/>
        </w:trPr>
        <w:tc>
          <w:tcPr>
            <w:tcW w:w="6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Defined Benefit Plans:</w:t>
            </w:r>
          </w:p>
        </w:tc>
        <w:tc>
          <w:tcPr>
            <w:tcW w:w="5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8"/>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Net Actuarial Losses</w:t>
            </w:r>
          </w:p>
        </w:tc>
        <w:tc>
          <w:tcPr>
            <w:tcW w:w="560" w:type="dxa"/>
            <w:vAlign w:val="bottom"/>
          </w:tcPr>
          <w:p>
            <w:pPr>
              <w:spacing w:after="0"/>
              <w:rPr>
                <w:sz w:val="12"/>
                <w:szCs w:val="12"/>
                <w:color w:val="auto"/>
              </w:rPr>
            </w:pPr>
          </w:p>
        </w:tc>
        <w:tc>
          <w:tcPr>
            <w:tcW w:w="1300" w:type="dxa"/>
            <w:vAlign w:val="bottom"/>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280" w:type="dxa"/>
            <w:vAlign w:val="bottom"/>
          </w:tcPr>
          <w:p>
            <w:pPr>
              <w:spacing w:after="0"/>
              <w:rPr>
                <w:sz w:val="12"/>
                <w:szCs w:val="12"/>
                <w:color w:val="auto"/>
              </w:rPr>
            </w:pPr>
          </w:p>
        </w:tc>
        <w:tc>
          <w:tcPr>
            <w:tcW w:w="1300" w:type="dxa"/>
            <w:vAlign w:val="bottom"/>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80" w:type="dxa"/>
            <w:vAlign w:val="bottom"/>
          </w:tcPr>
          <w:p>
            <w:pPr>
              <w:spacing w:after="0"/>
              <w:rPr>
                <w:sz w:val="12"/>
                <w:szCs w:val="12"/>
                <w:color w:val="auto"/>
              </w:rPr>
            </w:pPr>
          </w:p>
        </w:tc>
        <w:tc>
          <w:tcPr>
            <w:tcW w:w="1280" w:type="dxa"/>
            <w:vAlign w:val="bottom"/>
          </w:tcPr>
          <w:p>
            <w:pPr>
              <w:jc w:val="right"/>
              <w:ind w:right="67"/>
              <w:spacing w:after="0" w:line="149" w:lineRule="exact"/>
              <w:rPr>
                <w:sz w:val="20"/>
                <w:szCs w:val="20"/>
                <w:color w:val="auto"/>
              </w:rPr>
            </w:pPr>
            <w:r>
              <w:rPr>
                <w:rFonts w:ascii="Times New Roman" w:cs="Times New Roman" w:eastAsia="Times New Roman" w:hAnsi="Times New Roman"/>
                <w:sz w:val="14"/>
                <w:szCs w:val="14"/>
                <w:color w:val="auto"/>
              </w:rPr>
              <w:t>278</w:t>
            </w:r>
          </w:p>
        </w:tc>
      </w:tr>
      <w:tr>
        <w:trPr>
          <w:trHeight w:val="149"/>
        </w:trPr>
        <w:tc>
          <w:tcPr>
            <w:tcW w:w="6240" w:type="dxa"/>
            <w:vAlign w:val="bottom"/>
            <w:tcBorders>
              <w:bottom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Prior Service Credit</w:t>
            </w:r>
          </w:p>
        </w:tc>
        <w:tc>
          <w:tcPr>
            <w:tcW w:w="5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27"/>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27"/>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7"/>
              <w:spacing w:after="0" w:line="149" w:lineRule="exact"/>
              <w:rPr>
                <w:sz w:val="20"/>
                <w:szCs w:val="20"/>
                <w:color w:val="auto"/>
              </w:rPr>
            </w:pPr>
            <w:r>
              <w:rPr>
                <w:rFonts w:ascii="Times New Roman" w:cs="Times New Roman" w:eastAsia="Times New Roman" w:hAnsi="Times New Roman"/>
                <w:sz w:val="14"/>
                <w:szCs w:val="14"/>
                <w:color w:val="auto"/>
              </w:rPr>
              <w:t>(46)</w:t>
            </w:r>
          </w:p>
        </w:tc>
      </w:tr>
      <w:tr>
        <w:trPr>
          <w:trHeight w:val="142"/>
        </w:trPr>
        <w:tc>
          <w:tcPr>
            <w:tcW w:w="62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color w:val="auto"/>
              </w:rPr>
              <w:t>Defined Benefit Plans, Net</w:t>
            </w:r>
          </w:p>
        </w:tc>
        <w:tc>
          <w:tcPr>
            <w:tcW w:w="5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317</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
              <w:spacing w:after="0" w:line="142" w:lineRule="exact"/>
              <w:rPr>
                <w:sz w:val="20"/>
                <w:szCs w:val="20"/>
                <w:color w:val="auto"/>
              </w:rPr>
            </w:pPr>
            <w:r>
              <w:rPr>
                <w:rFonts w:ascii="Times New Roman" w:cs="Times New Roman" w:eastAsia="Times New Roman" w:hAnsi="Times New Roman"/>
                <w:sz w:val="14"/>
                <w:szCs w:val="14"/>
                <w:color w:val="auto"/>
              </w:rPr>
              <w:t>232</w:t>
            </w:r>
          </w:p>
        </w:tc>
      </w:tr>
      <w:tr>
        <w:trPr>
          <w:trHeight w:val="182"/>
        </w:trPr>
        <w:tc>
          <w:tcPr>
            <w:tcW w:w="62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34,003</w:t>
            </w:r>
          </w:p>
        </w:tc>
        <w:tc>
          <w:tcPr>
            <w:tcW w:w="2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9,011</w:t>
            </w:r>
          </w:p>
        </w:tc>
        <w:tc>
          <w:tcPr>
            <w:tcW w:w="2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FF0FC"/>
          </w:tcPr>
          <w:p>
            <w:pPr>
              <w:jc w:val="right"/>
              <w:ind w:right="67"/>
              <w:spacing w:after="0" w:line="142" w:lineRule="exact"/>
              <w:rPr>
                <w:sz w:val="20"/>
                <w:szCs w:val="20"/>
                <w:color w:val="auto"/>
              </w:rPr>
            </w:pPr>
            <w:r>
              <w:rPr>
                <w:rFonts w:ascii="Times New Roman" w:cs="Times New Roman" w:eastAsia="Times New Roman" w:hAnsi="Times New Roman"/>
                <w:sz w:val="14"/>
                <w:szCs w:val="14"/>
                <w:color w:val="auto"/>
              </w:rPr>
              <w:t>24,992</w:t>
            </w:r>
          </w:p>
        </w:tc>
      </w:tr>
      <w:tr>
        <w:trPr>
          <w:trHeight w:val="129"/>
        </w:trPr>
        <w:tc>
          <w:tcPr>
            <w:tcW w:w="6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48"/>
        </w:trPr>
        <w:tc>
          <w:tcPr>
            <w:tcW w:w="6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5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9"/>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62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5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11,404</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3,024</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67"/>
              <w:spacing w:after="0" w:line="149" w:lineRule="exact"/>
              <w:rPr>
                <w:sz w:val="20"/>
                <w:szCs w:val="20"/>
                <w:color w:val="auto"/>
              </w:rPr>
            </w:pPr>
            <w:r>
              <w:rPr>
                <w:rFonts w:ascii="Times New Roman" w:cs="Times New Roman" w:eastAsia="Times New Roman" w:hAnsi="Times New Roman"/>
                <w:sz w:val="14"/>
                <w:szCs w:val="14"/>
                <w:color w:val="auto"/>
              </w:rPr>
              <w:t>8,380</w:t>
            </w:r>
          </w:p>
        </w:tc>
      </w:tr>
      <w:tr>
        <w:trPr>
          <w:trHeight w:val="148"/>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6240" w:type="dxa"/>
            <w:vAlign w:val="bottom"/>
            <w:tcBorders>
              <w:bottom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5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6,202</w:t>
            </w: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2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7"/>
              <w:spacing w:after="0" w:line="149" w:lineRule="exact"/>
              <w:rPr>
                <w:sz w:val="20"/>
                <w:szCs w:val="20"/>
                <w:color w:val="auto"/>
              </w:rPr>
            </w:pPr>
            <w:r>
              <w:rPr>
                <w:rFonts w:ascii="Times New Roman" w:cs="Times New Roman" w:eastAsia="Times New Roman" w:hAnsi="Times New Roman"/>
                <w:sz w:val="14"/>
                <w:szCs w:val="14"/>
                <w:color w:val="auto"/>
              </w:rPr>
              <w:t>4,558</w:t>
            </w:r>
          </w:p>
        </w:tc>
      </w:tr>
      <w:tr>
        <w:trPr>
          <w:trHeight w:val="142"/>
        </w:trPr>
        <w:tc>
          <w:tcPr>
            <w:tcW w:w="62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560" w:type="dxa"/>
            <w:vAlign w:val="bottom"/>
          </w:tcPr>
          <w:p>
            <w:pPr>
              <w:spacing w:after="0"/>
              <w:rPr>
                <w:sz w:val="12"/>
                <w:szCs w:val="12"/>
                <w:color w:val="auto"/>
              </w:rPr>
            </w:pPr>
          </w:p>
        </w:tc>
        <w:tc>
          <w:tcPr>
            <w:tcW w:w="1300" w:type="dxa"/>
            <w:vAlign w:val="bottom"/>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17,606</w:t>
            </w:r>
          </w:p>
        </w:tc>
        <w:tc>
          <w:tcPr>
            <w:tcW w:w="280" w:type="dxa"/>
            <w:vAlign w:val="bottom"/>
          </w:tcPr>
          <w:p>
            <w:pPr>
              <w:spacing w:after="0"/>
              <w:rPr>
                <w:sz w:val="12"/>
                <w:szCs w:val="12"/>
                <w:color w:val="auto"/>
              </w:rPr>
            </w:pPr>
          </w:p>
        </w:tc>
        <w:tc>
          <w:tcPr>
            <w:tcW w:w="1300" w:type="dxa"/>
            <w:vAlign w:val="bottom"/>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4,668</w:t>
            </w:r>
          </w:p>
        </w:tc>
        <w:tc>
          <w:tcPr>
            <w:tcW w:w="280" w:type="dxa"/>
            <w:vAlign w:val="bottom"/>
          </w:tcPr>
          <w:p>
            <w:pPr>
              <w:spacing w:after="0"/>
              <w:rPr>
                <w:sz w:val="12"/>
                <w:szCs w:val="12"/>
                <w:color w:val="auto"/>
              </w:rPr>
            </w:pPr>
          </w:p>
        </w:tc>
        <w:tc>
          <w:tcPr>
            <w:tcW w:w="1280" w:type="dxa"/>
            <w:vAlign w:val="bottom"/>
          </w:tcPr>
          <w:p>
            <w:pPr>
              <w:jc w:val="right"/>
              <w:ind w:right="67"/>
              <w:spacing w:after="0" w:line="142" w:lineRule="exact"/>
              <w:rPr>
                <w:sz w:val="20"/>
                <w:szCs w:val="20"/>
                <w:color w:val="auto"/>
              </w:rPr>
            </w:pPr>
            <w:r>
              <w:rPr>
                <w:rFonts w:ascii="Times New Roman" w:cs="Times New Roman" w:eastAsia="Times New Roman" w:hAnsi="Times New Roman"/>
                <w:sz w:val="14"/>
                <w:szCs w:val="14"/>
                <w:color w:val="auto"/>
              </w:rPr>
              <w:t>12,938</w:t>
            </w:r>
          </w:p>
        </w:tc>
      </w:tr>
      <w:tr>
        <w:trPr>
          <w:trHeight w:val="149"/>
        </w:trPr>
        <w:tc>
          <w:tcPr>
            <w:tcW w:w="62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Defined Benefit Plans:</w:t>
            </w:r>
          </w:p>
        </w:tc>
        <w:tc>
          <w:tcPr>
            <w:tcW w:w="5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8"/>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Net Actuarial Losses</w:t>
            </w:r>
          </w:p>
        </w:tc>
        <w:tc>
          <w:tcPr>
            <w:tcW w:w="560" w:type="dxa"/>
            <w:vAlign w:val="bottom"/>
          </w:tcPr>
          <w:p>
            <w:pPr>
              <w:spacing w:after="0"/>
              <w:rPr>
                <w:sz w:val="12"/>
                <w:szCs w:val="12"/>
                <w:color w:val="auto"/>
              </w:rPr>
            </w:pPr>
          </w:p>
        </w:tc>
        <w:tc>
          <w:tcPr>
            <w:tcW w:w="1300" w:type="dxa"/>
            <w:vAlign w:val="bottom"/>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280" w:type="dxa"/>
            <w:vAlign w:val="bottom"/>
          </w:tcPr>
          <w:p>
            <w:pPr>
              <w:spacing w:after="0"/>
              <w:rPr>
                <w:sz w:val="12"/>
                <w:szCs w:val="12"/>
                <w:color w:val="auto"/>
              </w:rPr>
            </w:pPr>
          </w:p>
        </w:tc>
        <w:tc>
          <w:tcPr>
            <w:tcW w:w="1300" w:type="dxa"/>
            <w:vAlign w:val="bottom"/>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80" w:type="dxa"/>
            <w:vAlign w:val="bottom"/>
          </w:tcPr>
          <w:p>
            <w:pPr>
              <w:spacing w:after="0"/>
              <w:rPr>
                <w:sz w:val="12"/>
                <w:szCs w:val="12"/>
                <w:color w:val="auto"/>
              </w:rPr>
            </w:pPr>
          </w:p>
        </w:tc>
        <w:tc>
          <w:tcPr>
            <w:tcW w:w="1280" w:type="dxa"/>
            <w:vAlign w:val="bottom"/>
          </w:tcPr>
          <w:p>
            <w:pPr>
              <w:jc w:val="right"/>
              <w:ind w:right="67"/>
              <w:spacing w:after="0" w:line="149" w:lineRule="exact"/>
              <w:rPr>
                <w:sz w:val="20"/>
                <w:szCs w:val="20"/>
                <w:color w:val="auto"/>
              </w:rPr>
            </w:pPr>
            <w:r>
              <w:rPr>
                <w:rFonts w:ascii="Times New Roman" w:cs="Times New Roman" w:eastAsia="Times New Roman" w:hAnsi="Times New Roman"/>
                <w:sz w:val="14"/>
                <w:szCs w:val="14"/>
                <w:color w:val="auto"/>
              </w:rPr>
              <w:t>214</w:t>
            </w:r>
          </w:p>
        </w:tc>
      </w:tr>
      <w:tr>
        <w:trPr>
          <w:trHeight w:val="148"/>
        </w:trPr>
        <w:tc>
          <w:tcPr>
            <w:tcW w:w="6240" w:type="dxa"/>
            <w:vAlign w:val="bottom"/>
            <w:tcBorders>
              <w:bottom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Prior Service Credit</w:t>
            </w:r>
          </w:p>
        </w:tc>
        <w:tc>
          <w:tcPr>
            <w:tcW w:w="5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27"/>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27"/>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7"/>
              <w:spacing w:after="0" w:line="149" w:lineRule="exact"/>
              <w:rPr>
                <w:sz w:val="20"/>
                <w:szCs w:val="20"/>
                <w:color w:val="auto"/>
              </w:rPr>
            </w:pPr>
            <w:r>
              <w:rPr>
                <w:rFonts w:ascii="Times New Roman" w:cs="Times New Roman" w:eastAsia="Times New Roman" w:hAnsi="Times New Roman"/>
                <w:sz w:val="14"/>
                <w:szCs w:val="14"/>
                <w:color w:val="auto"/>
              </w:rPr>
              <w:t>(45)</w:t>
            </w:r>
          </w:p>
        </w:tc>
      </w:tr>
      <w:tr>
        <w:trPr>
          <w:trHeight w:val="142"/>
        </w:trPr>
        <w:tc>
          <w:tcPr>
            <w:tcW w:w="62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color w:val="auto"/>
              </w:rPr>
              <w:t>Defined Benefit Plans, Net</w:t>
            </w:r>
          </w:p>
        </w:tc>
        <w:tc>
          <w:tcPr>
            <w:tcW w:w="5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230</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
              <w:spacing w:after="0" w:line="142" w:lineRule="exact"/>
              <w:rPr>
                <w:sz w:val="20"/>
                <w:szCs w:val="20"/>
                <w:color w:val="auto"/>
              </w:rPr>
            </w:pPr>
            <w:r>
              <w:rPr>
                <w:rFonts w:ascii="Times New Roman" w:cs="Times New Roman" w:eastAsia="Times New Roman" w:hAnsi="Times New Roman"/>
                <w:sz w:val="14"/>
                <w:szCs w:val="14"/>
                <w:color w:val="auto"/>
              </w:rPr>
              <w:t>169</w:t>
            </w:r>
          </w:p>
        </w:tc>
      </w:tr>
      <w:tr>
        <w:trPr>
          <w:trHeight w:val="182"/>
        </w:trPr>
        <w:tc>
          <w:tcPr>
            <w:tcW w:w="62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17,836</w:t>
            </w:r>
          </w:p>
        </w:tc>
        <w:tc>
          <w:tcPr>
            <w:tcW w:w="2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4,729</w:t>
            </w:r>
          </w:p>
        </w:tc>
        <w:tc>
          <w:tcPr>
            <w:tcW w:w="2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FF0FC"/>
          </w:tcPr>
          <w:p>
            <w:pPr>
              <w:jc w:val="right"/>
              <w:ind w:right="67"/>
              <w:spacing w:after="0" w:line="142" w:lineRule="exact"/>
              <w:rPr>
                <w:sz w:val="20"/>
                <w:szCs w:val="20"/>
                <w:color w:val="auto"/>
              </w:rPr>
            </w:pPr>
            <w:r>
              <w:rPr>
                <w:rFonts w:ascii="Times New Roman" w:cs="Times New Roman" w:eastAsia="Times New Roman" w:hAnsi="Times New Roman"/>
                <w:sz w:val="14"/>
                <w:szCs w:val="14"/>
                <w:color w:val="auto"/>
              </w:rPr>
              <w:t>13,107</w:t>
            </w: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amortization of unrealized holding losses on HTM securities relate to the Company’s reclassification of AFS investment securities to the HTM category and will be amortized over the remaining life of the investment securities as an adjustment of yield.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income (loss), net of tax,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03"/>
        </w:trPr>
        <w:tc>
          <w:tcPr>
            <w:tcW w:w="5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40" w:type="dxa"/>
            <w:vAlign w:val="bottom"/>
          </w:tcPr>
          <w:p>
            <w:pPr>
              <w:spacing w:after="0"/>
              <w:rPr>
                <w:sz w:val="17"/>
                <w:szCs w:val="17"/>
                <w:color w:val="auto"/>
              </w:rPr>
            </w:pPr>
          </w:p>
        </w:tc>
        <w:tc>
          <w:tcPr>
            <w:tcW w:w="12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203"/>
        </w:trPr>
        <w:tc>
          <w:tcPr>
            <w:tcW w:w="5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Available-for-</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Held-</w:t>
            </w:r>
          </w:p>
        </w:tc>
        <w:tc>
          <w:tcPr>
            <w:tcW w:w="1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15"/>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Sale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to-Maturity</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Plans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r>
      <w:tr>
        <w:trPr>
          <w:trHeight w:val="19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4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(130,763)</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(23,396)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(343,389)</w:t>
            </w:r>
          </w:p>
        </w:tc>
      </w:tr>
      <w:tr>
        <w:trPr>
          <w:trHeight w:val="203"/>
        </w:trPr>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48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20,575</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20,575</w:t>
            </w:r>
          </w:p>
        </w:tc>
      </w:tr>
      <w:tr>
        <w:trPr>
          <w:trHeight w:val="202"/>
        </w:trPr>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4,185</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232</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4,417</w:t>
            </w:r>
          </w:p>
        </w:tc>
      </w:tr>
      <w:tr>
        <w:trPr>
          <w:trHeight w:val="196"/>
        </w:trPr>
        <w:tc>
          <w:tcPr>
            <w:tcW w:w="5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4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20,575</w:t>
            </w: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4,185</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232</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24,992</w:t>
            </w:r>
          </w:p>
        </w:tc>
      </w:tr>
      <w:tr>
        <w:trPr>
          <w:trHeight w:val="196"/>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(126,578)</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(23,164)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(318,397)</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(224,407)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(149,021)</w:t>
            </w:r>
          </w:p>
        </w:tc>
        <w:tc>
          <w:tcPr>
            <w:tcW w:w="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(23,260)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(396,688)</w:t>
            </w:r>
          </w:p>
        </w:tc>
      </w:tr>
      <w:tr>
        <w:trPr>
          <w:trHeight w:val="203"/>
        </w:trPr>
        <w:tc>
          <w:tcPr>
            <w:tcW w:w="5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4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8,380</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8,380</w:t>
            </w:r>
          </w:p>
        </w:tc>
      </w:tr>
      <w:tr>
        <w:trPr>
          <w:trHeight w:val="203"/>
        </w:trPr>
        <w:tc>
          <w:tcPr>
            <w:tcW w:w="51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4,558</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4,727</w:t>
            </w:r>
          </w:p>
        </w:tc>
      </w:tr>
      <w:tr>
        <w:trPr>
          <w:trHeight w:val="196"/>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8,380</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4,558</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13,107</w:t>
            </w:r>
          </w:p>
        </w:tc>
      </w:tr>
      <w:tr>
        <w:trPr>
          <w:trHeight w:val="236"/>
        </w:trPr>
        <w:tc>
          <w:tcPr>
            <w:tcW w:w="5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(216,027)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(144,463)</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(23,091)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(383,581)</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reclassified out of each component of accumulated other comprehensive income (loss)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w:t>
            </w:r>
          </w:p>
        </w:tc>
        <w:tc>
          <w:tcPr>
            <w:tcW w:w="20" w:type="dxa"/>
            <w:vAlign w:val="bottom"/>
          </w:tcPr>
          <w:p>
            <w:pPr>
              <w:spacing w:after="0"/>
              <w:rPr>
                <w:sz w:val="16"/>
                <w:szCs w:val="16"/>
                <w:color w:val="auto"/>
              </w:rPr>
            </w:pPr>
          </w:p>
        </w:tc>
        <w:tc>
          <w:tcPr>
            <w:tcW w:w="344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32"/>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(Loss) Components</w:t>
            </w:r>
          </w:p>
        </w:tc>
        <w:tc>
          <w:tcPr>
            <w:tcW w:w="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center"/>
              <w:ind w:left="379"/>
              <w:spacing w:after="0" w:line="232" w:lineRule="exact"/>
              <w:rPr>
                <w:sz w:val="20"/>
                <w:szCs w:val="20"/>
                <w:color w:val="auto"/>
              </w:rPr>
            </w:pPr>
            <w:r>
              <w:rPr>
                <w:rFonts w:ascii="Times New Roman" w:cs="Times New Roman" w:eastAsia="Times New Roman" w:hAnsi="Times New Roman"/>
                <w:sz w:val="16"/>
                <w:szCs w:val="16"/>
                <w:b w:val="1"/>
                <w:bCs w:val="1"/>
                <w:color w:val="auto"/>
                <w:w w:val="99"/>
              </w:rPr>
              <w:t>Comprehensive Income (Loss)</w:t>
            </w:r>
            <w:r>
              <w:rPr>
                <w:rFonts w:ascii="Times New Roman" w:cs="Times New Roman" w:eastAsia="Times New Roman" w:hAnsi="Times New Roman"/>
                <w:sz w:val="21"/>
                <w:szCs w:val="21"/>
                <w:b w:val="1"/>
                <w:bCs w:val="1"/>
                <w:color w:val="auto"/>
                <w:w w:val="99"/>
                <w:vertAlign w:val="superscript"/>
              </w:rPr>
              <w:t>1</w:t>
            </w:r>
          </w:p>
        </w:tc>
        <w:tc>
          <w:tcPr>
            <w:tcW w:w="6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196"/>
        </w:trPr>
        <w:tc>
          <w:tcPr>
            <w:tcW w:w="4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182"/>
        </w:trPr>
        <w:tc>
          <w:tcPr>
            <w:tcW w:w="4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Amortization of Unrealized Holding Losses on Investment</w:t>
            </w:r>
          </w:p>
        </w:tc>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15"/>
                <w:szCs w:val="15"/>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02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(5,694)</w:t>
            </w:r>
          </w:p>
        </w:tc>
        <w:tc>
          <w:tcPr>
            <w:tcW w:w="11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03"/>
        </w:trPr>
        <w:tc>
          <w:tcPr>
            <w:tcW w:w="4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1,509</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1,644</w:t>
            </w:r>
          </w:p>
        </w:tc>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196"/>
        </w:trPr>
        <w:tc>
          <w:tcPr>
            <w:tcW w:w="44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(4,185)</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of Tax</w:t>
            </w: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4420" w:type="dxa"/>
            <w:vAlign w:val="bottom"/>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Prior Service Credit </w:t>
            </w:r>
            <w:r>
              <w:rPr>
                <w:rFonts w:ascii="Times New Roman" w:cs="Times New Roman" w:eastAsia="Times New Roman" w:hAnsi="Times New Roman"/>
                <w:sz w:val="21"/>
                <w:szCs w:val="21"/>
                <w:color w:val="auto"/>
                <w:vertAlign w:val="superscript"/>
              </w:rPr>
              <w:t>2</w:t>
            </w: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3360" w:type="dxa"/>
            <w:vAlign w:val="bottom"/>
            <w:shd w:val="clear" w:color="auto" w:fill="CFF0FC"/>
          </w:tcPr>
          <w:p>
            <w:pPr>
              <w:spacing w:after="0"/>
              <w:rPr>
                <w:sz w:val="17"/>
                <w:szCs w:val="17"/>
                <w:color w:val="auto"/>
              </w:rPr>
            </w:pPr>
          </w:p>
        </w:tc>
      </w:tr>
      <w:tr>
        <w:trPr>
          <w:trHeight w:val="203"/>
        </w:trPr>
        <w:tc>
          <w:tcPr>
            <w:tcW w:w="4420" w:type="dxa"/>
            <w:vAlign w:val="bottom"/>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Net Actuarial Losses </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(378)</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3360" w:type="dxa"/>
            <w:vAlign w:val="bottom"/>
          </w:tcPr>
          <w:p>
            <w:pPr>
              <w:spacing w:after="0"/>
              <w:rPr>
                <w:sz w:val="17"/>
                <w:szCs w:val="17"/>
                <w:color w:val="auto"/>
              </w:rPr>
            </w:pPr>
          </w:p>
        </w:tc>
      </w:tr>
      <w:tr>
        <w:trPr>
          <w:trHeight w:val="196"/>
        </w:trPr>
        <w:tc>
          <w:tcPr>
            <w:tcW w:w="44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03"/>
        </w:trPr>
        <w:tc>
          <w:tcPr>
            <w:tcW w:w="4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196"/>
        </w:trPr>
        <w:tc>
          <w:tcPr>
            <w:tcW w:w="44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1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3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of Tax</w:t>
            </w: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02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(4,417)</w:t>
            </w:r>
          </w:p>
        </w:tc>
        <w:tc>
          <w:tcPr>
            <w:tcW w:w="11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-162560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180" w:hanging="172"/>
        <w:spacing w:after="0" w:line="229"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in parentheses indicate reductions to net income.</w:t>
      </w:r>
    </w:p>
    <w:p>
      <w:pPr>
        <w:ind w:left="180" w:right="120" w:hanging="172"/>
        <w:spacing w:after="0" w:line="202" w:lineRule="auto"/>
        <w:tabs>
          <w:tab w:leader="none" w:pos="1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accumulated other comprehensive income (loss) components are included in the computation of net periodic benefit cost and are included in other noninterest expense in the unaudited consolidated statements of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Earnings per common share is computed using the two-class method. The following is a reconciliation of the weighted average number of common shares used in the calculation of basic and diluted earnings per common share and antidilutive restricted stock outstanding for the three months ended March 31, 2025 and 2024:</w:t>
      </w:r>
    </w:p>
    <w:p>
      <w:pPr>
        <w:spacing w:after="0" w:line="17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3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38,716</w:t>
            </w:r>
          </w:p>
        </w:tc>
        <w:tc>
          <w:tcPr>
            <w:tcW w:w="5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34,422</w:t>
            </w:r>
          </w:p>
        </w:tc>
      </w:tr>
      <w:tr>
        <w:trPr>
          <w:trHeight w:val="203"/>
        </w:trPr>
        <w:tc>
          <w:tcPr>
            <w:tcW w:w="7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39,554,834</w:t>
            </w:r>
          </w:p>
        </w:tc>
        <w:tc>
          <w:tcPr>
            <w:tcW w:w="5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39,350,390</w:t>
            </w:r>
          </w:p>
        </w:tc>
      </w:tr>
      <w:tr>
        <w:trPr>
          <w:trHeight w:val="203"/>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Dilutive Effect of Equity Based Awards</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321,572</w:t>
            </w:r>
          </w:p>
        </w:tc>
        <w:tc>
          <w:tcPr>
            <w:tcW w:w="5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276,073</w:t>
            </w:r>
          </w:p>
        </w:tc>
      </w:tr>
      <w:tr>
        <w:trPr>
          <w:trHeight w:val="236"/>
        </w:trPr>
        <w:tc>
          <w:tcPr>
            <w:tcW w:w="7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39,876,406</w:t>
            </w:r>
          </w:p>
        </w:tc>
        <w:tc>
          <w:tcPr>
            <w:tcW w:w="5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39,626,463</w:t>
            </w:r>
          </w:p>
        </w:tc>
      </w:tr>
      <w:tr>
        <w:trPr>
          <w:trHeight w:val="183"/>
        </w:trPr>
        <w:tc>
          <w:tcPr>
            <w:tcW w:w="7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3"/>
        </w:trPr>
        <w:tc>
          <w:tcPr>
            <w:tcW w:w="7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spacing w:after="0"/>
              <w:rPr>
                <w:sz w:val="17"/>
                <w:szCs w:val="17"/>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0.98</w:t>
            </w:r>
          </w:p>
        </w:tc>
        <w:tc>
          <w:tcPr>
            <w:tcW w:w="5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0.87</w:t>
            </w: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0.97</w:t>
            </w:r>
          </w:p>
        </w:tc>
        <w:tc>
          <w:tcPr>
            <w:tcW w:w="5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0.87</w:t>
            </w:r>
          </w:p>
        </w:tc>
      </w:tr>
      <w:tr>
        <w:trPr>
          <w:trHeight w:val="203"/>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Antidilutive Restricted Stock Outstanding</w:t>
            </w: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122,291</w:t>
            </w:r>
          </w:p>
        </w:tc>
        <w:tc>
          <w:tcPr>
            <w:tcW w:w="5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11,566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Company’s business segments are defined as Consumer Banking, Commercial Banking, and Treasury and Other. The Company’s chief operating decision maker (“CODM”) is the Chairman and Chief Executive Officer. The CODM uses income from operations to evaluate the performance of the overall business and to allocate resources to each of the segments.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internal management accounting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w:t>
      </w:r>
    </w:p>
    <w:p>
      <w:pPr>
        <w:sectPr>
          <w:pgSz w:w="11900" w:h="16838" w:orient="portrait"/>
          <w:cols w:equalWidth="0" w:num="1">
            <w:col w:w="11240"/>
          </w:cols>
          <w:pgMar w:left="320" w:top="117"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provision for credit losses for the Consumer Banking and Commercial Banking business segments reflects the actual net charge-offs of those business segments. The amount of the consolidated provision for loan and lease losses is based on the CECL methodology that the Company used to estimate our consolidated Allowance. The residual provision for credit losses to arrive at the consolidated provision for credit losses is included in Treasury and Other.</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allocated to business segments using a 26% effective income tax rate. However, the provision for income taxes for the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Consumer Banking offers a broad range of financial products and services, including loan and lease financing, deposit, and brokerage and insurance products; private banking and international client banking services; trust services; investment management; and institutional investment advisory services. Loan and lease products include residential mortgage loans, home equity lines of credit, automobile loans and leases, overdraft lines of credit, installment loans, small business loans and leases, and credit cards. Deposit products include checking, savings, and time deposit accounts. Brokerage and insurance offerings include equities, mutual funds, life insurance, and annuity products. Private banking (including international client banking) and Trust groups assist individuals and families in building and preserving their wealth by providing investment, credit, and trust services to high-net-worth individuals. The investment management group manages portfolios utilizing a variety of investment products and the institutional client services group offers investment advice to corporations, government entities, and foundations. Products and services from Consumer Banking are delivered to customers through 50 branch locations and 316 ATMs throughout Hawai‘i and the West Pacific, a customer service center, and online and mobile banking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2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Commercial Banking offers products including commercial and industrial loans, commercial real estate loans, commercial lease financing, auto dealer financing, merchant services, deposit products and cash management services. Commercial lending and lease financing, deposit products, and cash management and merchant services are offered to middle-market and large companies in Hawai‘i and the West Pacific. Commercial Banking also offers lease financing and deposit products to government entities in Hawai‘i. Commercial real estate mortgages focus on investors, developers, and builders predominantly domiciled in Hawai‘i. Commercial Banking includes international banking which services Japanese, Korean, and Chinese commercial businesses owned by a foreign individual or entity, a U.S. corporate subsidiary of a foreign owner, or businesses where management prefers to speak a foreign language.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and Other, along with the elimination of intercompany transactions.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provide a wide range of support to the Company’s other income earning segments. Expenses incurred by these support units are charged to the business segments through an internal cost allocation process. The cost allocation is included in Other Noninterest Expense in the table below.</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business segment financial information as of and for the three months ended March 31, 2025 and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60" w:type="dxa"/>
            <w:vAlign w:val="bottom"/>
          </w:tcPr>
          <w:p>
            <w:pPr>
              <w:spacing w:after="0"/>
              <w:rPr>
                <w:sz w:val="17"/>
                <w:szCs w:val="17"/>
                <w:color w:val="auto"/>
              </w:rPr>
            </w:pP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Treasury and</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8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Consumer Banking</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 Total</w:t>
            </w:r>
          </w:p>
        </w:tc>
      </w:tr>
      <w:tr>
        <w:trPr>
          <w:trHeight w:val="19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6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95,624</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55,574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(25,391)</w:t>
            </w:r>
          </w:p>
        </w:tc>
        <w:tc>
          <w:tcPr>
            <w:tcW w:w="4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125,807</w:t>
            </w:r>
          </w:p>
        </w:tc>
      </w:tr>
      <w:tr>
        <w:trPr>
          <w:trHeight w:val="203"/>
        </w:trPr>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6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3,295</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1,108</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(1,153)</w:t>
            </w: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3,250</w:t>
            </w: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6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92,329</w:t>
            </w:r>
          </w:p>
        </w:tc>
        <w:tc>
          <w:tcPr>
            <w:tcW w:w="3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54,466</w:t>
            </w:r>
          </w:p>
        </w:tc>
        <w:tc>
          <w:tcPr>
            <w:tcW w:w="26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(24,238)</w:t>
            </w: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122,557</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33,498</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7,734</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2,826</w:t>
            </w: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44,058</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6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21,105</w:t>
            </w:r>
          </w:p>
        </w:tc>
        <w:tc>
          <w:tcPr>
            <w:tcW w:w="3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5,360</w:t>
            </w:r>
          </w:p>
        </w:tc>
        <w:tc>
          <w:tcPr>
            <w:tcW w:w="26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36,419</w:t>
            </w: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62,884</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Occupancy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7,067</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400</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3,092</w:t>
            </w: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10,559</w:t>
            </w:r>
          </w:p>
        </w:tc>
      </w:tr>
      <w:tr>
        <w:trPr>
          <w:trHeight w:val="20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58,202</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13,882</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(35,068)</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37,016</w:t>
            </w:r>
          </w:p>
        </w:tc>
      </w:tr>
      <w:tr>
        <w:trPr>
          <w:trHeight w:val="196"/>
        </w:trPr>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6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86,374</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19,642</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4,443</w:t>
            </w: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110,459</w:t>
            </w: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6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39,453</w:t>
            </w:r>
          </w:p>
        </w:tc>
        <w:tc>
          <w:tcPr>
            <w:tcW w:w="3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42,558</w:t>
            </w:r>
          </w:p>
        </w:tc>
        <w:tc>
          <w:tcPr>
            <w:tcW w:w="26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(25,855)</w:t>
            </w: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56,156</w:t>
            </w:r>
          </w:p>
        </w:tc>
      </w:tr>
      <w:tr>
        <w:trPr>
          <w:trHeight w:val="203"/>
        </w:trPr>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6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10,001</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10,869</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(8,699)</w:t>
            </w: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12,171</w:t>
            </w:r>
          </w:p>
        </w:tc>
      </w:tr>
      <w:tr>
        <w:trPr>
          <w:trHeight w:val="19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6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29,452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31,689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(17,156)</w:t>
            </w:r>
          </w:p>
        </w:tc>
        <w:tc>
          <w:tcPr>
            <w:tcW w:w="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43,985</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 as of March 31, 2025</w:t>
            </w:r>
          </w:p>
        </w:tc>
        <w:tc>
          <w:tcPr>
            <w:tcW w:w="66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8,246,158</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6,219,971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9,418,927</w:t>
            </w:r>
          </w:p>
        </w:tc>
        <w:tc>
          <w:tcPr>
            <w:tcW w:w="4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23,885,056</w:t>
            </w:r>
          </w:p>
        </w:tc>
      </w:tr>
      <w:tr>
        <w:trPr>
          <w:trHeight w:val="183"/>
        </w:trPr>
        <w:tc>
          <w:tcPr>
            <w:tcW w:w="4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44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Three Months Ended March 31, 2024 </w:t>
            </w:r>
            <w:r>
              <w:rPr>
                <w:rFonts w:ascii="Times New Roman" w:cs="Times New Roman" w:eastAsia="Times New Roman" w:hAnsi="Times New Roman"/>
                <w:sz w:val="21"/>
                <w:szCs w:val="21"/>
                <w:b w:val="1"/>
                <w:bCs w:val="1"/>
                <w:color w:val="auto"/>
                <w:vertAlign w:val="superscript"/>
              </w:rPr>
              <w:t>1</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6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96,994</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51,493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(34,549)</w:t>
            </w:r>
          </w:p>
        </w:tc>
        <w:tc>
          <w:tcPr>
            <w:tcW w:w="4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113,938</w:t>
            </w:r>
          </w:p>
        </w:tc>
      </w:tr>
      <w:tr>
        <w:trPr>
          <w:trHeight w:val="203"/>
        </w:trPr>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6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2,287</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(281)</w:t>
            </w: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6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94,707</w:t>
            </w:r>
          </w:p>
        </w:tc>
        <w:tc>
          <w:tcPr>
            <w:tcW w:w="3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51,499</w:t>
            </w:r>
          </w:p>
        </w:tc>
        <w:tc>
          <w:tcPr>
            <w:tcW w:w="26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(34,268)</w:t>
            </w: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111,938</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31,982</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6,794</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3,509</w:t>
            </w: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42,285</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6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20,917</w:t>
            </w:r>
          </w:p>
        </w:tc>
        <w:tc>
          <w:tcPr>
            <w:tcW w:w="3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5,516</w:t>
            </w:r>
          </w:p>
        </w:tc>
        <w:tc>
          <w:tcPr>
            <w:tcW w:w="26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31,782</w:t>
            </w: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58,215</w:t>
            </w:r>
          </w:p>
        </w:tc>
      </w:tr>
      <w:tr>
        <w:trPr>
          <w:trHeight w:val="20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Occupancy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6,864</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3,145</w:t>
            </w: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10,456</w:t>
            </w:r>
          </w:p>
        </w:tc>
      </w:tr>
      <w:tr>
        <w:trPr>
          <w:trHeight w:val="20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Noninterest Expense</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54,924</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12,680</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(30,416)</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37,188</w:t>
            </w:r>
          </w:p>
        </w:tc>
      </w:tr>
      <w:tr>
        <w:trPr>
          <w:trHeight w:val="196"/>
        </w:trPr>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6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82,705</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18,643</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4,511</w:t>
            </w: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105,859</w:t>
            </w: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6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43,984</w:t>
            </w:r>
          </w:p>
        </w:tc>
        <w:tc>
          <w:tcPr>
            <w:tcW w:w="3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39,650</w:t>
            </w:r>
          </w:p>
        </w:tc>
        <w:tc>
          <w:tcPr>
            <w:tcW w:w="26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(35,270)</w:t>
            </w: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48,364</w:t>
            </w:r>
          </w:p>
        </w:tc>
      </w:tr>
      <w:tr>
        <w:trPr>
          <w:trHeight w:val="203"/>
        </w:trPr>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6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11,181</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10,008</w:t>
            </w: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(9,216)</w:t>
            </w: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11,973</w:t>
            </w:r>
          </w:p>
        </w:tc>
      </w:tr>
      <w:tr>
        <w:trPr>
          <w:trHeight w:val="19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6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32,803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29,642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(26,054)</w:t>
            </w:r>
          </w:p>
        </w:tc>
        <w:tc>
          <w:tcPr>
            <w:tcW w:w="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36,391</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 as of March 31, 2024</w:t>
            </w:r>
          </w:p>
        </w:tc>
        <w:tc>
          <w:tcPr>
            <w:tcW w:w="66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8,396,623</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5,830,056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9,194,181</w:t>
            </w:r>
          </w:p>
        </w:tc>
        <w:tc>
          <w:tcPr>
            <w:tcW w:w="4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23,420,860</w:t>
            </w:r>
          </w:p>
        </w:tc>
      </w:tr>
    </w:tbl>
    <w:p>
      <w:pPr>
        <w:spacing w:after="0" w:line="1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prior period information has been reclassified to conform to current presentation.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0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to manage its exposure to market risks, including interest rate risk, and to assist customers with their risk management objectives. The Company designates certain derivatives as hedging instruments in a qualifying hedge accounting relationship, while other derivatives serve as economic hedges that do not qualify for hedge accounting.</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interest rate swap contracts that are matched to closed portfolios of fixed-rate residential mortgage loans and available-for-sale investment securities. These contracts have been designated as hedging instruments to hedge the risk of changes in the fair value of the underlying loans or investment securities due to changes in interest rates. The related contracts are structured so that the notional amounts reduce over time to generally match the expected amortization of the underlying loan or investment security.</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The notional amount and fair value of the Company’s derivative financial instruments as of March 31, 2025, and December 31, 2024 were as follows: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3"/>
        </w:trPr>
        <w:tc>
          <w:tcPr>
            <w:tcW w:w="4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5"/>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4640" w:type="dxa"/>
            <w:vAlign w:val="bottom"/>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Interest Rate Swap Agreements </w:t>
            </w:r>
            <w:r>
              <w:rPr>
                <w:rFonts w:ascii="Times New Roman" w:cs="Times New Roman" w:eastAsia="Times New Roman" w:hAnsi="Times New Roman"/>
                <w:sz w:val="21"/>
                <w:szCs w:val="21"/>
                <w:color w:val="auto"/>
                <w:vertAlign w:val="superscript"/>
              </w:rPr>
              <w:t>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2,738</w:t>
            </w:r>
          </w:p>
        </w:tc>
      </w:tr>
      <w:tr>
        <w:trPr>
          <w:trHeight w:val="20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2,470</w:t>
            </w:r>
          </w:p>
        </w:tc>
        <w:tc>
          <w:tcPr>
            <w:tcW w:w="28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1,534</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Forward Commitments</w:t>
            </w: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4,836</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3,517</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Receive Fixed/Pay Variable Swaps</w:t>
            </w: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2,192,824</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(100,625)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2,123,665</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(136,218)</w:t>
            </w:r>
          </w:p>
        </w:tc>
      </w:tr>
      <w:tr>
        <w:trPr>
          <w:trHeight w:val="203"/>
        </w:trPr>
        <w:tc>
          <w:tcPr>
            <w:tcW w:w="4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 Fixed/Receive Variable Swaps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2,192,824</w:t>
            </w:r>
          </w:p>
        </w:tc>
        <w:tc>
          <w:tcPr>
            <w:tcW w:w="28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100,513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2,123,665</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136,125</w:t>
            </w:r>
          </w:p>
        </w:tc>
      </w:tr>
      <w:tr>
        <w:trPr>
          <w:trHeight w:val="203"/>
        </w:trPr>
        <w:tc>
          <w:tcPr>
            <w:tcW w:w="4640" w:type="dxa"/>
            <w:vAlign w:val="bottom"/>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Conversion Rate Swap Agreements </w:t>
            </w:r>
            <w:r>
              <w:rPr>
                <w:rFonts w:ascii="Times New Roman" w:cs="Times New Roman" w:eastAsia="Times New Roman" w:hAnsi="Times New Roman"/>
                <w:sz w:val="21"/>
                <w:szCs w:val="21"/>
                <w:color w:val="auto"/>
                <w:vertAlign w:val="superscript"/>
              </w:rPr>
              <w:t>2</w:t>
            </w: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106,672</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96,466</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r>
      <w:tr>
        <w:trPr>
          <w:trHeight w:val="263"/>
        </w:trPr>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Makewhole Agreements </w:t>
            </w:r>
            <w:r>
              <w:rPr>
                <w:rFonts w:ascii="Times New Roman" w:cs="Times New Roman" w:eastAsia="Times New Roman" w:hAnsi="Times New Roman"/>
                <w:sz w:val="21"/>
                <w:szCs w:val="21"/>
                <w:color w:val="auto"/>
                <w:vertAlign w:val="superscript"/>
              </w:rPr>
              <w:t>3</w:t>
            </w: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72,647</w:t>
            </w:r>
          </w:p>
        </w:tc>
        <w:tc>
          <w:tcPr>
            <w:tcW w:w="280" w:type="dxa"/>
            <w:vAlign w:val="bottom"/>
          </w:tcPr>
          <w:p>
            <w:pPr>
              <w:spacing w:after="0"/>
              <w:rPr>
                <w:sz w:val="22"/>
                <w:szCs w:val="22"/>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65,763</w:t>
            </w:r>
          </w:p>
        </w:tc>
        <w:tc>
          <w:tcPr>
            <w:tcW w:w="2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r>
    </w:tbl>
    <w:p>
      <w:pPr>
        <w:ind w:left="180" w:right="140" w:hanging="172"/>
        <w:spacing w:after="0" w:line="187"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March 31, 2025 and December 31, 2024, the amounts presented in the table above exclude forward starting swaps with a notional value of $300 million and a fair value of $2.4 million and $4.7 million, respectively. These swaps are scheduled to begin between August 2025 and March 2026.</w:t>
      </w:r>
    </w:p>
    <w:p>
      <w:pPr>
        <w:spacing w:after="0" w:line="1" w:lineRule="exact"/>
        <w:rPr>
          <w:rFonts w:ascii="Times New Roman" w:cs="Times New Roman" w:eastAsia="Times New Roman" w:hAnsi="Times New Roman"/>
          <w:sz w:val="19"/>
          <w:szCs w:val="19"/>
          <w:color w:val="auto"/>
          <w:vertAlign w:val="superscript"/>
        </w:rPr>
      </w:pPr>
    </w:p>
    <w:p>
      <w:pPr>
        <w:ind w:left="180" w:hanging="172"/>
        <w:spacing w:after="0" w:line="182" w:lineRule="auto"/>
        <w:tabs>
          <w:tab w:leader="none" w:pos="18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conversion rate swap agreements were valued at zero as further reductions to the conversion rate were not reasonably estimable.</w:t>
      </w:r>
    </w:p>
    <w:p>
      <w:pPr>
        <w:ind w:left="180" w:hanging="172"/>
        <w:spacing w:after="0" w:line="189"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makewhole agreements were valued at zero as the likelihood of a payment required to the buyer was not reasonably estimable.</w:t>
      </w:r>
    </w:p>
    <w:p>
      <w:pPr>
        <w:spacing w:after="0" w:line="1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their fair values, and their location in the unaudited consolidated statements of condition as of March 31,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56"/>
        </w:trPr>
        <w:tc>
          <w:tcPr>
            <w:tcW w:w="4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459"/>
              <w:spacing w:after="0" w:line="156" w:lineRule="exact"/>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Pr>
          <w:p>
            <w:pPr>
              <w:spacing w:after="0"/>
              <w:rPr>
                <w:sz w:val="13"/>
                <w:szCs w:val="13"/>
                <w:color w:val="auto"/>
              </w:rPr>
            </w:pPr>
          </w:p>
        </w:tc>
        <w:tc>
          <w:tcPr>
            <w:tcW w:w="1180" w:type="dxa"/>
            <w:vAlign w:val="bottom"/>
          </w:tcPr>
          <w:p>
            <w:pPr>
              <w:jc w:val="right"/>
              <w:ind w:right="359"/>
              <w:spacing w:after="0" w:line="156" w:lineRule="exact"/>
              <w:rPr>
                <w:sz w:val="20"/>
                <w:szCs w:val="20"/>
                <w:color w:val="auto"/>
              </w:rPr>
            </w:pPr>
            <w:r>
              <w:rPr>
                <w:rFonts w:ascii="Times New Roman" w:cs="Times New Roman" w:eastAsia="Times New Roman" w:hAnsi="Times New Roman"/>
                <w:sz w:val="16"/>
                <w:szCs w:val="16"/>
                <w:b w:val="1"/>
                <w:bCs w:val="1"/>
                <w:color w:val="auto"/>
              </w:rPr>
              <w:t>Liability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439"/>
              <w:spacing w:after="0" w:line="156" w:lineRule="exact"/>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3"/>
                <w:szCs w:val="13"/>
                <w:color w:val="auto"/>
              </w:rPr>
            </w:pPr>
          </w:p>
        </w:tc>
        <w:tc>
          <w:tcPr>
            <w:tcW w:w="1140" w:type="dxa"/>
            <w:vAlign w:val="bottom"/>
          </w:tcPr>
          <w:p>
            <w:pPr>
              <w:jc w:val="right"/>
              <w:ind w:right="319"/>
              <w:spacing w:after="0" w:line="156" w:lineRule="exact"/>
              <w:rPr>
                <w:sz w:val="20"/>
                <w:szCs w:val="20"/>
                <w:color w:val="auto"/>
              </w:rPr>
            </w:pPr>
            <w:r>
              <w:rPr>
                <w:rFonts w:ascii="Times New Roman" w:cs="Times New Roman" w:eastAsia="Times New Roman" w:hAnsi="Times New Roman"/>
                <w:sz w:val="16"/>
                <w:szCs w:val="16"/>
                <w:b w:val="1"/>
                <w:bCs w:val="1"/>
                <w:color w:val="auto"/>
              </w:rPr>
              <w:t>Liability</w:t>
            </w:r>
          </w:p>
        </w:tc>
      </w:tr>
      <w:tr>
        <w:trPr>
          <w:trHeight w:val="24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 xml:space="preserve">Derivatives </w:t>
            </w:r>
            <w:r>
              <w:rPr>
                <w:rFonts w:ascii="Times New Roman" w:cs="Times New Roman" w:eastAsia="Times New Roman" w:hAnsi="Times New Roman"/>
                <w:sz w:val="21"/>
                <w:szCs w:val="21"/>
                <w:b w:val="1"/>
                <w:bCs w:val="1"/>
                <w:color w:val="auto"/>
                <w:w w:val="99"/>
                <w:vertAlign w:val="superscript"/>
              </w:rPr>
              <w:t>1</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 xml:space="preserve">Derivatives </w:t>
            </w:r>
            <w:r>
              <w:rPr>
                <w:rFonts w:ascii="Times New Roman" w:cs="Times New Roman" w:eastAsia="Times New Roman" w:hAnsi="Times New Roman"/>
                <w:sz w:val="21"/>
                <w:szCs w:val="21"/>
                <w:b w:val="1"/>
                <w:bCs w:val="1"/>
                <w:color w:val="auto"/>
                <w:w w:val="99"/>
                <w:vertAlign w:val="superscript"/>
              </w:rPr>
              <w:t>1</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 xml:space="preserve">Derivatives </w:t>
            </w:r>
            <w:r>
              <w:rPr>
                <w:rFonts w:ascii="Times New Roman" w:cs="Times New Roman" w:eastAsia="Times New Roman" w:hAnsi="Times New Roman"/>
                <w:sz w:val="21"/>
                <w:szCs w:val="21"/>
                <w:b w:val="1"/>
                <w:bCs w:val="1"/>
                <w:color w:val="auto"/>
                <w:w w:val="99"/>
                <w:vertAlign w:val="superscript"/>
              </w:rPr>
              <w:t>1</w:t>
            </w: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Not designated as hedging instruments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120,021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120,133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146,923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147,016</w:t>
            </w:r>
          </w:p>
        </w:tc>
      </w:tr>
      <w:tr>
        <w:trPr>
          <w:trHeight w:val="203"/>
        </w:trPr>
        <w:tc>
          <w:tcPr>
            <w:tcW w:w="46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Designated as hedging instruments</w:t>
            </w:r>
          </w:p>
        </w:tc>
        <w:tc>
          <w:tcPr>
            <w:tcW w:w="1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5,604</w:t>
            </w: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12,177</w:t>
            </w: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14,507</w:t>
            </w:r>
          </w:p>
        </w:tc>
        <w:tc>
          <w:tcPr>
            <w:tcW w:w="2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7,039</w:t>
            </w:r>
          </w:p>
        </w:tc>
      </w:tr>
      <w:tr>
        <w:trPr>
          <w:trHeight w:val="196"/>
        </w:trPr>
        <w:tc>
          <w:tcPr>
            <w:tcW w:w="4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125,625</w:t>
            </w:r>
          </w:p>
        </w:tc>
        <w:tc>
          <w:tcPr>
            <w:tcW w:w="24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132,310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161,430</w:t>
            </w: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154,055</w:t>
            </w:r>
          </w:p>
        </w:tc>
      </w:tr>
      <w:tr>
        <w:trPr>
          <w:trHeight w:val="20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Forward Commitments</w:t>
            </w:r>
          </w:p>
        </w:tc>
        <w:tc>
          <w:tcPr>
            <w:tcW w:w="1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125,683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132,325</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161,473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154,058</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180" w:right="180" w:hanging="172"/>
        <w:spacing w:after="0" w:line="212" w:lineRule="auto"/>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Asset derivatives are included in other assets and liability derivatives are included in other liabilities in the unaudited consolidated statements of condition. Derivatives are recognized on the Company's unaudited consolidated statements of condition at fair value.</w:t>
      </w:r>
    </w:p>
    <w:p>
      <w:pPr>
        <w:spacing w:after="0" w:line="14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and the amount and location of the net gains or losses recognized in the unaudited consolidated statements of income for the three months ended March 31,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00" w:type="dxa"/>
            <w:vAlign w:val="bottom"/>
          </w:tcPr>
          <w:p>
            <w:pPr>
              <w:spacing w:after="0"/>
              <w:rPr>
                <w:sz w:val="18"/>
                <w:szCs w:val="18"/>
                <w:color w:val="auto"/>
              </w:rPr>
            </w:pPr>
          </w:p>
        </w:tc>
        <w:tc>
          <w:tcPr>
            <w:tcW w:w="41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Location of Net Gains (Losses)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4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Recognized in the Statements of Income</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4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189"/>
        </w:trPr>
        <w:tc>
          <w:tcPr>
            <w:tcW w:w="3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Recognized on Interest Rate Swap Agreements</w:t>
            </w:r>
          </w:p>
        </w:tc>
        <w:tc>
          <w:tcPr>
            <w:tcW w:w="4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Interest Income on Investment Securities Available-for-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4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Sale</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(5,662)</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16,893</w:t>
            </w:r>
          </w:p>
        </w:tc>
      </w:tr>
      <w:tr>
        <w:trPr>
          <w:trHeight w:val="192"/>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4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Interest Income on Investment Securities Available-for-</w:t>
            </w: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216"/>
        </w:trPr>
        <w:tc>
          <w:tcPr>
            <w:tcW w:w="3900" w:type="dxa"/>
            <w:vAlign w:val="bottom"/>
            <w:shd w:val="clear" w:color="auto" w:fill="CFF0FC"/>
          </w:tcPr>
          <w:p>
            <w:pPr>
              <w:spacing w:after="0"/>
              <w:rPr>
                <w:sz w:val="18"/>
                <w:szCs w:val="18"/>
                <w:color w:val="auto"/>
              </w:rPr>
            </w:pPr>
          </w:p>
        </w:tc>
        <w:tc>
          <w:tcPr>
            <w:tcW w:w="4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Sale</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5,673</w:t>
            </w: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(17,002)</w:t>
            </w:r>
          </w:p>
        </w:tc>
      </w:tr>
      <w:tr>
        <w:trPr>
          <w:trHeight w:val="189"/>
        </w:trPr>
        <w:tc>
          <w:tcPr>
            <w:tcW w:w="3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Cash Settlements</w:t>
            </w:r>
          </w:p>
        </w:tc>
        <w:tc>
          <w:tcPr>
            <w:tcW w:w="4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Interest Income on Investment Securities Available-for-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4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Sale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(1,868)</w:t>
            </w:r>
          </w:p>
        </w:tc>
        <w:tc>
          <w:tcPr>
            <w:tcW w:w="4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2,722</w:t>
            </w:r>
          </w:p>
        </w:tc>
      </w:tr>
      <w:tr>
        <w:trPr>
          <w:trHeight w:val="205"/>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Recognized on Interest Rate Swap Agreements</w:t>
            </w:r>
          </w:p>
        </w:tc>
        <w:tc>
          <w:tcPr>
            <w:tcW w:w="4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(8,379)</w:t>
            </w: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22,603</w:t>
            </w:r>
          </w:p>
        </w:tc>
      </w:tr>
      <w:tr>
        <w:trPr>
          <w:trHeight w:val="203"/>
        </w:trPr>
        <w:tc>
          <w:tcPr>
            <w:tcW w:w="3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4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8,372</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(22,751)</w:t>
            </w:r>
          </w:p>
        </w:tc>
      </w:tr>
      <w:tr>
        <w:trPr>
          <w:trHeight w:val="203"/>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Cash Settlements</w:t>
            </w:r>
          </w:p>
        </w:tc>
        <w:tc>
          <w:tcPr>
            <w:tcW w:w="4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1,533</w:t>
            </w: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3,348</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4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Mortgage Banking</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200</w:t>
            </w: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r>
      <w:tr>
        <w:trPr>
          <w:trHeight w:val="203"/>
        </w:trPr>
        <w:tc>
          <w:tcPr>
            <w:tcW w:w="3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Forward Commitments</w:t>
            </w:r>
          </w:p>
        </w:tc>
        <w:tc>
          <w:tcPr>
            <w:tcW w:w="4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Mortgage Banking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r>
      <w:tr>
        <w:trPr>
          <w:trHeight w:val="202"/>
        </w:trPr>
        <w:tc>
          <w:tcPr>
            <w:tcW w:w="3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4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Other Noninterest Income</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Conversion Rate Swap Agreement</w:t>
            </w:r>
          </w:p>
        </w:tc>
        <w:tc>
          <w:tcPr>
            <w:tcW w:w="4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Investment Securities Gains (Losses), Net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(578)</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1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(762)</w:t>
            </w:r>
          </w:p>
        </w:tc>
        <w:tc>
          <w:tcPr>
            <w:tcW w:w="4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6,076</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amounts were recorded on the unaudited consolidated statements of condition related to the cumulative basis adjustment for fair value hedges as of March 31,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Cumulative Amount of Fair Value Hedging</w:t>
            </w: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Line Item in the Unaudited Consolidated Statements of</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Adjustment Included In the Carrying Amount of</w:t>
            </w:r>
          </w:p>
        </w:tc>
      </w:tr>
      <w:tr>
        <w:trPr>
          <w:trHeight w:val="218"/>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Condition</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Carrying Amount of the Hedged Assets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the Hedged Assets</w:t>
            </w:r>
          </w:p>
        </w:tc>
      </w:tr>
      <w:tr>
        <w:trPr>
          <w:trHeight w:val="196"/>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38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6"/>
                <w:szCs w:val="16"/>
                <w:color w:val="auto"/>
              </w:rPr>
              <w:t xml:space="preserve">Investment Securities, Available-for-Sale </w:t>
            </w:r>
            <w:r>
              <w:rPr>
                <w:rFonts w:ascii="Times New Roman" w:cs="Times New Roman" w:eastAsia="Times New Roman" w:hAnsi="Times New Roman"/>
                <w:sz w:val="21"/>
                <w:szCs w:val="21"/>
                <w:color w:val="auto"/>
                <w:vertAlign w:val="superscript"/>
              </w:rPr>
              <w:t>1</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1,005,268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999,594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rPr>
              <w:t>5,268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38"/>
        </w:trPr>
        <w:tc>
          <w:tcPr>
            <w:tcW w:w="3860" w:type="dxa"/>
            <w:vAlign w:val="bottom"/>
          </w:tcPr>
          <w:p>
            <w:pPr>
              <w:spacing w:after="0" w:line="238" w:lineRule="exact"/>
              <w:rPr>
                <w:sz w:val="20"/>
                <w:szCs w:val="20"/>
                <w:color w:val="auto"/>
              </w:rPr>
            </w:pPr>
            <w:r>
              <w:rPr>
                <w:rFonts w:ascii="Times New Roman" w:cs="Times New Roman" w:eastAsia="Times New Roman" w:hAnsi="Times New Roman"/>
                <w:sz w:val="16"/>
                <w:szCs w:val="16"/>
                <w:color w:val="auto"/>
              </w:rPr>
              <w:t xml:space="preserve">Loans and Leases </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1,301,042</w:t>
            </w:r>
          </w:p>
        </w:tc>
        <w:tc>
          <w:tcPr>
            <w:tcW w:w="2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1,292,670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1,042</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w:t>
            </w:r>
          </w:p>
        </w:tc>
      </w:tr>
    </w:tbl>
    <w:p>
      <w:pPr>
        <w:spacing w:after="0" w:line="9" w:lineRule="exact"/>
        <w:rPr>
          <w:sz w:val="20"/>
          <w:szCs w:val="20"/>
          <w:color w:val="auto"/>
        </w:rPr>
      </w:pPr>
    </w:p>
    <w:p>
      <w:pPr>
        <w:ind w:left="180" w:right="20" w:hanging="172"/>
        <w:spacing w:after="0" w:line="205" w:lineRule="auto"/>
        <w:tabs>
          <w:tab w:leader="none" w:pos="169"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were included in the fair value of closed portfolios of investment securities, AFS used to designate hedging relationships in which the hedged item is the stated amount of assets in the closed portfolios anticipated to be outstanding for the designated hedge period. As of March 31, 2025 and December 31, 2024, the fair value of the closed portfolios used in these hedging relationships was $1.6 billion and $1.7 billion, respectively.</w:t>
      </w:r>
    </w:p>
    <w:p>
      <w:pPr>
        <w:spacing w:after="0" w:line="11" w:lineRule="exact"/>
        <w:rPr>
          <w:sz w:val="20"/>
          <w:szCs w:val="20"/>
          <w:color w:val="auto"/>
        </w:rPr>
      </w:pPr>
    </w:p>
    <w:p>
      <w:pPr>
        <w:ind w:left="180" w:right="200" w:hanging="172"/>
        <w:spacing w:after="0" w:line="215" w:lineRule="auto"/>
        <w:tabs>
          <w:tab w:leader="none" w:pos="144"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were included in the amortized cost basis of closed portfolios of loans used to designate hedging relationships in which the hedged item is the stated amount of assets in the closed portfolios anticipated to be outstanding for the designated hedge period. As of March 31, 2025 and December 31, 2024, the amortized cost basis of the closed portfolios used in these hedging relationships was $2.9 billion and $3.0 billion,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Commitments/Forward Commitments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enters into interest rate lock commitments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enters into interest rate swap agreements to facilitate the risk management strategies of a small number of commercial banking customers. The Company mitigates the risk of entering into these agreements by entering into equal and offsetting interest rate swap agreements with highly rated third-party financial institutions. The interest rate swap agreements are free-standing derivatives and are recorded at fair value in the Company’s unaudited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and marketable securities, is posted by the party (i.e., the Company or the financial institution counterparty) with net liability positions in accordance with contract thresholds. The Company had net asset positions with its financial institution counterparties totaling $100.5 million and $136.1 million as of March 31, 2025 and December 31, 2024,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Rate Swap Agreements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certain sales of Visa Class B restricted shares were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March 31, 2025 and December 31, 2024, the conversion rate swap agreement was valued at zero (i.e., no contingent liability recorded) as further reductions to the conversion ratio were deemed not reasonably estimable by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Makewhole Agreements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makewhole agreements with certain buyers of its Visa Class B restricted shares that reduces the payments that would be required pursuant to the conversion rate swap agreement described above, but would require payment to the buyer in the event Visa requires additional legal reserves to settle ongoing litigation. As of March 31, 2025 and December 31, 2024, the makewhole agreements were valued at zero (i.e., no contingent liability recorded) as the likelihood of the Company being required to make a payment to the buyer is not reasonably estimable by management.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exposed to changes in the fair value of fixed-rate assets due to changes in benchmark interest rates. The Company entered into pay-fixed and receive-floating interest rate swaps to manage its exposure to changes in fair value of its AFS investment securities and fixed rate loans. These interest rate swaps are designated as fair value hedges using the portfolio layer method. The Company receives variable-rate interest payments in exchange for making fixed-rate payments over the lives of the contracts without exchanging the notional amounts. The fair value hedges are recorded as components of other assets and other liabilities in the Company’s unaudited consolidated statements of financial condition. The gain or loss on these derivatives, as well as the offsetting loss or gain on the hedged items attributable to the hedged risk are recognized in interest income in the Company’s unaudited consolidated statements of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commitments as of March 31, 2025 and December 31,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Unfunded Commitments to Extend Credit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3,163,328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3,128,272</w:t>
            </w:r>
          </w:p>
        </w:tc>
      </w:tr>
      <w:tr>
        <w:trPr>
          <w:trHeight w:val="202"/>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660" w:type="dxa"/>
            <w:vAlign w:val="bottom"/>
          </w:tcPr>
          <w:p>
            <w:pPr>
              <w:spacing w:after="0"/>
              <w:rPr>
                <w:sz w:val="17"/>
                <w:szCs w:val="17"/>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91,309</w:t>
            </w:r>
          </w:p>
        </w:tc>
        <w:tc>
          <w:tcPr>
            <w:tcW w:w="24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96,484</w:t>
            </w:r>
          </w:p>
        </w:tc>
      </w:tr>
      <w:tr>
        <w:trPr>
          <w:trHeight w:val="203"/>
        </w:trPr>
        <w:tc>
          <w:tcPr>
            <w:tcW w:w="5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26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13,768</w:t>
            </w:r>
          </w:p>
        </w:tc>
        <w:tc>
          <w:tcPr>
            <w:tcW w:w="2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9,339</w:t>
            </w:r>
          </w:p>
        </w:tc>
      </w:tr>
      <w:tr>
        <w:trPr>
          <w:trHeight w:val="196"/>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3,268,405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3,234,095</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 to Extend Credit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and Commercial Letters of Credit</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 Assets valued at $76.6 million secured certain specifically identified standby letters of credit as of March 31, 2025. As of March 31, 2025, the standby and commercial letters of credit had remaining terms ranging from 1 to 13 months.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Assets and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76" w:lineRule="exact"/>
        <w:rPr>
          <w:sz w:val="20"/>
          <w:szCs w:val="20"/>
          <w:color w:val="auto"/>
        </w:rPr>
      </w:pPr>
    </w:p>
    <w:p>
      <w:pPr>
        <w:ind w:left="1560" w:right="1100" w:hanging="1038"/>
        <w:spacing w:after="0" w:line="266" w:lineRule="auto"/>
        <w:tabs>
          <w:tab w:leader="none" w:pos="15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59" w:lineRule="exact"/>
        <w:rPr>
          <w:sz w:val="20"/>
          <w:szCs w:val="20"/>
          <w:color w:val="auto"/>
        </w:rPr>
      </w:pPr>
    </w:p>
    <w:p>
      <w:pPr>
        <w:ind w:left="1560" w:right="1020" w:hanging="1038"/>
        <w:spacing w:after="0" w:line="261" w:lineRule="auto"/>
        <w:tabs>
          <w:tab w:leader="none" w:pos="15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61" w:lineRule="exact"/>
        <w:rPr>
          <w:sz w:val="20"/>
          <w:szCs w:val="20"/>
          <w:color w:val="auto"/>
        </w:rPr>
      </w:pPr>
    </w:p>
    <w:p>
      <w:pPr>
        <w:ind w:left="1560" w:right="800" w:hanging="1038"/>
        <w:spacing w:after="0" w:line="261" w:lineRule="auto"/>
        <w:tabs>
          <w:tab w:leader="none" w:pos="15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30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2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and collateralized mortgage obligations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 party pricing service, fair value may be estimated by the use of secondary pricing services or through the use of non-binding third party broker quotes.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mortgage servicing rights accounted for under the fair value measurement method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recorded at fair value on a recurring basis are comprised of IRLCs, forward commitments, interest rate swap agreements, and Visa Class B to Class A shares conversion rate swap and makewhole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fair values of interest rate swap agreements are calculated using a discounted cash flow approach and utilize Level 2 observable inputs such as a market yield curve, effective date, maturity date, notional amount, and stated interest rate. The valuation methodology for interest rate swaps with financial institution counterparties (and the related customer interest rate swaps) is based on the Secured Overnight Financing Rate (“SOFR”). Thus, the fair values of interest rate swaps are classified as a Level 2 measurement.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March 31, 2025 and December 31, 2024, the conversion rate swap agreements were valued at zero as reductions to the conversion ratio were not reasonably estimable by management.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The fair value of the makewhole agreements represent the amount owed by the Company to the buyer of the Visa Class B shares in the event Visa requires additional legal reserves to settle ongoing litigation. As of March 31, 2025, the makewhole agreements were valued at zero as the likelihood of the Company being required to make a payment to the buyer is not reasonably estimable by management.</w:t>
      </w:r>
    </w:p>
    <w:p>
      <w:pPr>
        <w:spacing w:after="0" w:line="1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of high credit quality and counterparties that carry high quality credit ratings.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balances of assets and liabilities measured at fair value on a recurring basis as of March 31, 2025 and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5"/>
                <w:szCs w:val="15"/>
                <w:color w:val="auto"/>
              </w:rPr>
            </w:pPr>
          </w:p>
        </w:tc>
        <w:tc>
          <w:tcPr>
            <w:tcW w:w="15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5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204"/>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5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or</w:t>
            </w:r>
          </w:p>
        </w:tc>
        <w:tc>
          <w:tcPr>
            <w:tcW w:w="15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40" w:type="dxa"/>
            <w:vAlign w:val="bottom"/>
          </w:tcPr>
          <w:p>
            <w:pPr>
              <w:spacing w:after="0"/>
              <w:rPr>
                <w:sz w:val="14"/>
                <w:szCs w:val="14"/>
                <w:color w:val="auto"/>
              </w:rPr>
            </w:pPr>
          </w:p>
        </w:tc>
        <w:tc>
          <w:tcPr>
            <w:tcW w:w="1280" w:type="dxa"/>
            <w:vAlign w:val="bottom"/>
          </w:tcPr>
          <w:p>
            <w:pPr>
              <w:jc w:val="center"/>
              <w:ind w:right="204"/>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00" w:type="dxa"/>
            <w:vAlign w:val="bottom"/>
          </w:tcPr>
          <w:p>
            <w:pPr>
              <w:spacing w:after="0"/>
              <w:rPr>
                <w:sz w:val="17"/>
                <w:szCs w:val="17"/>
                <w:color w:val="auto"/>
              </w:rPr>
            </w:pPr>
          </w:p>
        </w:tc>
        <w:tc>
          <w:tcPr>
            <w:tcW w:w="120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Observable Inputs</w:t>
            </w:r>
          </w:p>
        </w:tc>
        <w:tc>
          <w:tcPr>
            <w:tcW w:w="240" w:type="dxa"/>
            <w:vAlign w:val="bottom"/>
          </w:tcPr>
          <w:p>
            <w:pPr>
              <w:spacing w:after="0"/>
              <w:rPr>
                <w:sz w:val="17"/>
                <w:szCs w:val="17"/>
                <w:color w:val="auto"/>
              </w:rPr>
            </w:pPr>
          </w:p>
        </w:tc>
        <w:tc>
          <w:tcPr>
            <w:tcW w:w="128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6"/>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March 31, 2025</w:t>
            </w:r>
          </w:p>
        </w:tc>
        <w:tc>
          <w:tcPr>
            <w:tcW w:w="3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Investment Securities Available-for-Sale</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132,509</w:t>
            </w:r>
          </w:p>
        </w:tc>
        <w:tc>
          <w:tcPr>
            <w:tcW w:w="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94,887</w:t>
            </w: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227,396</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64,996</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64,996</w:t>
            </w:r>
          </w:p>
        </w:tc>
        <w:tc>
          <w:tcPr>
            <w:tcW w:w="0" w:type="dxa"/>
            <w:vAlign w:val="bottom"/>
          </w:tcPr>
          <w:p>
            <w:pPr>
              <w:spacing w:after="0"/>
              <w:rPr>
                <w:sz w:val="1"/>
                <w:szCs w:val="1"/>
                <w:color w:val="auto"/>
              </w:rPr>
            </w:pPr>
          </w:p>
        </w:tc>
      </w:tr>
      <w:tr>
        <w:trPr>
          <w:trHeight w:val="162"/>
        </w:trPr>
        <w:tc>
          <w:tcPr>
            <w:tcW w:w="52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Debt Securities Issued by U.S. Government-Sponsored Enterprises</w:t>
            </w:r>
          </w:p>
        </w:tc>
        <w:tc>
          <w:tcPr>
            <w:tcW w:w="300" w:type="dxa"/>
            <w:vAlign w:val="bottom"/>
          </w:tcPr>
          <w:p>
            <w:pPr>
              <w:spacing w:after="0"/>
              <w:rPr>
                <w:sz w:val="14"/>
                <w:szCs w:val="14"/>
                <w:color w:val="auto"/>
              </w:rPr>
            </w:pPr>
          </w:p>
        </w:tc>
        <w:tc>
          <w:tcPr>
            <w:tcW w:w="12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11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1,336</w:t>
            </w:r>
          </w:p>
        </w:tc>
        <w:tc>
          <w:tcPr>
            <w:tcW w:w="24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1,336</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Debt Securities Issued by Corporations</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700,472</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700,472</w:t>
            </w:r>
          </w:p>
        </w:tc>
        <w:tc>
          <w:tcPr>
            <w:tcW w:w="0" w:type="dxa"/>
            <w:vAlign w:val="bottom"/>
          </w:tcPr>
          <w:p>
            <w:pPr>
              <w:spacing w:after="0"/>
              <w:rPr>
                <w:sz w:val="1"/>
                <w:szCs w:val="1"/>
                <w:color w:val="auto"/>
              </w:rPr>
            </w:pPr>
          </w:p>
        </w:tc>
      </w:tr>
      <w:tr>
        <w:trPr>
          <w:trHeight w:val="162"/>
        </w:trPr>
        <w:tc>
          <w:tcPr>
            <w:tcW w:w="52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Collateralized Mortgage Obligations Issued by:</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1,008,504</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1,008,504</w:t>
            </w: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Commercial - Government Agencies or Sponsored Agencies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309,050</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309,050</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auto"/>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Collateralized Mortgage Obligations</w:t>
            </w:r>
          </w:p>
        </w:tc>
        <w:tc>
          <w:tcPr>
            <w:tcW w:w="3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1,317,554</w:t>
            </w:r>
          </w:p>
        </w:tc>
        <w:tc>
          <w:tcPr>
            <w:tcW w:w="24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1,317,554</w:t>
            </w:r>
          </w:p>
        </w:tc>
        <w:tc>
          <w:tcPr>
            <w:tcW w:w="0" w:type="dxa"/>
            <w:vAlign w:val="bottom"/>
          </w:tcPr>
          <w:p>
            <w:pPr>
              <w:spacing w:after="0"/>
              <w:rPr>
                <w:sz w:val="1"/>
                <w:szCs w:val="1"/>
                <w:color w:val="auto"/>
              </w:rPr>
            </w:pPr>
          </w:p>
        </w:tc>
      </w:tr>
      <w:tr>
        <w:trPr>
          <w:trHeight w:val="156"/>
        </w:trPr>
        <w:tc>
          <w:tcPr>
            <w:tcW w:w="520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Mortgage-Backed Securities:</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3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575,265</w:t>
            </w:r>
          </w:p>
        </w:tc>
        <w:tc>
          <w:tcPr>
            <w:tcW w:w="2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575,265</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Total Investment Securities Available-for-Sale</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132,509</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2,754,510</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2,887,019</w:t>
            </w:r>
          </w:p>
        </w:tc>
        <w:tc>
          <w:tcPr>
            <w:tcW w:w="0" w:type="dxa"/>
            <w:vAlign w:val="bottom"/>
          </w:tcPr>
          <w:p>
            <w:pPr>
              <w:spacing w:after="0"/>
              <w:rPr>
                <w:sz w:val="1"/>
                <w:szCs w:val="1"/>
                <w:color w:val="auto"/>
              </w:rPr>
            </w:pPr>
          </w:p>
        </w:tc>
      </w:tr>
      <w:tr>
        <w:trPr>
          <w:trHeight w:val="155"/>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Loans Held for Sale</w:t>
            </w:r>
          </w:p>
        </w:tc>
        <w:tc>
          <w:tcPr>
            <w:tcW w:w="3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2,640</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2,640</w:t>
            </w:r>
          </w:p>
        </w:tc>
        <w:tc>
          <w:tcPr>
            <w:tcW w:w="0" w:type="dxa"/>
            <w:vAlign w:val="bottom"/>
          </w:tcPr>
          <w:p>
            <w:pPr>
              <w:spacing w:after="0"/>
              <w:rPr>
                <w:sz w:val="1"/>
                <w:szCs w:val="1"/>
                <w:color w:val="auto"/>
              </w:rPr>
            </w:pP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Mortgage Servicing Rights</w:t>
            </w:r>
          </w:p>
        </w:tc>
        <w:tc>
          <w:tcPr>
            <w:tcW w:w="300" w:type="dxa"/>
            <w:vAlign w:val="bottom"/>
          </w:tcPr>
          <w:p>
            <w:pPr>
              <w:spacing w:after="0"/>
              <w:rPr>
                <w:sz w:val="14"/>
                <w:szCs w:val="14"/>
                <w:color w:val="auto"/>
              </w:rPr>
            </w:pPr>
          </w:p>
        </w:tc>
        <w:tc>
          <w:tcPr>
            <w:tcW w:w="12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11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628</w:t>
            </w:r>
          </w:p>
        </w:tc>
        <w:tc>
          <w:tcPr>
            <w:tcW w:w="38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628</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15,287</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15,287</w:t>
            </w: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125,625</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58</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125,683</w:t>
            </w:r>
          </w:p>
        </w:tc>
        <w:tc>
          <w:tcPr>
            <w:tcW w:w="0" w:type="dxa"/>
            <w:vAlign w:val="bottom"/>
          </w:tcPr>
          <w:p>
            <w:pPr>
              <w:spacing w:after="0"/>
              <w:rPr>
                <w:sz w:val="1"/>
                <w:szCs w:val="1"/>
                <w:color w:val="auto"/>
              </w:rPr>
            </w:pPr>
          </w:p>
        </w:tc>
      </w:tr>
      <w:tr>
        <w:trPr>
          <w:trHeight w:val="134"/>
        </w:trPr>
        <w:tc>
          <w:tcPr>
            <w:tcW w:w="52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Total Assets Measured at Fair Value on a Recurring Basis as of March 31,</w:t>
            </w:r>
          </w:p>
        </w:tc>
        <w:tc>
          <w:tcPr>
            <w:tcW w:w="3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2025</w:t>
            </w:r>
          </w:p>
        </w:tc>
        <w:tc>
          <w:tcPr>
            <w:tcW w:w="3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147,796</w:t>
            </w:r>
          </w:p>
        </w:tc>
        <w:tc>
          <w:tcPr>
            <w:tcW w:w="3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2,882,775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686</w:t>
            </w:r>
          </w:p>
        </w:tc>
        <w:tc>
          <w:tcPr>
            <w:tcW w:w="3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3,031,257</w:t>
            </w:r>
          </w:p>
        </w:tc>
        <w:tc>
          <w:tcPr>
            <w:tcW w:w="0" w:type="dxa"/>
            <w:vAlign w:val="bottom"/>
          </w:tcPr>
          <w:p>
            <w:pPr>
              <w:spacing w:after="0"/>
              <w:rPr>
                <w:sz w:val="1"/>
                <w:szCs w:val="1"/>
                <w:color w:val="auto"/>
              </w:rPr>
            </w:pPr>
          </w:p>
        </w:tc>
      </w:tr>
      <w:tr>
        <w:trPr>
          <w:trHeight w:val="143"/>
        </w:trPr>
        <w:tc>
          <w:tcPr>
            <w:tcW w:w="520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132,325</w:t>
            </w:r>
          </w:p>
        </w:tc>
        <w:tc>
          <w:tcPr>
            <w:tcW w:w="2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FF0FC"/>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132,325</w:t>
            </w:r>
          </w:p>
        </w:tc>
        <w:tc>
          <w:tcPr>
            <w:tcW w:w="0" w:type="dxa"/>
            <w:vAlign w:val="bottom"/>
          </w:tcPr>
          <w:p>
            <w:pPr>
              <w:spacing w:after="0"/>
              <w:rPr>
                <w:sz w:val="1"/>
                <w:szCs w:val="1"/>
                <w:color w:val="auto"/>
              </w:rPr>
            </w:pPr>
          </w:p>
        </w:tc>
      </w:tr>
      <w:tr>
        <w:trPr>
          <w:trHeight w:val="134"/>
        </w:trPr>
        <w:tc>
          <w:tcPr>
            <w:tcW w:w="5200" w:type="dxa"/>
            <w:vAlign w:val="bottom"/>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Total Liabilities Measured at Fair Value on a Recurring Basis as of March 31,</w:t>
            </w: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2025</w:t>
            </w: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132,325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132,325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December 31, 2024</w:t>
            </w: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Assets: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Investment Securities Available-for-Sale</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3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150,389</w:t>
            </w:r>
          </w:p>
        </w:tc>
        <w:tc>
          <w:tcPr>
            <w:tcW w:w="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98,683</w:t>
            </w: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249,072</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63,859</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63,859</w:t>
            </w:r>
          </w:p>
        </w:tc>
        <w:tc>
          <w:tcPr>
            <w:tcW w:w="0" w:type="dxa"/>
            <w:vAlign w:val="bottom"/>
          </w:tcPr>
          <w:p>
            <w:pPr>
              <w:spacing w:after="0"/>
              <w:rPr>
                <w:sz w:val="1"/>
                <w:szCs w:val="1"/>
                <w:color w:val="auto"/>
              </w:rPr>
            </w:pPr>
          </w:p>
        </w:tc>
      </w:tr>
      <w:tr>
        <w:trPr>
          <w:trHeight w:val="162"/>
        </w:trPr>
        <w:tc>
          <w:tcPr>
            <w:tcW w:w="52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Debt Securities Issued by U.S. Government-Sponsored Enterprises</w:t>
            </w:r>
          </w:p>
        </w:tc>
        <w:tc>
          <w:tcPr>
            <w:tcW w:w="300" w:type="dxa"/>
            <w:vAlign w:val="bottom"/>
          </w:tcPr>
          <w:p>
            <w:pPr>
              <w:spacing w:after="0"/>
              <w:rPr>
                <w:sz w:val="14"/>
                <w:szCs w:val="14"/>
                <w:color w:val="auto"/>
              </w:rPr>
            </w:pPr>
          </w:p>
        </w:tc>
        <w:tc>
          <w:tcPr>
            <w:tcW w:w="12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11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1,464</w:t>
            </w:r>
          </w:p>
        </w:tc>
        <w:tc>
          <w:tcPr>
            <w:tcW w:w="24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1,464</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Debt Securities Issued by Corporations</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671,675</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671,675</w:t>
            </w:r>
          </w:p>
        </w:tc>
        <w:tc>
          <w:tcPr>
            <w:tcW w:w="0" w:type="dxa"/>
            <w:vAlign w:val="bottom"/>
          </w:tcPr>
          <w:p>
            <w:pPr>
              <w:spacing w:after="0"/>
              <w:rPr>
                <w:sz w:val="1"/>
                <w:szCs w:val="1"/>
                <w:color w:val="auto"/>
              </w:rPr>
            </w:pPr>
          </w:p>
        </w:tc>
      </w:tr>
      <w:tr>
        <w:trPr>
          <w:trHeight w:val="162"/>
        </w:trPr>
        <w:tc>
          <w:tcPr>
            <w:tcW w:w="52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Collateralized Mortgage Obligations Issued by:</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935,220</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935,220</w:t>
            </w: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Commercial - Government Agencies or Sponsored Agencies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283,474</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283,474</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auto"/>
            </w:tcBorders>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Collateralized Mortgage Obligations</w:t>
            </w:r>
          </w:p>
        </w:tc>
        <w:tc>
          <w:tcPr>
            <w:tcW w:w="3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1,218,694</w:t>
            </w:r>
          </w:p>
        </w:tc>
        <w:tc>
          <w:tcPr>
            <w:tcW w:w="24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1,218,694</w:t>
            </w:r>
          </w:p>
        </w:tc>
        <w:tc>
          <w:tcPr>
            <w:tcW w:w="0" w:type="dxa"/>
            <w:vAlign w:val="bottom"/>
          </w:tcPr>
          <w:p>
            <w:pPr>
              <w:spacing w:after="0"/>
              <w:rPr>
                <w:sz w:val="1"/>
                <w:szCs w:val="1"/>
                <w:color w:val="auto"/>
              </w:rPr>
            </w:pPr>
          </w:p>
        </w:tc>
      </w:tr>
      <w:tr>
        <w:trPr>
          <w:trHeight w:val="156"/>
        </w:trPr>
        <w:tc>
          <w:tcPr>
            <w:tcW w:w="520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Mortgage-Backed Securities Issued by:</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3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484,764</w:t>
            </w:r>
          </w:p>
        </w:tc>
        <w:tc>
          <w:tcPr>
            <w:tcW w:w="2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484,764</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Total Investment Securities Available-for-Sale</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150,389</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2,539,139</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2,689,528</w:t>
            </w:r>
          </w:p>
        </w:tc>
        <w:tc>
          <w:tcPr>
            <w:tcW w:w="0" w:type="dxa"/>
            <w:vAlign w:val="bottom"/>
          </w:tcPr>
          <w:p>
            <w:pPr>
              <w:spacing w:after="0"/>
              <w:rPr>
                <w:sz w:val="1"/>
                <w:szCs w:val="1"/>
                <w:color w:val="auto"/>
              </w:rPr>
            </w:pPr>
          </w:p>
        </w:tc>
      </w:tr>
      <w:tr>
        <w:trPr>
          <w:trHeight w:val="155"/>
        </w:trPr>
        <w:tc>
          <w:tcPr>
            <w:tcW w:w="5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Loans Held for Sale</w:t>
            </w:r>
          </w:p>
        </w:tc>
        <w:tc>
          <w:tcPr>
            <w:tcW w:w="3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2,150</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2,150</w:t>
            </w:r>
          </w:p>
        </w:tc>
        <w:tc>
          <w:tcPr>
            <w:tcW w:w="0" w:type="dxa"/>
            <w:vAlign w:val="bottom"/>
          </w:tcPr>
          <w:p>
            <w:pPr>
              <w:spacing w:after="0"/>
              <w:rPr>
                <w:sz w:val="1"/>
                <w:szCs w:val="1"/>
                <w:color w:val="auto"/>
              </w:rPr>
            </w:pPr>
          </w:p>
        </w:tc>
      </w:tr>
      <w:tr>
        <w:trPr>
          <w:trHeight w:val="162"/>
        </w:trPr>
        <w:tc>
          <w:tcPr>
            <w:tcW w:w="5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Mortgage Servicing Rights</w:t>
            </w:r>
          </w:p>
        </w:tc>
        <w:tc>
          <w:tcPr>
            <w:tcW w:w="300" w:type="dxa"/>
            <w:vAlign w:val="bottom"/>
          </w:tcPr>
          <w:p>
            <w:pPr>
              <w:spacing w:after="0"/>
              <w:rPr>
                <w:sz w:val="14"/>
                <w:szCs w:val="14"/>
                <w:color w:val="auto"/>
              </w:rPr>
            </w:pPr>
          </w:p>
        </w:tc>
        <w:tc>
          <w:tcPr>
            <w:tcW w:w="12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11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647</w:t>
            </w:r>
          </w:p>
        </w:tc>
        <w:tc>
          <w:tcPr>
            <w:tcW w:w="38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647</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18,155</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18,155</w:t>
            </w: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161,439</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161,473</w:t>
            </w:r>
          </w:p>
        </w:tc>
        <w:tc>
          <w:tcPr>
            <w:tcW w:w="0" w:type="dxa"/>
            <w:vAlign w:val="bottom"/>
          </w:tcPr>
          <w:p>
            <w:pPr>
              <w:spacing w:after="0"/>
              <w:rPr>
                <w:sz w:val="1"/>
                <w:szCs w:val="1"/>
                <w:color w:val="auto"/>
              </w:rPr>
            </w:pPr>
          </w:p>
        </w:tc>
      </w:tr>
      <w:tr>
        <w:trPr>
          <w:trHeight w:val="134"/>
        </w:trPr>
        <w:tc>
          <w:tcPr>
            <w:tcW w:w="52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Total Assets Measured at Fair Value on a Recurring Basis as of December 31,</w:t>
            </w:r>
          </w:p>
        </w:tc>
        <w:tc>
          <w:tcPr>
            <w:tcW w:w="3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3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168,544</w:t>
            </w:r>
          </w:p>
        </w:tc>
        <w:tc>
          <w:tcPr>
            <w:tcW w:w="3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2,702,728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681</w:t>
            </w:r>
          </w:p>
        </w:tc>
        <w:tc>
          <w:tcPr>
            <w:tcW w:w="38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2,871,953</w:t>
            </w:r>
          </w:p>
        </w:tc>
        <w:tc>
          <w:tcPr>
            <w:tcW w:w="0" w:type="dxa"/>
            <w:vAlign w:val="bottom"/>
          </w:tcPr>
          <w:p>
            <w:pPr>
              <w:spacing w:after="0"/>
              <w:rPr>
                <w:sz w:val="1"/>
                <w:szCs w:val="1"/>
                <w:color w:val="auto"/>
              </w:rPr>
            </w:pPr>
          </w:p>
        </w:tc>
      </w:tr>
      <w:tr>
        <w:trPr>
          <w:trHeight w:val="143"/>
        </w:trPr>
        <w:tc>
          <w:tcPr>
            <w:tcW w:w="520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154,058</w:t>
            </w:r>
          </w:p>
        </w:tc>
        <w:tc>
          <w:tcPr>
            <w:tcW w:w="2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FF0FC"/>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154,058</w:t>
            </w:r>
          </w:p>
        </w:tc>
        <w:tc>
          <w:tcPr>
            <w:tcW w:w="0" w:type="dxa"/>
            <w:vAlign w:val="bottom"/>
          </w:tcPr>
          <w:p>
            <w:pPr>
              <w:spacing w:after="0"/>
              <w:rPr>
                <w:sz w:val="1"/>
                <w:szCs w:val="1"/>
                <w:color w:val="auto"/>
              </w:rPr>
            </w:pPr>
          </w:p>
        </w:tc>
      </w:tr>
      <w:tr>
        <w:trPr>
          <w:trHeight w:val="134"/>
        </w:trPr>
        <w:tc>
          <w:tcPr>
            <w:tcW w:w="5200" w:type="dxa"/>
            <w:vAlign w:val="bottom"/>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Total Liabilities Measured at Fair Value on a Recurring Basis as of December</w:t>
            </w: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31, 2024</w:t>
            </w: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154,058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154,058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fair value of each class of derivatives is shown in Note 10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March 31, 2025 and December 31, 2024, there were no assets or liabilities with nonrecurring fair value adjustments. Additionally, there were no nonrecurring fair value adjustments during the three months ended March 31, 2025 and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unpaid principal balance of the Company’s residential mortgage loans held for sale as of March 31, 2025 and December 31,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Aggregate Fair Value</w:t>
            </w:r>
          </w:p>
        </w:tc>
      </w:tr>
      <w:tr>
        <w:trPr>
          <w:trHeight w:val="203"/>
        </w:trPr>
        <w:tc>
          <w:tcPr>
            <w:tcW w:w="3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Aggregate Fair</w:t>
            </w:r>
          </w:p>
        </w:tc>
        <w:tc>
          <w:tcPr>
            <w:tcW w:w="1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Aggregate Unpaid</w:t>
            </w:r>
          </w:p>
        </w:tc>
        <w:tc>
          <w:tcPr>
            <w:tcW w:w="240" w:type="dxa"/>
            <w:vAlign w:val="bottom"/>
          </w:tcPr>
          <w:p>
            <w:pPr>
              <w:spacing w:after="0"/>
              <w:rPr>
                <w:sz w:val="17"/>
                <w:szCs w:val="17"/>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Less Aggregate</w:t>
            </w:r>
          </w:p>
        </w:tc>
      </w:tr>
      <w:tr>
        <w:trPr>
          <w:trHeight w:val="215"/>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Unpaid Principal</w:t>
            </w:r>
          </w:p>
        </w:tc>
      </w:tr>
      <w:tr>
        <w:trPr>
          <w:trHeight w:val="19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5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0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2,640</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2,586</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5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2,150</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r>
    </w:tbl>
    <w:p>
      <w:pPr>
        <w:spacing w:after="0" w:line="13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Changes in the estimated fair value of residential mortgage loans held for sale are reported as a component of mortgage banking income in the Company’s unaudited consolidated statements of income. For the three months ended March 31, 2025 and 2024, the net gains or losses from the change in fair value of the Company’s residential mortgage loans held for sale were immaterial.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presents the carrying amount, fair value, and placement in the fair value hierarchy of the Company’s financial instruments not recorded at fair value on a recurring basis as of March 31, 2025 and December 31, 2024.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of Des Moines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the estimate of fair value due to these products having no stated maturity.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080" w:type="dxa"/>
            <w:vAlign w:val="bottom"/>
            <w:tcBorders>
              <w:bottom w:val="single" w:sz="8" w:color="auto"/>
            </w:tcBorders>
          </w:tcPr>
          <w:p>
            <w:pPr>
              <w:spacing w:after="0"/>
              <w:rPr>
                <w:sz w:val="18"/>
                <w:szCs w:val="18"/>
                <w:color w:val="auto"/>
              </w:rPr>
            </w:pPr>
          </w:p>
        </w:tc>
      </w:tr>
      <w:tr>
        <w:trPr>
          <w:trHeight w:val="186"/>
        </w:trPr>
        <w:tc>
          <w:tcPr>
            <w:tcW w:w="3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3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40" w:type="dxa"/>
            <w:vAlign w:val="bottom"/>
          </w:tcPr>
          <w:p>
            <w:pPr>
              <w:spacing w:after="0"/>
              <w:rPr>
                <w:sz w:val="17"/>
                <w:szCs w:val="17"/>
                <w:color w:val="auto"/>
              </w:rPr>
            </w:pPr>
          </w:p>
        </w:tc>
        <w:tc>
          <w:tcPr>
            <w:tcW w:w="11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240" w:type="dxa"/>
            <w:vAlign w:val="bottom"/>
          </w:tcPr>
          <w:p>
            <w:pPr>
              <w:spacing w:after="0"/>
              <w:rPr>
                <w:sz w:val="17"/>
                <w:szCs w:val="17"/>
                <w:color w:val="auto"/>
              </w:rPr>
            </w:pPr>
          </w:p>
        </w:tc>
        <w:tc>
          <w:tcPr>
            <w:tcW w:w="11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17"/>
                <w:szCs w:val="17"/>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3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Assets or</w:t>
            </w:r>
          </w:p>
        </w:tc>
        <w:tc>
          <w:tcPr>
            <w:tcW w:w="240" w:type="dxa"/>
            <w:vAlign w:val="bottom"/>
          </w:tcPr>
          <w:p>
            <w:pPr>
              <w:spacing w:after="0"/>
              <w:rPr>
                <w:sz w:val="17"/>
                <w:szCs w:val="17"/>
                <w:color w:val="auto"/>
              </w:rPr>
            </w:pPr>
          </w:p>
        </w:tc>
        <w:tc>
          <w:tcPr>
            <w:tcW w:w="11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3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(Level</w:t>
            </w:r>
          </w:p>
        </w:tc>
      </w:tr>
      <w:tr>
        <w:trPr>
          <w:trHeight w:val="215"/>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19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4,535,108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3,823,655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119,571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3,704,084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Loans</w:t>
            </w:r>
          </w:p>
        </w:tc>
        <w:tc>
          <w:tcPr>
            <w:tcW w:w="72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13,815,211</w:t>
            </w:r>
          </w:p>
        </w:tc>
        <w:tc>
          <w:tcPr>
            <w:tcW w:w="2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13,111,245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13,111,245</w:t>
            </w:r>
          </w:p>
        </w:tc>
      </w:tr>
      <w:tr>
        <w:trPr>
          <w:trHeight w:val="20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Time Deposits</w:t>
            </w:r>
          </w:p>
        </w:tc>
        <w:tc>
          <w:tcPr>
            <w:tcW w:w="72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3,038,894</w:t>
            </w:r>
          </w:p>
        </w:tc>
        <w:tc>
          <w:tcPr>
            <w:tcW w:w="2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3,029,831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3,029,831</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51,407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51,407</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2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550,000</w:t>
            </w:r>
          </w:p>
        </w:tc>
        <w:tc>
          <w:tcPr>
            <w:tcW w:w="2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543,692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543,692</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4,618,543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3,820,882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116,941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3,703,941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Loans</w:t>
            </w:r>
          </w:p>
        </w:tc>
        <w:tc>
          <w:tcPr>
            <w:tcW w:w="72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13,777,756</w:t>
            </w:r>
          </w:p>
        </w:tc>
        <w:tc>
          <w:tcPr>
            <w:tcW w:w="2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12,908,626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12,908,626</w:t>
            </w:r>
          </w:p>
        </w:tc>
      </w:tr>
      <w:tr>
        <w:trPr>
          <w:trHeight w:val="20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Time Deposits</w:t>
            </w:r>
          </w:p>
        </w:tc>
        <w:tc>
          <w:tcPr>
            <w:tcW w:w="72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3,059,575</w:t>
            </w:r>
          </w:p>
        </w:tc>
        <w:tc>
          <w:tcPr>
            <w:tcW w:w="2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3,050,583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3,050,583</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101,478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101,478</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20" w:type="dxa"/>
            <w:vAlign w:val="bottom"/>
          </w:tcPr>
          <w:p>
            <w:pPr>
              <w:spacing w:after="0"/>
              <w:rPr>
                <w:sz w:val="22"/>
                <w:szCs w:val="22"/>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550,000</w:t>
            </w:r>
          </w:p>
        </w:tc>
        <w:tc>
          <w:tcPr>
            <w:tcW w:w="2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538,808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538,808</w:t>
            </w:r>
          </w:p>
        </w:tc>
        <w:tc>
          <w:tcPr>
            <w:tcW w:w="2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ind w:left="180" w:hanging="172"/>
        <w:spacing w:after="0" w:line="189" w:lineRule="auto"/>
        <w:tabs>
          <w:tab w:leader="none" w:pos="1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finance lease obligations</w:t>
      </w:r>
    </w:p>
    <w:p>
      <w:pPr>
        <w:sectPr>
          <w:pgSz w:w="11900" w:h="16838" w:orient="portrait"/>
          <w:cols w:equalWidth="0" w:num="1">
            <w:col w:w="11240"/>
          </w:cols>
          <w:pgMar w:left="320" w:top="117" w:right="339"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(“MD&amp;A”) of Financial Condition and Results of Operations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Company and its operations and is focused on our financial results for the first quarter of 2025, including comparisons of year-to-year performance, trends, and updates from the Company’s most recent 10-K filing. Discussion and analysis of our 2024 fiscal year, as well as the year-to-year comparison between fiscal years 2024 and 2023, are included in Part II, Item 7. “Management's Discussion and Analysis of Financial Condition and Results of Operations,” of our Annual Report on Form 10-K for the fiscal year ended December 31, 2024, filed with the SEC on March 4,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Words such as “believes,” “anticipates,” “expects,” “intends,” “targeted,” and similar expressions are intended to identify forward-looking statements but are not the exclusive means of identifying such statements. We also may make forward-looking statements in our other documents filed with or furnished to the U.S. Securities and Exchange Commission (the “SEC”). In addition, our senior management may provide forward-looking statements orally to analysts, investors, representatives of the media and others. Given these risks and uncertainties, you should not place undue reliance on any forward-looking statement as a prediction of our actual results.</w:t>
      </w:r>
    </w:p>
    <w:p>
      <w:pPr>
        <w:spacing w:after="0" w:line="1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forward-looking statements are based on numerous assumptions, any of which could prove to be inaccurate, and actual results may differ materially from those projected because of a variety of risks and uncertainties, including, but not limited to: (1) Our business is sensitive to regional business and economic conditions, in particular those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Guam and other Pacific Islands; (2) Our loan portfolio is largely secured by real estate, and a downturn in the real estate market may adversely affect our results of operations; (3) Significant changes to the size, structure, powers and operations of the federal government, changes to U.S. economic policies, and uncertainties regarding the potential for these changes may cause economic disruptions that could, in turn, adversely impact our business, results of operations and financial condition; (4) A sustained period of high inflation could pose a risk to local economies and the financial performance of the Bank; (5) Climate change and the governmental responses to it could have a material adverse impact on the Bank and its customers; (6) Disruptions, instability and failures in the banking industry may negatively impact us; (7) Any reduction in defense spending by the federal government in the state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could adversely impact the economy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(8) Changes in interest rates could adversely impact our results of operations and capital; (9) Our allowance for credit losses may prove to be insufficient to absorb losses or appropriately reflect, at any given time, the inherent risk of loss in our loan portfolio; (10) Consumer protection initiatives and court decisions related to the foreclosure process affect our remedies as a creditor; (11) Changes in the capital markets could materially affect the level of assets under management and the demand for our other fee-based services; (12) The Parent’s liquidity is dependent on dividends from the Bank; (13) There can be no assurance that the Parent will continue to declare cash dividends; (14) Fiscal and monetary policy changes may significantly impact our profitability and liquidity; (15) Legislation and regulatory initiatives affecting the financial services industry, including new interpretations, restrictions and requirements, could detrimentally affect the Company’s business; (16) Changes in income tax laws and interpretations, or in accounting standards, could materially affect our financial condition or results of operations; (17) A failure in or breach of our operational systems, information systems, or infrastructure, or those of our third party vendors and other service providers, may result in financial losses, loss of customers, or damage to our reputation; (18) An interruption or breach in security of our information systems or those related to merchants and third party vendors, including as a result of cyber-attacks, could disrupt our business, result in the disclosure or misuse of confidential or proprietary information, damage our reputation, or result in financial losses; (19) Our mortgage banking income may experience significant volatility; (20) Our mortgage loan servicing business may be impacted if we do not meet our obligations, or if servicing standards change; (21) Risks related to representation and warranty provisions may impact our mortgage loan servicing business; (22) Risks relating to residential mortgage loan servicing activities may adversely affect our results; (23) The requirement to record certain assets and liabilities at fair value may adversely affect our financial results (24) Natural disasters and adverse weather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may negatively affect real estate property values and our operations (25) Competition may adversely affect our business; (26) Our future performance will depend on our ability to respond timely to technological change; (27) Negative public opinion could damage our reputation and adversely impact our earnings and liquidity (28) We are subject to certain litigation, and our expenses related to this litigation may adversely affect our results; (29) Our performance depends on attracting and retaining key employees and skilled personnel to operate our business effectively; (30) The soundness of other financial institutions may adversely impact our financial condition or results of operations; and (31) We have experienced increases in FDIC insurance assessments.</w:t>
      </w:r>
    </w:p>
    <w:p>
      <w:pPr>
        <w:spacing w:after="0" w:line="19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risks and uncertainties that could cause actual results to differ materially from our historical experience and our expectations and projections include but are not limited to those described in Item 1A. “Risk Factors,” Item 7. “Management’s Discussion and Analysis of Financial Condition and Results of Operations,” and elsewhere in our most recent Annual Report on Form 10-K and in subsequent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SEC filings.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Announcements</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the Company intends to announce financial and other information to the Company’s investors using the Company’s investor relations website at https://ir.boh.com, social media channels, press releases, and public conference calls and webcasts, all for purposes of complying with the Company’s disclosure obligations under Regulation FD. Accordingly, investors should monitor these channels, as information is updated, and new information is posted.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were prepared in accordance with U.S. generally accepted accounting principles (“GAAP”) and follow general practices within the industries in which we operate. Application of GAAP requires us to make estimates that affect the amounts reported in the Consolidated Financial Statements and accompanying notes. Most accounting estimates are not considered by management to be critical accounting estimates. Critical accounting estimates are those estimates made in accordance with GAAP that involve a significant level of estimation uncertainty and have had or are reasonably likely to have a material impact on our financial condition or results of operations. In determining which accounting estimates are critical accounting estimates, we consider, among other things, whether the application of GAAP requires management to make difficult, subjective, and complex judgments about matters that are inherently uncertain and whether it is likely that materially different results would be reported under different conditions or different assumptions. The accounting estimates that we believe are most critical in preparing our Consolidated Financial Statements are presented in the section titled “Critical Accounting Estimates” in Item 7. “Management’s Discussion and Analysis of Financial Condition and Results of Operations” included in the Company’s Annual Report on Form 10-K for the year ended December 31, 2024. There have been no significant changes in the Company’s application of critical accounting estimates since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a regional financial services company serving businesses, consumers, and governments in Hawai‘i, Guam, and other Pacific Islands. Our principal operating subsidiary, the Bank, was founded in 1897.</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business strategy is to use our unique market knowledge, prudent management discipline and brand strength to deliver exceptional value to our stakeholders. Our business plan is balanced between growth and risk management while maintaining flexibility to adjust to economic changes. We will continue to focus on providing customers with best-in-class service and an innovative mix of products and services. We will also remain focused on delivering strong financial results while maintaining prudent risk and capital management strategies and affirming our commitment to support our local communities.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Hawai‘i Economy</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Currently, Hawai‘i's economy remains on stable footing, but economic growth may be disrupted by changes in trade policies and tariffs, immigration actions, and federal spending cuts. The Maui economy continues its gradual post-wildfire recovery while the visitor industry for the rest of the Hawai‘i is expected to remain stable in the near term. Strong construction activity from both public and private sector projects continues to drive employment and serves as the primary bright spot in the local economy. However, tariffs on materials and potential labor shortages are looming concerns. Hawai‘i’s unemployment rate was 2.9% in March 2025, which was below the U.S. unemployment rate of 4.2%.</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first three months of 2025, the median price of single-family home and condominium sales on Oahu increased by 7.5% and 1.0%, respectively, compared to the same period in 2024. The volume of single-family homes sales on Oahu decreased 4.0% and condominium sales increased 0.4% compared to the same period in 2024. Inventory of single-family homes and condominiums on Oahu was 3.3 months and 6.2 months, respectively, for the first quarter of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Summary</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income for the first quarter of 2025 was $44.0 million, an increase of $7.6 million or 21% compared to the same period in 2024. Diluted earnings per common share was $0.97 for the first quarter of 2025, an increase of $0.10 or 11% compared to the same period in 2024.</w:t>
      </w:r>
    </w:p>
    <w:p>
      <w:pPr>
        <w:spacing w:after="0" w:line="121" w:lineRule="exact"/>
        <w:rPr>
          <w:sz w:val="20"/>
          <w:szCs w:val="20"/>
          <w:color w:val="auto"/>
        </w:rPr>
      </w:pPr>
    </w:p>
    <w:p>
      <w:pPr>
        <w:jc w:val="center"/>
        <w:ind w:left="5540" w:right="740" w:hanging="5023"/>
        <w:spacing w:after="0" w:line="501" w:lineRule="auto"/>
        <w:tabs>
          <w:tab w:leader="none" w:pos="10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average common equity for the first quarter of 2025 was 11.80% compared with 11.20% in the same quarter of 2024.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for the first quarter of 2025 was $125.8 million, an increase of 10% compared to the same period last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was 2.32% in the first quarter of 2025, an increase of 21 basis points from the same period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for the first quarter of 2025 and 2024 was $3.3 million and $2.0 million, respectively.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was $44.1 million in the first quarter of 2025, an increase of 4% compared to the same period last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was $110.5 million in the first quarter of 2025, an increase of 4% compared to the same period last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for the first quarter of 2025 was 21.67% compared to 24.76% for the same period last year.</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continued to maintain a strong balance sheet during the first quarter of 2025, with what we believe are appropriate reserves for credit losses and strong capital.</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were $23.9 billion as of March 31, 2025, an increase of 1.2% from December 31,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$14.1 billion as of March 31, 2025, an increase of 0.3% from December 31, 2024.</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credit losses on loans and leases was $147.7 million as of March 31, 2025, a decrease of $0.8 million from December 31, 2024. The ratio of the allowance for credit losses to total loans and leases outstanding was 1.05% at the end of the quarter, down 1 basis point from December 31, 2024.</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loan and lease charge-offs during the first quarter of 2025 were $4.4 million or 13 basis points annualized of total average loans and leases outstanding. Net loan and lease charge-offs for the first quarter of 2025 were comprised of charge-offs of $5.7 million partially offset by recoveries of $1.3 million. Compared to the same quarter of 2024, net loan and lease charge-offs increased by $2.1 million or 6 basis points annualized on total average loans and leases outstanding.</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non-performing assets (“NPAs”) were $17.5 million as of March 31, 2025, down $1.8 million from December 31, 2024. NPAs were 12 basis points of total loans and leases and foreclosed real estate at the end of the quarter, down 2 basis points from December 31, 2024.</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9"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investment securities portfolio was $7.4 billion as of March 31, 2025, an increase of 2% from December 31, 2024. The investment portfolio remains largely comprised of securities issued by U.S. government agencies and U.S. government-sponsored enterprises. Floating rate securities represented 17.4% of the investment securities portfolio as of March 31, 2025, compared to 16.5% as of December 31, 2024.</w:t>
      </w:r>
    </w:p>
    <w:p>
      <w:pPr>
        <w:spacing w:after="0" w:line="4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$21.0 billion as of March 31, 2025 and $20.6 billion as of December 31,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was $1.7 billion as of March 31, 2025, an increase of 2% from December 31, 2024.</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common stock were repurchased under the share repurchase program in the first quarter of 2025. Total remaining buyback authority under the share repurchase program was $126.0 million at March 31,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declared a quarterly cash dividend of $0.70 per share on the Company’s outstanding common shares. The dividend will be payable on June 13, 2025 to shareholders of record at the close of business on May 30, 2025.</w:t>
      </w:r>
    </w:p>
    <w:p>
      <w:pPr>
        <w:spacing w:after="0" w:line="53"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2025, the Company announced that the Board of Directors declared quarterly dividend payments of $10.94 per share, equivalent to $0.2735 per depositary share, on its preferred stock, Series A, and $20.00 per share, equivalent to $0.5000 per depositary share, on its preferred stock, Series B. The depositary shares representing the Series A Preferred Stock and Series B Preferred Stock are traded on the NYSE under the symbol “BOH.PRA” and “BOH.PRB”, respectively. The dividends on the Series A Preferred Stock and Series B Preferred Stock will be payable on May 1, 2025 to shareholders of record of the preferred stock as of the close of business on April 16, 2025.</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Income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Average Balances and Interest Rates - Taxable-Equivalent Basis ¹</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Table 1</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55"/>
        </w:trPr>
        <w:tc>
          <w:tcPr>
            <w:tcW w:w="3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4"/>
          </w:tcPr>
          <w:p>
            <w:pPr>
              <w:jc w:val="right"/>
              <w:ind w:right="464"/>
              <w:spacing w:after="0" w:line="156" w:lineRule="exact"/>
              <w:rPr>
                <w:sz w:val="20"/>
                <w:szCs w:val="20"/>
                <w:color w:val="auto"/>
              </w:rPr>
            </w:pPr>
            <w:r>
              <w:rPr>
                <w:rFonts w:ascii="Times New Roman" w:cs="Times New Roman" w:eastAsia="Times New Roman" w:hAnsi="Times New Roman"/>
                <w:sz w:val="15"/>
                <w:szCs w:val="15"/>
                <w:b w:val="1"/>
                <w:bCs w:val="1"/>
                <w:color w:val="auto"/>
              </w:rPr>
              <w:t>Three Months Ended March 31, 2025</w:t>
            </w:r>
          </w:p>
        </w:tc>
        <w:tc>
          <w:tcPr>
            <w:tcW w:w="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5"/>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Three Months Ended March 31, 2024</w:t>
            </w:r>
          </w:p>
        </w:tc>
        <w:tc>
          <w:tcPr>
            <w:tcW w:w="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4"/>
        </w:trPr>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284"/>
              <w:spacing w:after="0" w:line="134" w:lineRule="exact"/>
              <w:rPr>
                <w:sz w:val="20"/>
                <w:szCs w:val="20"/>
                <w:color w:val="auto"/>
              </w:rPr>
            </w:pPr>
            <w:r>
              <w:rPr>
                <w:rFonts w:ascii="Times New Roman" w:cs="Times New Roman" w:eastAsia="Times New Roman" w:hAnsi="Times New Roman"/>
                <w:sz w:val="15"/>
                <w:szCs w:val="15"/>
                <w:b w:val="1"/>
                <w:bCs w:val="1"/>
                <w:color w:val="auto"/>
              </w:rPr>
              <w:t>Income/</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264"/>
              <w:spacing w:after="0" w:line="134" w:lineRule="exact"/>
              <w:rPr>
                <w:sz w:val="20"/>
                <w:szCs w:val="20"/>
                <w:color w:val="auto"/>
              </w:rPr>
            </w:pPr>
            <w:r>
              <w:rPr>
                <w:rFonts w:ascii="Times New Roman" w:cs="Times New Roman" w:eastAsia="Times New Roman" w:hAnsi="Times New Roman"/>
                <w:sz w:val="15"/>
                <w:szCs w:val="15"/>
                <w:b w:val="1"/>
                <w:bCs w:val="1"/>
                <w:color w:val="auto"/>
              </w:rPr>
              <w:t>Income/</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83"/>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(dollars in millions)</w:t>
            </w: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Average Balance</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9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Yield/ Rate</w:t>
            </w: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Average Balance</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Yield/ Rate</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56"/>
        </w:trPr>
        <w:tc>
          <w:tcPr>
            <w:tcW w:w="36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Earning Assets</w:t>
            </w:r>
          </w:p>
        </w:tc>
        <w:tc>
          <w:tcPr>
            <w:tcW w:w="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r>
      <w:tr>
        <w:trPr>
          <w:trHeight w:val="162"/>
        </w:trPr>
        <w:tc>
          <w:tcPr>
            <w:tcW w:w="36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4.37</w:t>
            </w:r>
          </w:p>
        </w:tc>
        <w:tc>
          <w:tcPr>
            <w:tcW w:w="4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460.7</w:t>
            </w:r>
          </w:p>
        </w:tc>
        <w:tc>
          <w:tcPr>
            <w:tcW w:w="1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5.29</w:t>
            </w:r>
          </w:p>
        </w:tc>
        <w:tc>
          <w:tcPr>
            <w:tcW w:w="2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6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Investment Securities</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Available-for-Sale</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8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Taxable</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2,790.3</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24.1</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3.47</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2,380.4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21.8</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3.66</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Non-Taxable</w:t>
            </w:r>
          </w:p>
        </w:tc>
        <w:tc>
          <w:tcPr>
            <w:tcW w:w="8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21.3</w:t>
            </w:r>
          </w:p>
        </w:tc>
        <w:tc>
          <w:tcPr>
            <w:tcW w:w="140" w:type="dxa"/>
            <w:vAlign w:val="bottom"/>
          </w:tcPr>
          <w:p>
            <w:pPr>
              <w:spacing w:after="0"/>
              <w:rPr>
                <w:sz w:val="14"/>
                <w:szCs w:val="14"/>
                <w:color w:val="auto"/>
              </w:rPr>
            </w:pPr>
          </w:p>
        </w:tc>
        <w:tc>
          <w:tcPr>
            <w:tcW w:w="9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0.3</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5.68</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Held-to-Maturity</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Taxable</w:t>
            </w:r>
          </w:p>
        </w:tc>
        <w:tc>
          <w:tcPr>
            <w:tcW w:w="8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4,548.6</w:t>
            </w:r>
          </w:p>
        </w:tc>
        <w:tc>
          <w:tcPr>
            <w:tcW w:w="140" w:type="dxa"/>
            <w:vAlign w:val="bottom"/>
          </w:tcPr>
          <w:p>
            <w:pPr>
              <w:spacing w:after="0"/>
              <w:rPr>
                <w:sz w:val="14"/>
                <w:szCs w:val="14"/>
                <w:color w:val="auto"/>
              </w:rPr>
            </w:pPr>
          </w:p>
        </w:tc>
        <w:tc>
          <w:tcPr>
            <w:tcW w:w="9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20.2</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1.77</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4,926.8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21.9</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80" w:type="dxa"/>
            <w:vAlign w:val="bottom"/>
            <w:tcBorders>
              <w:bottom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Non-Taxable</w:t>
            </w:r>
          </w:p>
        </w:tc>
        <w:tc>
          <w:tcPr>
            <w:tcW w:w="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34.1</w:t>
            </w: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0.2</w:t>
            </w:r>
          </w:p>
        </w:tc>
        <w:tc>
          <w:tcPr>
            <w:tcW w:w="9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6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34.7</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0.2</w:t>
            </w:r>
          </w:p>
        </w:tc>
        <w:tc>
          <w:tcPr>
            <w:tcW w:w="9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r>
      <w:tr>
        <w:trPr>
          <w:trHeight w:val="156"/>
        </w:trPr>
        <w:tc>
          <w:tcPr>
            <w:tcW w:w="368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Total Investment Securities</w:t>
            </w: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7,394.3</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44.8</w:t>
            </w: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2.43</w:t>
            </w: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7,343.6</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43.9</w:t>
            </w: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2.40</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155"/>
        </w:trPr>
        <w:tc>
          <w:tcPr>
            <w:tcW w:w="36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Loans Held for Sale</w:t>
            </w:r>
          </w:p>
        </w:tc>
        <w:tc>
          <w:tcPr>
            <w:tcW w:w="8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2.3</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6.06</w:t>
            </w:r>
          </w:p>
        </w:tc>
        <w:tc>
          <w:tcPr>
            <w:tcW w:w="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2.2</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6.17</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r>
      <w:tr>
        <w:trPr>
          <w:trHeight w:val="162"/>
        </w:trPr>
        <w:tc>
          <w:tcPr>
            <w:tcW w:w="368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Loans and Leases </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Commercial Mortgage</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4,015.2</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52.5</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5.30</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3,716.6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50.5</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5.46</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Commercial and Industrial</w:t>
            </w:r>
          </w:p>
        </w:tc>
        <w:tc>
          <w:tcPr>
            <w:tcW w:w="8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1,703.7</w:t>
            </w:r>
          </w:p>
        </w:tc>
        <w:tc>
          <w:tcPr>
            <w:tcW w:w="140" w:type="dxa"/>
            <w:vAlign w:val="bottom"/>
          </w:tcPr>
          <w:p>
            <w:pPr>
              <w:spacing w:after="0"/>
              <w:rPr>
                <w:sz w:val="14"/>
                <w:szCs w:val="14"/>
                <w:color w:val="auto"/>
              </w:rPr>
            </w:pPr>
          </w:p>
        </w:tc>
        <w:tc>
          <w:tcPr>
            <w:tcW w:w="9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21.3</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5.06</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1,663.3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22.0</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Construction</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338.5</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6.0</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7.22</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307.9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7.27</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Commercial Lease Financing</w:t>
            </w:r>
          </w:p>
        </w:tc>
        <w:tc>
          <w:tcPr>
            <w:tcW w:w="8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91.1</w:t>
            </w:r>
          </w:p>
        </w:tc>
        <w:tc>
          <w:tcPr>
            <w:tcW w:w="140" w:type="dxa"/>
            <w:vAlign w:val="bottom"/>
          </w:tcPr>
          <w:p>
            <w:pPr>
              <w:spacing w:after="0"/>
              <w:rPr>
                <w:sz w:val="14"/>
                <w:szCs w:val="14"/>
                <w:color w:val="auto"/>
              </w:rPr>
            </w:pPr>
          </w:p>
        </w:tc>
        <w:tc>
          <w:tcPr>
            <w:tcW w:w="9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0.9</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3.83</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0.3</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Residential Mortgage</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4,616.7</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44.8</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3.88</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4,649.9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45.0</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3.87</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Home Equity</w:t>
            </w:r>
          </w:p>
        </w:tc>
        <w:tc>
          <w:tcPr>
            <w:tcW w:w="8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2,154.4</w:t>
            </w:r>
          </w:p>
        </w:tc>
        <w:tc>
          <w:tcPr>
            <w:tcW w:w="140" w:type="dxa"/>
            <w:vAlign w:val="bottom"/>
          </w:tcPr>
          <w:p>
            <w:pPr>
              <w:spacing w:after="0"/>
              <w:rPr>
                <w:sz w:val="14"/>
                <w:szCs w:val="14"/>
                <w:color w:val="auto"/>
              </w:rPr>
            </w:pPr>
          </w:p>
        </w:tc>
        <w:tc>
          <w:tcPr>
            <w:tcW w:w="9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22.5</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4.23</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2,250.1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Automobile</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752.6</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9.3</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5.02</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831.0</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8.9</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4.30</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Borders>
              <w:bottom w:val="single" w:sz="8" w:color="auto"/>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390.0</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7.1</w:t>
            </w: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7.41</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391.6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6.5</w:t>
            </w: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6.66</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155"/>
        </w:trPr>
        <w:tc>
          <w:tcPr>
            <w:tcW w:w="368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Loans and Leases</w:t>
            </w:r>
          </w:p>
        </w:tc>
        <w:tc>
          <w:tcPr>
            <w:tcW w:w="8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14,062.2</w:t>
            </w: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164.4</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4.72</w:t>
            </w:r>
          </w:p>
        </w:tc>
        <w:tc>
          <w:tcPr>
            <w:tcW w:w="6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13,868.8</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159.9</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4.63</w:t>
            </w:r>
          </w:p>
        </w:tc>
        <w:tc>
          <w:tcPr>
            <w:tcW w:w="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r>
      <w:tr>
        <w:trPr>
          <w:trHeight w:val="156"/>
        </w:trPr>
        <w:tc>
          <w:tcPr>
            <w:tcW w:w="368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Other</w:t>
            </w: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65.1</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1.1</w:t>
            </w: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6.67</w:t>
            </w: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62.3</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1.1</w:t>
            </w: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6.23</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155"/>
        </w:trPr>
        <w:tc>
          <w:tcPr>
            <w:tcW w:w="368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 xml:space="preserve">Total Earning Assets </w:t>
            </w:r>
            <w:r>
              <w:rPr>
                <w:rFonts w:ascii="Times New Roman" w:cs="Times New Roman" w:eastAsia="Times New Roman" w:hAnsi="Times New Roman"/>
                <w:sz w:val="18"/>
                <w:szCs w:val="18"/>
                <w:b w:val="1"/>
                <w:bCs w:val="1"/>
                <w:color w:val="auto"/>
                <w:vertAlign w:val="superscript"/>
              </w:rPr>
              <w:t>3</w:t>
            </w:r>
          </w:p>
        </w:tc>
        <w:tc>
          <w:tcPr>
            <w:tcW w:w="8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22,023.9</w:t>
            </w: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215.8</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3.95</w:t>
            </w:r>
          </w:p>
        </w:tc>
        <w:tc>
          <w:tcPr>
            <w:tcW w:w="6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21,737.6</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211.0</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3.89</w:t>
            </w:r>
          </w:p>
        </w:tc>
        <w:tc>
          <w:tcPr>
            <w:tcW w:w="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r>
      <w:tr>
        <w:trPr>
          <w:trHeight w:val="155"/>
        </w:trPr>
        <w:tc>
          <w:tcPr>
            <w:tcW w:w="3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Non-Earning Assets</w:t>
            </w: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1,614.2</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1,544.0</w:t>
            </w:r>
          </w:p>
        </w:tc>
        <w:tc>
          <w:tcPr>
            <w:tcW w:w="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95"/>
        </w:trPr>
        <w:tc>
          <w:tcPr>
            <w:tcW w:w="36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23,638.1</w:t>
            </w: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23,281.6</w:t>
            </w: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r>
      <w:tr>
        <w:trPr>
          <w:trHeight w:val="143"/>
        </w:trPr>
        <w:tc>
          <w:tcPr>
            <w:tcW w:w="368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Interest-Bearing Liabilities</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2"/>
        </w:trPr>
        <w:tc>
          <w:tcPr>
            <w:tcW w:w="36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Interest-Bearing Deposits</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Demand</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3,773.4</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7.1</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0.76</w:t>
            </w:r>
          </w:p>
        </w:tc>
        <w:tc>
          <w:tcPr>
            <w:tcW w:w="4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3,764.2</w:t>
            </w:r>
          </w:p>
        </w:tc>
        <w:tc>
          <w:tcPr>
            <w:tcW w:w="1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0.82</w:t>
            </w:r>
          </w:p>
        </w:tc>
        <w:tc>
          <w:tcPr>
            <w:tcW w:w="2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Savings</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8,544.5</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47.1</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8,131.3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49.4</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2.44</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Borders>
              <w:bottom w:val="single" w:sz="8" w:color="auto"/>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Time</w:t>
            </w: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3,037.3</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27.5</w:t>
            </w: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3.67</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3,081.1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32.0</w:t>
            </w: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4.18</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155"/>
        </w:trPr>
        <w:tc>
          <w:tcPr>
            <w:tcW w:w="368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Interest-Bearing Deposits</w:t>
            </w:r>
          </w:p>
        </w:tc>
        <w:tc>
          <w:tcPr>
            <w:tcW w:w="8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15,355.2</w:t>
            </w: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81.7</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2.16</w:t>
            </w:r>
          </w:p>
        </w:tc>
        <w:tc>
          <w:tcPr>
            <w:tcW w:w="6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14,976.6</w:t>
            </w: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89.1</w:t>
            </w: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2.39</w:t>
            </w:r>
          </w:p>
        </w:tc>
        <w:tc>
          <w:tcPr>
            <w:tcW w:w="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r>
      <w:tr>
        <w:trPr>
          <w:trHeight w:val="138"/>
        </w:trPr>
        <w:tc>
          <w:tcPr>
            <w:tcW w:w="368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Securities Sold Under Agreements to</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9"/>
        </w:trPr>
        <w:tc>
          <w:tcPr>
            <w:tcW w:w="3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Repurchase</w:t>
            </w:r>
          </w:p>
        </w:tc>
        <w:tc>
          <w:tcPr>
            <w:tcW w:w="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76.7</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0.7</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2"/>
        </w:trPr>
        <w:tc>
          <w:tcPr>
            <w:tcW w:w="3680" w:type="dxa"/>
            <w:vAlign w:val="bottom"/>
            <w:tcBorders>
              <w:bottom w:val="single" w:sz="8" w:color="auto"/>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Debt</w:t>
            </w:r>
          </w:p>
        </w:tc>
        <w:tc>
          <w:tcPr>
            <w:tcW w:w="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578.2</w:t>
            </w: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9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4.24</w:t>
            </w:r>
          </w:p>
        </w:tc>
        <w:tc>
          <w:tcPr>
            <w:tcW w:w="6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560.1</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9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4.25</w:t>
            </w: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r>
      <w:tr>
        <w:trPr>
          <w:trHeight w:val="155"/>
        </w:trPr>
        <w:tc>
          <w:tcPr>
            <w:tcW w:w="368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Interest-Bearing Liabilities</w:t>
            </w: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16,010.1</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88.5</w:t>
            </w: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2.24</w:t>
            </w: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15,687.2</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96.4</w:t>
            </w: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2.47</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195"/>
        </w:trPr>
        <w:tc>
          <w:tcPr>
            <w:tcW w:w="36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Interest Income</w:t>
            </w: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127.3</w:t>
            </w: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114.6</w:t>
            </w: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143"/>
        </w:trPr>
        <w:tc>
          <w:tcPr>
            <w:tcW w:w="3680" w:type="dxa"/>
            <w:vAlign w:val="bottom"/>
            <w:tcBorders>
              <w:top w:val="single" w:sz="8" w:color="CFF0FC"/>
            </w:tcBorders>
          </w:tcPr>
          <w:p>
            <w:pPr>
              <w:ind w:left="80"/>
              <w:spacing w:after="0" w:line="143" w:lineRule="exact"/>
              <w:rPr>
                <w:sz w:val="20"/>
                <w:szCs w:val="20"/>
                <w:color w:val="auto"/>
              </w:rPr>
            </w:pPr>
            <w:r>
              <w:rPr>
                <w:rFonts w:ascii="Times New Roman" w:cs="Times New Roman" w:eastAsia="Times New Roman" w:hAnsi="Times New Roman"/>
                <w:sz w:val="15"/>
                <w:szCs w:val="15"/>
                <w:color w:val="auto"/>
              </w:rPr>
              <w:t>Interest Rate Spread</w:t>
            </w:r>
          </w:p>
        </w:tc>
        <w:tc>
          <w:tcPr>
            <w:tcW w:w="80" w:type="dxa"/>
            <w:vAlign w:val="bottom"/>
            <w:tcBorders>
              <w:top w:val="single" w:sz="8" w:color="CFF0FC"/>
            </w:tcBorders>
          </w:tcPr>
          <w:p>
            <w:pPr>
              <w:spacing w:after="0"/>
              <w:rPr>
                <w:sz w:val="12"/>
                <w:szCs w:val="12"/>
                <w:color w:val="auto"/>
              </w:rPr>
            </w:pPr>
          </w:p>
        </w:tc>
        <w:tc>
          <w:tcPr>
            <w:tcW w:w="13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80" w:type="dxa"/>
            <w:vAlign w:val="bottom"/>
            <w:tcBorders>
              <w:top w:val="single" w:sz="8" w:color="CFF0FC"/>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1.71</w:t>
            </w:r>
          </w:p>
        </w:tc>
        <w:tc>
          <w:tcPr>
            <w:tcW w:w="460" w:type="dxa"/>
            <w:vAlign w:val="bottom"/>
            <w:tcBorders>
              <w:top w:val="single" w:sz="8" w:color="CFF0FC"/>
            </w:tcBorders>
            <w:gridSpan w:val="2"/>
          </w:tcPr>
          <w:p>
            <w:pPr>
              <w:jc w:val="right"/>
              <w:ind w:right="2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80" w:type="dxa"/>
            <w:vAlign w:val="bottom"/>
            <w:tcBorders>
              <w:top w:val="single" w:sz="8" w:color="CFF0FC"/>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1.42</w:t>
            </w:r>
          </w:p>
        </w:tc>
        <w:tc>
          <w:tcPr>
            <w:tcW w:w="260" w:type="dxa"/>
            <w:vAlign w:val="bottom"/>
            <w:tcBorders>
              <w:top w:val="single" w:sz="8" w:color="CFF0FC"/>
            </w:tcBorders>
            <w:gridSpan w:val="2"/>
          </w:tcPr>
          <w:p>
            <w:pPr>
              <w:jc w:val="right"/>
              <w:ind w:right="80"/>
              <w:spacing w:after="0" w:line="143"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6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Interest Margin</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2.32</w:t>
            </w:r>
          </w:p>
        </w:tc>
        <w:tc>
          <w:tcPr>
            <w:tcW w:w="4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2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6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Noninterest-Bearing Demand Deposits</w:t>
            </w:r>
          </w:p>
        </w:tc>
        <w:tc>
          <w:tcPr>
            <w:tcW w:w="8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5,314.3</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5,567.0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6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638.1</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611.3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62"/>
        </w:trPr>
        <w:tc>
          <w:tcPr>
            <w:tcW w:w="36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Shareholders’ Equity</w:t>
            </w: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1,675.6</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1,416.1</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5"/>
        </w:trPr>
        <w:tc>
          <w:tcPr>
            <w:tcW w:w="36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23,638.1</w:t>
            </w: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23,281.6</w:t>
            </w: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-1868170</wp:posOffset>
            </wp:positionV>
            <wp:extent cx="608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833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-1851025</wp:posOffset>
            </wp:positionV>
            <wp:extent cx="6083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-1868170</wp:posOffset>
            </wp:positionV>
            <wp:extent cx="5911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-1851025</wp:posOffset>
            </wp:positionV>
            <wp:extent cx="5911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-676910</wp:posOffset>
            </wp:positionV>
            <wp:extent cx="591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-659765</wp:posOffset>
            </wp:positionV>
            <wp:extent cx="591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-676910</wp:posOffset>
            </wp:positionV>
            <wp:extent cx="5911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-659765</wp:posOffset>
            </wp:positionV>
            <wp:extent cx="5911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6083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-8255</wp:posOffset>
            </wp:positionV>
            <wp:extent cx="608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33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11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911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ind w:left="200" w:hanging="192"/>
        <w:spacing w:after="0" w:line="229" w:lineRule="auto"/>
        <w:tabs>
          <w:tab w:leader="none" w:pos="20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Due to rounding, the amounts presented in this schedule may not tie to other amounts presented elsewhere in this report.</w:t>
      </w:r>
    </w:p>
    <w:p>
      <w:pPr>
        <w:ind w:left="200" w:hanging="192"/>
        <w:spacing w:after="0" w:line="182" w:lineRule="auto"/>
        <w:tabs>
          <w:tab w:leader="none" w:pos="20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Non-performing loans and leases are included in the respective average loan and lease balances.</w:t>
      </w:r>
    </w:p>
    <w:p>
      <w:pPr>
        <w:ind w:left="200" w:right="120" w:hanging="192"/>
        <w:spacing w:after="0" w:line="202" w:lineRule="auto"/>
        <w:tabs>
          <w:tab w:leader="none" w:pos="20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income includes taxable-equivalent basis adjustments, based upon a federal statutory tax rate of 21% of $1.5 million and $0.7 million for the three months ended March 31, 2025 and 2024, respectively.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Analysis of Change in Net Interest Income - Taxable-Equivalent Basis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Table 2</w:t>
            </w:r>
          </w:p>
        </w:tc>
      </w:tr>
      <w:tr>
        <w:trPr>
          <w:trHeight w:val="183"/>
        </w:trPr>
        <w:tc>
          <w:tcPr>
            <w:tcW w:w="6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80" w:type="dxa"/>
            <w:vAlign w:val="bottom"/>
            <w:gridSpan w:val="5"/>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r>
      <w:tr>
        <w:trPr>
          <w:trHeight w:val="189"/>
        </w:trPr>
        <w:tc>
          <w:tcPr>
            <w:tcW w:w="6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Compared to March 31, 2024</w:t>
            </w:r>
          </w:p>
        </w:tc>
        <w:tc>
          <w:tcPr>
            <w:tcW w:w="1100" w:type="dxa"/>
            <w:vAlign w:val="bottom"/>
          </w:tcPr>
          <w:p>
            <w:pPr>
              <w:spacing w:after="0"/>
              <w:rPr>
                <w:sz w:val="16"/>
                <w:szCs w:val="16"/>
                <w:color w:val="auto"/>
              </w:rPr>
            </w:pPr>
          </w:p>
        </w:tc>
      </w:tr>
      <w:tr>
        <w:trPr>
          <w:trHeight w:val="246"/>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millions)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xml:space="preserve">Volume </w:t>
            </w:r>
            <w:r>
              <w:rPr>
                <w:rFonts w:ascii="Times New Roman" w:cs="Times New Roman" w:eastAsia="Times New Roman" w:hAnsi="Times New Roman"/>
                <w:sz w:val="21"/>
                <w:szCs w:val="21"/>
                <w:b w:val="1"/>
                <w:bCs w:val="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7"/>
              </w:rPr>
              <w:t xml:space="preserve">Rate </w:t>
            </w:r>
            <w:r>
              <w:rPr>
                <w:rFonts w:ascii="Times New Roman" w:cs="Times New Roman" w:eastAsia="Times New Roman" w:hAnsi="Times New Roman"/>
                <w:sz w:val="21"/>
                <w:szCs w:val="21"/>
                <w:b w:val="1"/>
                <w:bCs w:val="1"/>
                <w:color w:val="auto"/>
                <w:w w:val="97"/>
                <w:vertAlign w:val="superscript"/>
              </w:rPr>
              <w:t>1</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5"/>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Taxable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6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Non-Taxable</w:t>
            </w:r>
          </w:p>
        </w:tc>
        <w:tc>
          <w:tcPr>
            <w:tcW w:w="2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r>
      <w:tr>
        <w:trPr>
          <w:trHeight w:val="203"/>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Held-to-Maturity</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6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Taxable</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6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Non-Taxable</w:t>
            </w: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96"/>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0.0</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Commercial Mortgage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Construction</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Lease Financing</w:t>
            </w:r>
          </w:p>
        </w:tc>
        <w:tc>
          <w:tcPr>
            <w:tcW w:w="2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3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3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r>
      <w:tr>
        <w:trPr>
          <w:trHeight w:val="203"/>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Automobile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r>
      <w:tr>
        <w:trPr>
          <w:trHeight w:val="196"/>
        </w:trPr>
        <w:tc>
          <w:tcPr>
            <w:tcW w:w="6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Loans and Leases</w:t>
            </w: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r>
      <w:tr>
        <w:trPr>
          <w:trHeight w:val="196"/>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96"/>
        </w:trPr>
        <w:tc>
          <w:tcPr>
            <w:tcW w:w="6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r>
      <w:tr>
        <w:trPr>
          <w:trHeight w:val="196"/>
        </w:trPr>
        <w:tc>
          <w:tcPr>
            <w:tcW w:w="6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Demand</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w:t>
            </w:r>
          </w:p>
        </w:tc>
        <w:tc>
          <w:tcPr>
            <w:tcW w:w="2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68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Time</w:t>
            </w: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96"/>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Debt</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r>
      <w:tr>
        <w:trPr>
          <w:trHeight w:val="196"/>
        </w:trPr>
        <w:tc>
          <w:tcPr>
            <w:tcW w:w="6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96"/>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-4645660</wp:posOffset>
            </wp:positionV>
            <wp:extent cx="27946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5" w:lineRule="exact"/>
        <w:rPr>
          <w:sz w:val="20"/>
          <w:szCs w:val="20"/>
          <w:color w:val="auto"/>
        </w:rPr>
      </w:pPr>
    </w:p>
    <w:p>
      <w:pPr>
        <w:ind w:left="180" w:right="180" w:hanging="172"/>
        <w:spacing w:after="0" w:line="212" w:lineRule="auto"/>
        <w:tabs>
          <w:tab w:leader="none" w:pos="18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change in interest income or expense due to both rate and volume has been allocated between the factors in proportion to the relationship of the absolute dollar amounts of the change in each.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200"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average balance of our earning assets for the three months ended March 31, 2025 increased by $286.3 million, or 1%, compared to the same period last year primarily due to an increase in our commercial mortgages portfolio. Yields on our investment securities portfolio increased by 3 basis points during the three months ended March 31, 2025 compared to the same period last year primarily due to investment securities that we purchased in late 2024 and in the first quarter of 2025. This increase was partially offset by lower income earned from interest rate swaps that hedge a portion of our AFS securities portfolio. Interest income on our loan and lease portfolio increased by $4.5 million during the three months ended March 31, 2025 compared to the same period last year primarily due to an increase in new loan production. This increase was partially offset by lower income earned from interest rate swaps that hedge a portion of our residential mortgage portfolio.</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average balance of our interest-bearing liabilities for the three months ended March 31, 2025 increased by $322.9 million, or 2%, compared to the same period last year was primarily due to an increase in savings deposits. This increase was partially offset by a private institution exercising their right to call on two repurchase agreements ($50 million in May 2024 and $50 million in February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2025). As compared to the same period last year, the cost of our interest-bearing liabilities decreased by 23 basis points during the three months ended March 31, 2025 primarily due to a decrease in prevailing interest rate environment, which was driven by 100 basis points of interest rate cuts by the Federal Open Market Committee in late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3 presents the components of noninterest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3</w:t>
            </w:r>
          </w:p>
        </w:tc>
      </w:tr>
      <w:tr>
        <w:trPr>
          <w:trHeight w:val="199"/>
        </w:trPr>
        <w:tc>
          <w:tcPr>
            <w:tcW w:w="4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700" w:type="dxa"/>
            <w:vAlign w:val="bottom"/>
            <w:tcBorders>
              <w:bottom w:val="single" w:sz="8" w:color="auto"/>
            </w:tcBorders>
          </w:tcPr>
          <w:p>
            <w:pPr>
              <w:spacing w:after="0"/>
              <w:rPr>
                <w:sz w:val="17"/>
                <w:szCs w:val="17"/>
                <w:color w:val="auto"/>
              </w:rPr>
            </w:pPr>
          </w:p>
        </w:tc>
      </w:tr>
      <w:tr>
        <w:trPr>
          <w:trHeight w:val="196"/>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14,437</w:t>
            </w:r>
          </w:p>
        </w:tc>
        <w:tc>
          <w:tcPr>
            <w:tcW w:w="3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14,123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314</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34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11,741</w:t>
            </w:r>
          </w:p>
        </w:tc>
        <w:tc>
          <w:tcPr>
            <w:tcW w:w="36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11,189</w:t>
            </w:r>
          </w:p>
        </w:tc>
        <w:tc>
          <w:tcPr>
            <w:tcW w:w="240" w:type="dxa"/>
            <w:vAlign w:val="bottom"/>
          </w:tcPr>
          <w:p>
            <w:pPr>
              <w:spacing w:after="0"/>
              <w:rPr>
                <w:sz w:val="17"/>
                <w:szCs w:val="17"/>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552</w:t>
            </w: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8,259</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7,947</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312</w:t>
            </w:r>
          </w:p>
        </w:tc>
        <w:tc>
          <w:tcPr>
            <w:tcW w:w="1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Bank-Owned Life Insurance</w:t>
            </w:r>
          </w:p>
        </w:tc>
        <w:tc>
          <w:tcPr>
            <w:tcW w:w="34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3,611</w:t>
            </w:r>
          </w:p>
        </w:tc>
        <w:tc>
          <w:tcPr>
            <w:tcW w:w="36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3,356</w:t>
            </w:r>
          </w:p>
        </w:tc>
        <w:tc>
          <w:tcPr>
            <w:tcW w:w="240" w:type="dxa"/>
            <w:vAlign w:val="bottom"/>
          </w:tcPr>
          <w:p>
            <w:pPr>
              <w:spacing w:after="0"/>
              <w:rPr>
                <w:sz w:val="17"/>
                <w:szCs w:val="17"/>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255</w:t>
            </w: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Annuity and Insurance</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1,555</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1,046</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509</w:t>
            </w:r>
          </w:p>
        </w:tc>
        <w:tc>
          <w:tcPr>
            <w:tcW w:w="1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Mortgage Banking</w:t>
            </w:r>
          </w:p>
        </w:tc>
        <w:tc>
          <w:tcPr>
            <w:tcW w:w="34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988</w:t>
            </w:r>
          </w:p>
        </w:tc>
        <w:tc>
          <w:tcPr>
            <w:tcW w:w="36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951</w:t>
            </w:r>
          </w:p>
        </w:tc>
        <w:tc>
          <w:tcPr>
            <w:tcW w:w="240" w:type="dxa"/>
            <w:vAlign w:val="bottom"/>
          </w:tcPr>
          <w:p>
            <w:pPr>
              <w:spacing w:after="0"/>
              <w:rPr>
                <w:sz w:val="17"/>
                <w:szCs w:val="17"/>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w:t>
            </w: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Losses, Net</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(110)</w:t>
            </w:r>
          </w:p>
        </w:tc>
        <w:tc>
          <w:tcPr>
            <w:tcW w:w="1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5,074</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5,170</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(96)</w:t>
            </w: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36"/>
        </w:trPr>
        <w:tc>
          <w:tcPr>
            <w:tcW w:w="4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44,058</w:t>
            </w:r>
          </w:p>
        </w:tc>
        <w:tc>
          <w:tcPr>
            <w:tcW w:w="3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42,285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1,773</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19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Trust and asset management income increased by $0.6 million or 5% in the first quarter of 2025 compared to the same period last year primarily due to an increase in assets under management. Trust and asset management income is comprised of fees earned from the management and administration of trusts and other customer assets. These fees are largely based upon the market value of the assets and the fee rate charged to customers. Total trust assets under management were $12.0 billion and $11.9 billion as of March 31, 2025 and March 31, 2024, respectively.</w:t>
      </w:r>
    </w:p>
    <w:p>
      <w:pPr>
        <w:spacing w:after="0" w:line="13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Annuity and insurance income increased by $0.5 million or 49% in the first quarter of 2025 compared to the same period last year primarily due to an increase in sales volume of annuity and insurance products.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 presents the components of noninterest expense.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4</w:t>
            </w:r>
          </w:p>
        </w:tc>
      </w:tr>
      <w:tr>
        <w:trPr>
          <w:trHeight w:val="199"/>
        </w:trPr>
        <w:tc>
          <w:tcPr>
            <w:tcW w:w="3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20" w:type="dxa"/>
            <w:vAlign w:val="bottom"/>
            <w:tcBorders>
              <w:bottom w:val="single" w:sz="8" w:color="auto"/>
            </w:tcBorders>
          </w:tcPr>
          <w:p>
            <w:pPr>
              <w:spacing w:after="0"/>
              <w:rPr>
                <w:sz w:val="17"/>
                <w:szCs w:val="17"/>
                <w:color w:val="auto"/>
              </w:rPr>
            </w:pPr>
          </w:p>
        </w:tc>
      </w:tr>
      <w:tr>
        <w:trPr>
          <w:trHeight w:val="196"/>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6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19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Salaries</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38,242</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38,031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211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Incentive Compensation</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5,573</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3,090</w:t>
            </w:r>
          </w:p>
        </w:tc>
        <w:tc>
          <w:tcPr>
            <w:tcW w:w="280" w:type="dxa"/>
            <w:vAlign w:val="bottom"/>
          </w:tcPr>
          <w:p>
            <w:pPr>
              <w:spacing w:after="0"/>
              <w:rPr>
                <w:sz w:val="17"/>
                <w:szCs w:val="17"/>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2,483</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Retirement and Other Benefits</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5,061</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4,299</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762</w:t>
            </w:r>
          </w:p>
        </w:tc>
        <w:tc>
          <w:tcPr>
            <w:tcW w:w="16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Payroll Taxes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4,766</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4,730</w:t>
            </w:r>
          </w:p>
        </w:tc>
        <w:tc>
          <w:tcPr>
            <w:tcW w:w="280" w:type="dxa"/>
            <w:vAlign w:val="bottom"/>
          </w:tcPr>
          <w:p>
            <w:pPr>
              <w:spacing w:after="0"/>
              <w:rPr>
                <w:sz w:val="17"/>
                <w:szCs w:val="17"/>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Medical, Dental, and Life Insurance</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4,537</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3,212</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1,325</w:t>
            </w:r>
          </w:p>
        </w:tc>
        <w:tc>
          <w:tcPr>
            <w:tcW w:w="16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3,501</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3,799</w:t>
            </w:r>
          </w:p>
        </w:tc>
        <w:tc>
          <w:tcPr>
            <w:tcW w:w="280" w:type="dxa"/>
            <w:vAlign w:val="bottom"/>
          </w:tcPr>
          <w:p>
            <w:pPr>
              <w:spacing w:after="0"/>
              <w:rPr>
                <w:sz w:val="17"/>
                <w:szCs w:val="17"/>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(298)</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 Expense</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1,123</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572</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551</w:t>
            </w:r>
          </w:p>
        </w:tc>
        <w:tc>
          <w:tcPr>
            <w:tcW w:w="16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96</w:t>
            </w:r>
          </w:p>
        </w:tc>
      </w:tr>
      <w:tr>
        <w:trPr>
          <w:trHeight w:val="203"/>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Separation Expense</w:t>
            </w: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482</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(401)</w:t>
            </w:r>
          </w:p>
        </w:tc>
        <w:tc>
          <w:tcPr>
            <w:tcW w:w="1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r>
      <w:tr>
        <w:trPr>
          <w:trHeight w:val="196"/>
        </w:trPr>
        <w:tc>
          <w:tcPr>
            <w:tcW w:w="3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Salaries and Benefits</w:t>
            </w:r>
          </w:p>
        </w:tc>
        <w:tc>
          <w:tcPr>
            <w:tcW w:w="7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62,884</w:t>
            </w: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58,215</w:t>
            </w:r>
          </w:p>
        </w:tc>
        <w:tc>
          <w:tcPr>
            <w:tcW w:w="2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4,669</w:t>
            </w: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Net Occupancy</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10,559</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10,456</w:t>
            </w:r>
          </w:p>
        </w:tc>
        <w:tc>
          <w:tcPr>
            <w:tcW w:w="280" w:type="dxa"/>
            <w:vAlign w:val="bottom"/>
          </w:tcPr>
          <w:p>
            <w:pPr>
              <w:spacing w:after="0"/>
              <w:rPr>
                <w:sz w:val="17"/>
                <w:szCs w:val="17"/>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Equipment</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10,192</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10,103</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89</w:t>
            </w:r>
          </w:p>
        </w:tc>
        <w:tc>
          <w:tcPr>
            <w:tcW w:w="16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Data Processing</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5,267</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4,770</w:t>
            </w:r>
          </w:p>
        </w:tc>
        <w:tc>
          <w:tcPr>
            <w:tcW w:w="280" w:type="dxa"/>
            <w:vAlign w:val="bottom"/>
          </w:tcPr>
          <w:p>
            <w:pPr>
              <w:spacing w:after="0"/>
              <w:rPr>
                <w:sz w:val="17"/>
                <w:szCs w:val="17"/>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497</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4,264</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4,677</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(413)</w:t>
            </w: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FDIC Insurance</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1,642</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3,614</w:t>
            </w:r>
          </w:p>
        </w:tc>
        <w:tc>
          <w:tcPr>
            <w:tcW w:w="280" w:type="dxa"/>
            <w:vAlign w:val="bottom"/>
          </w:tcPr>
          <w:p>
            <w:pPr>
              <w:spacing w:after="0"/>
              <w:rPr>
                <w:sz w:val="17"/>
                <w:szCs w:val="17"/>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(1,972)</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Advertising</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2,163</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1,933</w:t>
            </w:r>
          </w:p>
        </w:tc>
        <w:tc>
          <w:tcPr>
            <w:tcW w:w="280" w:type="dxa"/>
            <w:vAlign w:val="bottom"/>
          </w:tcPr>
          <w:p>
            <w:pPr>
              <w:spacing w:after="0"/>
              <w:rPr>
                <w:sz w:val="17"/>
                <w:szCs w:val="17"/>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230</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Merchant Transaction and Card Processing Fees</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1,741</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1,665</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76</w:t>
            </w:r>
          </w:p>
        </w:tc>
        <w:tc>
          <w:tcPr>
            <w:tcW w:w="16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Delivery and Postage Services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1,680</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1,632</w:t>
            </w:r>
          </w:p>
        </w:tc>
        <w:tc>
          <w:tcPr>
            <w:tcW w:w="280" w:type="dxa"/>
            <w:vAlign w:val="bottom"/>
          </w:tcPr>
          <w:p>
            <w:pPr>
              <w:spacing w:after="0"/>
              <w:rPr>
                <w:sz w:val="17"/>
                <w:szCs w:val="17"/>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02"/>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Mileage Program Travel</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1,061</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1,103</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Broker's Charges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599</w:t>
            </w:r>
          </w:p>
        </w:tc>
        <w:tc>
          <w:tcPr>
            <w:tcW w:w="4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365</w:t>
            </w:r>
          </w:p>
        </w:tc>
        <w:tc>
          <w:tcPr>
            <w:tcW w:w="280" w:type="dxa"/>
            <w:vAlign w:val="bottom"/>
          </w:tcPr>
          <w:p>
            <w:pPr>
              <w:spacing w:after="0"/>
              <w:rPr>
                <w:sz w:val="17"/>
                <w:szCs w:val="17"/>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234</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w:t>
            </w:r>
          </w:p>
        </w:tc>
      </w:tr>
      <w:tr>
        <w:trPr>
          <w:trHeight w:val="203"/>
        </w:trPr>
        <w:tc>
          <w:tcPr>
            <w:tcW w:w="39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7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8,407</w:t>
            </w: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7,326</w:t>
            </w:r>
          </w:p>
        </w:tc>
        <w:tc>
          <w:tcPr>
            <w:tcW w:w="2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1,081</w:t>
            </w: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196"/>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Other Expense</w:t>
            </w: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15,651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14,024</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1,627</w:t>
            </w:r>
          </w:p>
        </w:tc>
        <w:tc>
          <w:tcPr>
            <w:tcW w:w="1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36"/>
        </w:trPr>
        <w:tc>
          <w:tcPr>
            <w:tcW w:w="3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00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110,459</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105,859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4,600</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19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Total salaries and benefits expense increased by $4.7 million or 8% in the first quarter of 2025 compared to the same period last year, primarily due to increases in incentive compensation and medical, dental, and life insurance expense, partially offset by decreases in share-based compensation and separation expense.</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FDIC insurance expense decreased by $2.0 million or 55% in the first quarter of 2025 compared to the same period last year, primarily due to an adjustment of our industry-wide FDIC special assessment.</w:t>
      </w:r>
    </w:p>
    <w:p>
      <w:pPr>
        <w:spacing w:after="0" w:line="16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Total other expense increased by $1.6 million or 12% in the first quarter of 2025 compared to the same period last year, primarily due to increases in advertising expenses, broker's charges, and an increase in workers compensation claims in the first quarter of 2025 compared to the same period last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 presents our provision for income taxes and effective tax rates.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Provision for Income Taxes and Effective Tax Rates</w:t>
            </w:r>
          </w:p>
        </w:tc>
        <w:tc>
          <w:tcPr>
            <w:tcW w:w="1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5</w:t>
            </w:r>
          </w:p>
        </w:tc>
      </w:tr>
      <w:tr>
        <w:trPr>
          <w:trHeight w:val="199"/>
        </w:trPr>
        <w:tc>
          <w:tcPr>
            <w:tcW w:w="5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12,171</w:t>
            </w:r>
          </w:p>
        </w:tc>
        <w:tc>
          <w:tcPr>
            <w:tcW w:w="4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11,973</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Effective Tax Rates</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21.67%</w:t>
            </w: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r>
    </w:tbl>
    <w:p>
      <w:pPr>
        <w:spacing w:after="0" w:line="19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$12.2 million in the first quarter of 2025, an increase of $0.2 million compared to the same period last year. The effective tax rate for the first quarter of 2025 was 21.67%, a decrease from 24.76% for the same period last year. The lower effective tax rate in the first quarter of 2025 compared to the same period last year was primarily due to an increase in tax-exempt income, an increase in net tax benefits from low-income housing investments, and a decrease in tax expense from discrete items.</w:t>
      </w:r>
    </w:p>
    <w:p>
      <w:pPr>
        <w:sectPr>
          <w:pgSz w:w="11900" w:h="16838" w:orient="portrait"/>
          <w:cols w:equalWidth="0" w:num="1">
            <w:col w:w="11240"/>
          </w:cols>
          <w:pgMar w:left="320" w:top="117"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carrying value of our investment securities portfolio was $7.4 billion and $7.3 billion as of March 31, 2025 and December 31, 2024, respectively. The increase is primarily due to the purchase of $241.9 million in available-for-sale investment securities during the three months ended March 31, 2025, of which $105.8 million were floating rate securities. Floating rate securities represented 17.4% of the investment securities portfolio as of March 31, 2025, compared to 16.5% as of December 31, 2024.</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conjunction with our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adjust hedge positions, and change the proportion of investments made into the AFS and HTM investment categories.</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Mortgage-backed securities issued by Ginnie Mae, Fannie Mae, and Freddie Mac are the largest concentration in our portfolio. As of March 31, 2025, these mortgage-backed securities were all AAA-rated, with a low probability of a change in their credit ratings in the near future.</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Net unrealized losses in our investment securities portfolio were $0.9 billion as of March 31, 2025 and $1.1 billion as of December 31, 2024. See Note 2 </w:t>
      </w: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to the unaudited Consolidated Financial Statements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 presents the composition of our loan and lease portfolio by major categories.</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Loan and Lease Portfolio Balances</w:t>
            </w:r>
          </w:p>
        </w:tc>
        <w:tc>
          <w:tcPr>
            <w:tcW w:w="1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Table 6</w:t>
            </w:r>
          </w:p>
        </w:tc>
      </w:tr>
      <w:tr>
        <w:trPr>
          <w:trHeight w:val="199"/>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Pr>
          <w:p>
            <w:pPr>
              <w:spacing w:after="0"/>
              <w:rPr>
                <w:sz w:val="17"/>
                <w:szCs w:val="17"/>
                <w:color w:val="auto"/>
              </w:rPr>
            </w:pPr>
          </w:p>
        </w:tc>
        <w:tc>
          <w:tcPr>
            <w:tcW w:w="15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Pr>
          <w:p>
            <w:pPr>
              <w:spacing w:after="0"/>
              <w:rPr>
                <w:sz w:val="17"/>
                <w:szCs w:val="17"/>
                <w:color w:val="auto"/>
              </w:rPr>
            </w:pPr>
          </w:p>
        </w:tc>
        <w:tc>
          <w:tcPr>
            <w:tcW w:w="16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Pr>
          <w:p>
            <w:pPr>
              <w:spacing w:after="0"/>
              <w:rPr>
                <w:sz w:val="17"/>
                <w:szCs w:val="17"/>
                <w:color w:val="auto"/>
              </w:rPr>
            </w:pPr>
          </w:p>
        </w:tc>
        <w:tc>
          <w:tcPr>
            <w:tcW w:w="15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6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196"/>
        </w:trPr>
        <w:tc>
          <w:tcPr>
            <w:tcW w:w="20" w:type="dxa"/>
            <w:vAlign w:val="bottom"/>
          </w:tcPr>
          <w:p>
            <w:pPr>
              <w:spacing w:after="0"/>
              <w:rPr>
                <w:sz w:val="17"/>
                <w:szCs w:val="17"/>
                <w:color w:val="auto"/>
              </w:rPr>
            </w:pPr>
          </w:p>
        </w:tc>
        <w:tc>
          <w:tcPr>
            <w:tcW w:w="3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104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Commercial Mortgage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4,038,287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4,020,622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17,665</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20" w:type="dxa"/>
            <w:vAlign w:val="bottom"/>
          </w:tcPr>
          <w:p>
            <w:pPr>
              <w:spacing w:after="0"/>
              <w:rPr>
                <w:sz w:val="17"/>
                <w:szCs w:val="17"/>
                <w:color w:val="auto"/>
              </w:rPr>
            </w:pPr>
          </w:p>
        </w:tc>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1,703,290</w:t>
            </w: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1,705,133</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(1,843)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20" w:type="dxa"/>
            <w:vAlign w:val="bottom"/>
          </w:tcPr>
          <w:p>
            <w:pPr>
              <w:spacing w:after="0"/>
              <w:rPr>
                <w:sz w:val="17"/>
                <w:szCs w:val="17"/>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Construction</w:t>
            </w:r>
          </w:p>
        </w:tc>
        <w:tc>
          <w:tcPr>
            <w:tcW w:w="10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363,716</w:t>
            </w:r>
          </w:p>
        </w:tc>
        <w:tc>
          <w:tcPr>
            <w:tcW w:w="220" w:type="dxa"/>
            <w:vAlign w:val="bottom"/>
          </w:tcPr>
          <w:p>
            <w:pPr>
              <w:spacing w:after="0"/>
              <w:rPr>
                <w:sz w:val="17"/>
                <w:szCs w:val="17"/>
                <w:color w:val="auto"/>
              </w:rPr>
            </w:pP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308,898</w:t>
            </w:r>
          </w:p>
        </w:tc>
        <w:tc>
          <w:tcPr>
            <w:tcW w:w="300" w:type="dxa"/>
            <w:vAlign w:val="bottom"/>
          </w:tcPr>
          <w:p>
            <w:pPr>
              <w:spacing w:after="0"/>
              <w:rPr>
                <w:sz w:val="17"/>
                <w:szCs w:val="17"/>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54,818</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03"/>
        </w:trPr>
        <w:tc>
          <w:tcPr>
            <w:tcW w:w="20" w:type="dxa"/>
            <w:vAlign w:val="bottom"/>
          </w:tcPr>
          <w:p>
            <w:pPr>
              <w:spacing w:after="0"/>
              <w:rPr>
                <w:sz w:val="17"/>
                <w:szCs w:val="17"/>
                <w:color w:val="auto"/>
              </w:rPr>
            </w:pPr>
          </w:p>
        </w:tc>
        <w:tc>
          <w:tcPr>
            <w:tcW w:w="3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Lease Financing</w:t>
            </w:r>
          </w:p>
        </w:tc>
        <w:tc>
          <w:tcPr>
            <w:tcW w:w="10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92,456</w:t>
            </w:r>
          </w:p>
        </w:tc>
        <w:tc>
          <w:tcPr>
            <w:tcW w:w="2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90,756</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1,700</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6"/>
        </w:trPr>
        <w:tc>
          <w:tcPr>
            <w:tcW w:w="20" w:type="dxa"/>
            <w:vAlign w:val="bottom"/>
          </w:tcPr>
          <w:p>
            <w:pPr>
              <w:spacing w:after="0"/>
              <w:rPr>
                <w:sz w:val="17"/>
                <w:szCs w:val="17"/>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6,197,749</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6,125,409</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72,340</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6"/>
        </w:trPr>
        <w:tc>
          <w:tcPr>
            <w:tcW w:w="2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10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Residential Mortgage</w:t>
            </w:r>
          </w:p>
        </w:tc>
        <w:tc>
          <w:tcPr>
            <w:tcW w:w="10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4,630,876</w:t>
            </w:r>
          </w:p>
        </w:tc>
        <w:tc>
          <w:tcPr>
            <w:tcW w:w="220" w:type="dxa"/>
            <w:vAlign w:val="bottom"/>
          </w:tcPr>
          <w:p>
            <w:pPr>
              <w:spacing w:after="0"/>
              <w:rPr>
                <w:sz w:val="17"/>
                <w:szCs w:val="17"/>
                <w:color w:val="auto"/>
              </w:rPr>
            </w:pP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4,628,283</w:t>
            </w:r>
          </w:p>
        </w:tc>
        <w:tc>
          <w:tcPr>
            <w:tcW w:w="300" w:type="dxa"/>
            <w:vAlign w:val="bottom"/>
          </w:tcPr>
          <w:p>
            <w:pPr>
              <w:spacing w:after="0"/>
              <w:rPr>
                <w:sz w:val="17"/>
                <w:szCs w:val="17"/>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2,593</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20" w:type="dxa"/>
            <w:vAlign w:val="bottom"/>
          </w:tcPr>
          <w:p>
            <w:pPr>
              <w:spacing w:after="0"/>
              <w:rPr>
                <w:sz w:val="17"/>
                <w:szCs w:val="17"/>
                <w:color w:val="auto"/>
              </w:rPr>
            </w:pPr>
          </w:p>
        </w:tc>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Home Equity</w:t>
            </w:r>
          </w:p>
        </w:tc>
        <w:tc>
          <w:tcPr>
            <w:tcW w:w="10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2,144,955</w:t>
            </w: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2,165,514</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(20,559)</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3"/>
        </w:trPr>
        <w:tc>
          <w:tcPr>
            <w:tcW w:w="20" w:type="dxa"/>
            <w:vAlign w:val="bottom"/>
          </w:tcPr>
          <w:p>
            <w:pPr>
              <w:spacing w:after="0"/>
              <w:rPr>
                <w:sz w:val="17"/>
                <w:szCs w:val="17"/>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Automobile</w:t>
            </w:r>
          </w:p>
        </w:tc>
        <w:tc>
          <w:tcPr>
            <w:tcW w:w="10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740,390</w:t>
            </w:r>
          </w:p>
        </w:tc>
        <w:tc>
          <w:tcPr>
            <w:tcW w:w="220" w:type="dxa"/>
            <w:vAlign w:val="bottom"/>
          </w:tcPr>
          <w:p>
            <w:pPr>
              <w:spacing w:after="0"/>
              <w:rPr>
                <w:sz w:val="17"/>
                <w:szCs w:val="17"/>
                <w:color w:val="auto"/>
              </w:rPr>
            </w:pP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764,146</w:t>
            </w:r>
          </w:p>
        </w:tc>
        <w:tc>
          <w:tcPr>
            <w:tcW w:w="300" w:type="dxa"/>
            <w:vAlign w:val="bottom"/>
          </w:tcPr>
          <w:p>
            <w:pPr>
              <w:spacing w:after="0"/>
              <w:rPr>
                <w:sz w:val="17"/>
                <w:szCs w:val="17"/>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(23,756)</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20" w:type="dxa"/>
            <w:vAlign w:val="bottom"/>
          </w:tcPr>
          <w:p>
            <w:pPr>
              <w:spacing w:after="0"/>
              <w:rPr>
                <w:sz w:val="17"/>
                <w:szCs w:val="17"/>
                <w:color w:val="auto"/>
              </w:rPr>
            </w:pPr>
          </w:p>
        </w:tc>
        <w:tc>
          <w:tcPr>
            <w:tcW w:w="3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401,353</w:t>
            </w:r>
          </w:p>
        </w:tc>
        <w:tc>
          <w:tcPr>
            <w:tcW w:w="2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392,628</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8,725</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6"/>
        </w:trPr>
        <w:tc>
          <w:tcPr>
            <w:tcW w:w="20" w:type="dxa"/>
            <w:vAlign w:val="bottom"/>
          </w:tcPr>
          <w:p>
            <w:pPr>
              <w:spacing w:after="0"/>
              <w:rPr>
                <w:sz w:val="17"/>
                <w:szCs w:val="17"/>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7,917,574</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7,950,571</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(32,997)</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6"/>
        </w:trPr>
        <w:tc>
          <w:tcPr>
            <w:tcW w:w="20" w:type="dxa"/>
            <w:vAlign w:val="bottom"/>
          </w:tcPr>
          <w:p>
            <w:pPr>
              <w:spacing w:after="0"/>
              <w:rPr>
                <w:sz w:val="20"/>
                <w:szCs w:val="20"/>
                <w:color w:val="auto"/>
              </w:rPr>
            </w:pPr>
          </w:p>
        </w:tc>
        <w:tc>
          <w:tcPr>
            <w:tcW w:w="3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14,115,323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14,075,980</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39,343</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Total loans and leases as of March 31, 2025 increased by $39.3 million from December 31, 2024, primarily due to growth in our commercial loans, partially offset by reductions in our consumer loan portfolio.</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Commercial loans and leases as of March 31, 2025 increased by $72.3 million or 1.2% from December 31, 2024, primarily due to increased loan production in our construction loan portfolio, which increased by $54.8 million or 17.7%. Consumer loans and leases as of March 31, 2025 decreased by $33.0 million or 0.4% from December 31, 2024, primarily due to paydowns in our home equity portfolio and a slowdown in production for our automobile loans.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6a presents an additional breakdown of the Company’s commercial mortgage portfolio.</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Commercial Mortgage Breakdown</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6a</w:t>
            </w:r>
          </w:p>
        </w:tc>
      </w:tr>
      <w:tr>
        <w:trPr>
          <w:trHeight w:val="199"/>
        </w:trPr>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360" w:type="dxa"/>
            <w:vAlign w:val="bottom"/>
            <w:tcBorders>
              <w:bottom w:val="single" w:sz="8" w:color="auto"/>
            </w:tcBorders>
          </w:tcPr>
          <w:p>
            <w:pPr>
              <w:spacing w:after="0"/>
              <w:rPr>
                <w:sz w:val="17"/>
                <w:szCs w:val="17"/>
                <w:color w:val="auto"/>
              </w:rPr>
            </w:pPr>
          </w:p>
        </w:tc>
      </w:tr>
      <w:tr>
        <w:trPr>
          <w:trHeight w:val="180"/>
        </w:trPr>
        <w:tc>
          <w:tcPr>
            <w:tcW w:w="2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40" w:type="dxa"/>
            <w:vAlign w:val="bottom"/>
          </w:tcPr>
          <w:p>
            <w:pPr>
              <w:jc w:val="center"/>
              <w:ind w:left="19"/>
              <w:spacing w:after="0" w:line="181" w:lineRule="exact"/>
              <w:rPr>
                <w:sz w:val="20"/>
                <w:szCs w:val="20"/>
                <w:color w:val="auto"/>
              </w:rPr>
            </w:pPr>
            <w:r>
              <w:rPr>
                <w:rFonts w:ascii="Times New Roman" w:cs="Times New Roman" w:eastAsia="Times New Roman" w:hAnsi="Times New Roman"/>
                <w:sz w:val="16"/>
                <w:szCs w:val="16"/>
                <w:b w:val="1"/>
                <w:bCs w:val="1"/>
                <w:color w:val="auto"/>
              </w:rPr>
              <w:t>% Owner</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60" w:type="dxa"/>
            <w:vAlign w:val="bottom"/>
          </w:tcPr>
          <w:p>
            <w:pPr>
              <w:jc w:val="right"/>
              <w:ind w:right="399"/>
              <w:spacing w:after="0" w:line="181" w:lineRule="exact"/>
              <w:rPr>
                <w:sz w:val="20"/>
                <w:szCs w:val="20"/>
                <w:color w:val="auto"/>
              </w:rPr>
            </w:pPr>
            <w:r>
              <w:rPr>
                <w:rFonts w:ascii="Times New Roman" w:cs="Times New Roman" w:eastAsia="Times New Roman" w:hAnsi="Times New Roman"/>
                <w:sz w:val="16"/>
                <w:szCs w:val="16"/>
                <w:b w:val="1"/>
                <w:bCs w:val="1"/>
                <w:color w:val="auto"/>
              </w:rPr>
              <w:t>% Owner</w:t>
            </w:r>
          </w:p>
        </w:tc>
      </w:tr>
      <w:tr>
        <w:trPr>
          <w:trHeight w:val="215"/>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Percent of total</w:t>
            </w:r>
          </w:p>
        </w:tc>
        <w:tc>
          <w:tcPr>
            <w:tcW w:w="94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Occupied</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Percent of total</w:t>
            </w:r>
          </w:p>
        </w:tc>
        <w:tc>
          <w:tcPr>
            <w:tcW w:w="13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Occupied</w:t>
            </w:r>
          </w:p>
        </w:tc>
      </w:tr>
      <w:tr>
        <w:trPr>
          <w:trHeight w:val="19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1,011,008</w:t>
            </w:r>
          </w:p>
        </w:tc>
        <w:tc>
          <w:tcPr>
            <w:tcW w:w="16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1,025,247</w:t>
            </w:r>
          </w:p>
        </w:tc>
        <w:tc>
          <w:tcPr>
            <w:tcW w:w="16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Industrial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720,847</w:t>
            </w:r>
          </w:p>
        </w:tc>
        <w:tc>
          <w:tcPr>
            <w:tcW w:w="16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18</w:t>
            </w:r>
          </w:p>
        </w:tc>
        <w:tc>
          <w:tcPr>
            <w:tcW w:w="940" w:type="dxa"/>
            <w:vAlign w:val="bottom"/>
          </w:tcPr>
          <w:p>
            <w:pPr>
              <w:spacing w:after="0"/>
              <w:rPr>
                <w:sz w:val="17"/>
                <w:szCs w:val="17"/>
                <w:color w:val="auto"/>
              </w:rPr>
            </w:pP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724,645</w:t>
            </w:r>
          </w:p>
        </w:tc>
        <w:tc>
          <w:tcPr>
            <w:tcW w:w="16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Lodging</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717,289</w:t>
            </w:r>
          </w:p>
        </w:tc>
        <w:tc>
          <w:tcPr>
            <w:tcW w:w="16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18</w:t>
            </w: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676,350</w:t>
            </w:r>
          </w:p>
        </w:tc>
        <w:tc>
          <w:tcPr>
            <w:tcW w:w="168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17</w:t>
            </w:r>
          </w:p>
        </w:tc>
        <w:tc>
          <w:tcPr>
            <w:tcW w:w="1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Retail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698,679</w:t>
            </w:r>
          </w:p>
        </w:tc>
        <w:tc>
          <w:tcPr>
            <w:tcW w:w="16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w:t>
            </w:r>
          </w:p>
        </w:tc>
        <w:tc>
          <w:tcPr>
            <w:tcW w:w="940" w:type="dxa"/>
            <w:vAlign w:val="bottom"/>
          </w:tcPr>
          <w:p>
            <w:pPr>
              <w:spacing w:after="0"/>
              <w:rPr>
                <w:sz w:val="17"/>
                <w:szCs w:val="17"/>
                <w:color w:val="auto"/>
              </w:rPr>
            </w:pP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704,780</w:t>
            </w:r>
          </w:p>
        </w:tc>
        <w:tc>
          <w:tcPr>
            <w:tcW w:w="16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377,643</w:t>
            </w:r>
          </w:p>
        </w:tc>
        <w:tc>
          <w:tcPr>
            <w:tcW w:w="16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9</w:t>
            </w: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371,474</w:t>
            </w:r>
          </w:p>
        </w:tc>
        <w:tc>
          <w:tcPr>
            <w:tcW w:w="168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9</w:t>
            </w:r>
          </w:p>
        </w:tc>
        <w:tc>
          <w:tcPr>
            <w:tcW w:w="1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24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512,821</w:t>
            </w:r>
          </w:p>
        </w:tc>
        <w:tc>
          <w:tcPr>
            <w:tcW w:w="16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13</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518,126</w:t>
            </w:r>
          </w:p>
        </w:tc>
        <w:tc>
          <w:tcPr>
            <w:tcW w:w="1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13</w:t>
            </w: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r>
      <w:tr>
        <w:trPr>
          <w:trHeight w:val="236"/>
        </w:trPr>
        <w:tc>
          <w:tcPr>
            <w:tcW w:w="2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Commercial Mortgage</w:t>
            </w: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4,038,287</w:t>
            </w:r>
          </w:p>
        </w:tc>
        <w:tc>
          <w:tcPr>
            <w:tcW w:w="16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9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4,020,622</w:t>
            </w:r>
          </w:p>
        </w:tc>
        <w:tc>
          <w:tcPr>
            <w:tcW w:w="16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55"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 includes unamortized loan origination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presents the composition of our loan and lease portfolio by geographic area and by major categories.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Geographic Distribution of Loan and Lease Portfolio</w:t>
            </w: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7</w:t>
            </w:r>
          </w:p>
        </w:tc>
      </w:tr>
      <w:tr>
        <w:trPr>
          <w:trHeight w:val="156"/>
        </w:trPr>
        <w:tc>
          <w:tcPr>
            <w:tcW w:w="4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499"/>
              <w:spacing w:after="0" w:line="156" w:lineRule="exact"/>
              <w:rPr>
                <w:sz w:val="20"/>
                <w:szCs w:val="20"/>
                <w:color w:val="auto"/>
              </w:rPr>
            </w:pPr>
            <w:r>
              <w:rPr>
                <w:rFonts w:ascii="Times New Roman" w:cs="Times New Roman" w:eastAsia="Times New Roman" w:hAnsi="Times New Roman"/>
                <w:sz w:val="16"/>
                <w:szCs w:val="16"/>
                <w:b w:val="1"/>
                <w:bCs w:val="1"/>
                <w:color w:val="auto"/>
              </w:rPr>
              <w:t>U.S.</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6"/>
                <w:szCs w:val="16"/>
                <w:b w:val="1"/>
                <w:bCs w:val="1"/>
                <w:color w:val="auto"/>
              </w:rPr>
              <w:t>Other Pacific</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46"/>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 xml:space="preserve">Mainland </w:t>
            </w:r>
            <w:r>
              <w:rPr>
                <w:rFonts w:ascii="Times New Roman" w:cs="Times New Roman" w:eastAsia="Times New Roman" w:hAnsi="Times New Roman"/>
                <w:sz w:val="21"/>
                <w:szCs w:val="21"/>
                <w:b w:val="1"/>
                <w:bCs w:val="1"/>
                <w:color w:val="auto"/>
                <w:w w:val="97"/>
                <w:vertAlign w:val="superscript"/>
              </w:rPr>
              <w:t>1</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Guam</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Islands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8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Commercial Mortgage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3,563,545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297,287</w:t>
            </w:r>
          </w:p>
        </w:tc>
        <w:tc>
          <w:tcPr>
            <w:tcW w:w="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177,028</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4,038,287</w:t>
            </w: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1,484,213</w:t>
            </w:r>
          </w:p>
        </w:tc>
        <w:tc>
          <w:tcPr>
            <w:tcW w:w="16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140,618</w:t>
            </w:r>
          </w:p>
        </w:tc>
        <w:tc>
          <w:tcPr>
            <w:tcW w:w="2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66,938</w:t>
            </w:r>
          </w:p>
        </w:tc>
        <w:tc>
          <w:tcPr>
            <w:tcW w:w="2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11,521</w:t>
            </w:r>
          </w:p>
        </w:tc>
        <w:tc>
          <w:tcPr>
            <w:tcW w:w="2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1,703,290</w:t>
            </w:r>
          </w:p>
        </w:tc>
      </w:tr>
      <w:tr>
        <w:trPr>
          <w:trHeight w:val="203"/>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Construction</w:t>
            </w:r>
          </w:p>
        </w:tc>
        <w:tc>
          <w:tcPr>
            <w:tcW w:w="8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363,716</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363,716</w:t>
            </w:r>
          </w:p>
        </w:tc>
      </w:tr>
      <w:tr>
        <w:trPr>
          <w:trHeight w:val="203"/>
        </w:trPr>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Lease Financing</w:t>
            </w: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92,036</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420</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92,456</w:t>
            </w:r>
          </w:p>
        </w:tc>
      </w:tr>
      <w:tr>
        <w:trPr>
          <w:trHeight w:val="196"/>
        </w:trPr>
        <w:tc>
          <w:tcPr>
            <w:tcW w:w="4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8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5,503,510</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437,905</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244,386</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11,948</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6,197,749</w:t>
            </w: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2"/>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Residential Mortgage</w:t>
            </w:r>
          </w:p>
        </w:tc>
        <w:tc>
          <w:tcPr>
            <w:tcW w:w="8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4,556,413</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5,450</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68,700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313</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4,630,876</w:t>
            </w: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Home Equity</w:t>
            </w:r>
          </w:p>
        </w:tc>
        <w:tc>
          <w:tcPr>
            <w:tcW w:w="8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2,099,356</w:t>
            </w:r>
          </w:p>
        </w:tc>
        <w:tc>
          <w:tcPr>
            <w:tcW w:w="16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45,560</w:t>
            </w:r>
          </w:p>
        </w:tc>
        <w:tc>
          <w:tcPr>
            <w:tcW w:w="2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2,144,955</w:t>
            </w:r>
          </w:p>
        </w:tc>
      </w:tr>
      <w:tr>
        <w:trPr>
          <w:trHeight w:val="203"/>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Automobile</w:t>
            </w:r>
          </w:p>
        </w:tc>
        <w:tc>
          <w:tcPr>
            <w:tcW w:w="8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586,225</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120,302</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33,863</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740,390</w:t>
            </w:r>
          </w:p>
        </w:tc>
      </w:tr>
      <w:tr>
        <w:trPr>
          <w:trHeight w:val="203"/>
        </w:trPr>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345,580</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53,292</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2,481</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401,353</w:t>
            </w:r>
          </w:p>
        </w:tc>
      </w:tr>
      <w:tr>
        <w:trPr>
          <w:trHeight w:val="196"/>
        </w:trPr>
        <w:tc>
          <w:tcPr>
            <w:tcW w:w="4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8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7,587,574</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5,489</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287,854</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36,657</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7,917,574</w:t>
            </w:r>
          </w:p>
        </w:tc>
      </w:tr>
      <w:tr>
        <w:trPr>
          <w:trHeight w:val="196"/>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13,091,084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443,394</w:t>
            </w: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532,240</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48,605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14,115,323</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4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8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83"/>
        </w:trPr>
        <w:tc>
          <w:tcPr>
            <w:tcW w:w="4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Commercial Mortgage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3,534,658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297,758</w:t>
            </w:r>
          </w:p>
        </w:tc>
        <w:tc>
          <w:tcPr>
            <w:tcW w:w="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187,777</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429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4,020,622</w:t>
            </w: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1,493,386</w:t>
            </w:r>
          </w:p>
        </w:tc>
        <w:tc>
          <w:tcPr>
            <w:tcW w:w="16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139,968</w:t>
            </w:r>
          </w:p>
        </w:tc>
        <w:tc>
          <w:tcPr>
            <w:tcW w:w="2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62,824</w:t>
            </w:r>
          </w:p>
        </w:tc>
        <w:tc>
          <w:tcPr>
            <w:tcW w:w="2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8,955</w:t>
            </w:r>
          </w:p>
        </w:tc>
        <w:tc>
          <w:tcPr>
            <w:tcW w:w="2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1,705,133</w:t>
            </w:r>
          </w:p>
        </w:tc>
      </w:tr>
      <w:tr>
        <w:trPr>
          <w:trHeight w:val="203"/>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Construction</w:t>
            </w:r>
          </w:p>
        </w:tc>
        <w:tc>
          <w:tcPr>
            <w:tcW w:w="8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308,898</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308,898</w:t>
            </w:r>
          </w:p>
        </w:tc>
      </w:tr>
      <w:tr>
        <w:trPr>
          <w:trHeight w:val="203"/>
        </w:trPr>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Lease Financing</w:t>
            </w: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90,260</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496</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90,756</w:t>
            </w:r>
          </w:p>
        </w:tc>
      </w:tr>
      <w:tr>
        <w:trPr>
          <w:trHeight w:val="196"/>
        </w:trPr>
        <w:tc>
          <w:tcPr>
            <w:tcW w:w="4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8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5,427,202</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437,726</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251,097</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9,384</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6,125,409</w:t>
            </w: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Residential Mortgage</w:t>
            </w:r>
          </w:p>
        </w:tc>
        <w:tc>
          <w:tcPr>
            <w:tcW w:w="8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4,553,553</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5,469</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68,932</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4,628,283</w:t>
            </w: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Home Equity</w:t>
            </w:r>
          </w:p>
        </w:tc>
        <w:tc>
          <w:tcPr>
            <w:tcW w:w="8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2,119,548</w:t>
            </w:r>
          </w:p>
        </w:tc>
        <w:tc>
          <w:tcPr>
            <w:tcW w:w="16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45,925</w:t>
            </w:r>
          </w:p>
        </w:tc>
        <w:tc>
          <w:tcPr>
            <w:tcW w:w="2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2,165,514</w:t>
            </w:r>
          </w:p>
        </w:tc>
      </w:tr>
      <w:tr>
        <w:trPr>
          <w:trHeight w:val="203"/>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Automobile</w:t>
            </w:r>
          </w:p>
        </w:tc>
        <w:tc>
          <w:tcPr>
            <w:tcW w:w="8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601,359</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125,331</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37,456</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764,146</w:t>
            </w:r>
          </w:p>
        </w:tc>
      </w:tr>
      <w:tr>
        <w:trPr>
          <w:trHeight w:val="203"/>
        </w:trPr>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336,718</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47,279</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8,631</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392,628</w:t>
            </w:r>
          </w:p>
        </w:tc>
      </w:tr>
      <w:tr>
        <w:trPr>
          <w:trHeight w:val="196"/>
        </w:trPr>
        <w:tc>
          <w:tcPr>
            <w:tcW w:w="4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8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7,611,178</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5,510</w:t>
            </w: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287,467</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46,416</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7,950,571</w:t>
            </w:r>
          </w:p>
        </w:tc>
      </w:tr>
      <w:tr>
        <w:trPr>
          <w:trHeight w:val="196"/>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13,038,380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443,236</w:t>
            </w: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538,564</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55,800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14,075,980</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4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8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45" w:lineRule="exact"/>
        <w:rPr>
          <w:sz w:val="20"/>
          <w:szCs w:val="20"/>
          <w:color w:val="auto"/>
        </w:rPr>
      </w:pPr>
    </w:p>
    <w:p>
      <w:pPr>
        <w:ind w:left="180" w:right="120" w:hanging="172"/>
        <w:spacing w:after="0" w:line="212" w:lineRule="auto"/>
        <w:tabs>
          <w:tab w:leader="none" w:pos="1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secured loans and leases, classification is made based on where the collateral is located. For unsecured loans and leases, classification is made based on the location where the majority of the borrower’s business operations are conducted.</w:t>
      </w:r>
    </w:p>
    <w:p>
      <w:pPr>
        <w:spacing w:after="0" w:line="1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commercial and consumer lending activities are concentrated primarily in Hawai‘i and the West Pacific. Our commercial loan and lease portfolio to borrowers based on the U.S. Mainland includes participation in shared national credits for customers whose operations and assets extend beyond Hawai‘i.</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8 presents the major components of other assets.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Table 8</w:t>
            </w:r>
          </w:p>
        </w:tc>
      </w:tr>
      <w:tr>
        <w:trPr>
          <w:trHeight w:val="19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19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Low-Income Housing and Other Equity Investments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232,429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233,202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and Tax Receivable</w:t>
            </w:r>
          </w:p>
        </w:tc>
        <w:tc>
          <w:tcPr>
            <w:tcW w:w="7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165,800</w:t>
            </w:r>
          </w:p>
        </w:tc>
        <w:tc>
          <w:tcPr>
            <w:tcW w:w="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172,499</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7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125,683</w:t>
            </w: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161,473</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(35,790)</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Federal Home Loan Bank of Des Moines</w:t>
            </w:r>
          </w:p>
        </w:tc>
        <w:tc>
          <w:tcPr>
            <w:tcW w:w="7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34,750</w:t>
            </w:r>
          </w:p>
        </w:tc>
        <w:tc>
          <w:tcPr>
            <w:tcW w:w="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34,750</w:t>
            </w:r>
          </w:p>
        </w:tc>
        <w:tc>
          <w:tcPr>
            <w:tcW w:w="24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Reserve Bank Stock</w:t>
            </w:r>
          </w:p>
        </w:tc>
        <w:tc>
          <w:tcPr>
            <w:tcW w:w="7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30,436</w:t>
            </w: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30,339</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97</w:t>
            </w: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7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23,718</w:t>
            </w:r>
          </w:p>
        </w:tc>
        <w:tc>
          <w:tcPr>
            <w:tcW w:w="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22,623</w:t>
            </w:r>
          </w:p>
        </w:tc>
        <w:tc>
          <w:tcPr>
            <w:tcW w:w="24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1,095</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7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15,287</w:t>
            </w: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18,155</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7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15,615</w:t>
            </w:r>
          </w:p>
        </w:tc>
        <w:tc>
          <w:tcPr>
            <w:tcW w:w="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16,981</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7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1,360</w:t>
            </w: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2,657</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41,707</w:t>
            </w: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44,279</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r>
      <w:tr>
        <w:trPr>
          <w:trHeight w:val="236"/>
        </w:trPr>
        <w:tc>
          <w:tcPr>
            <w:tcW w:w="40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686,785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736,958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(50,173)</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1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decreased by $35.8 million due to decrease in yield curves from December 2024 to March 2025 decreasing the valuation of customer swaps and fair value hedges. Deferred tax assets and tax receivable decreased by $6.7 million due to temporary differences between financial reporting and income tax basis of unrealized losses on investment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9 presents the composition of our deposits by major customer categories.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16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b w:val="1"/>
                <w:bCs w:val="1"/>
                <w:color w:val="auto"/>
              </w:rPr>
              <w:t>Table 9</w:t>
            </w:r>
          </w:p>
        </w:tc>
      </w:tr>
      <w:tr>
        <w:trPr>
          <w:trHeight w:val="199"/>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19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10,522,627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10,397,777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124,850</w:t>
            </w:r>
          </w:p>
        </w:tc>
        <w:tc>
          <w:tcPr>
            <w:tcW w:w="162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166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8,411,838</w:t>
            </w:r>
          </w:p>
        </w:tc>
        <w:tc>
          <w:tcPr>
            <w:tcW w:w="20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8,299,590</w:t>
            </w:r>
          </w:p>
        </w:tc>
        <w:tc>
          <w:tcPr>
            <w:tcW w:w="26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112,248</w:t>
            </w:r>
          </w:p>
        </w:tc>
        <w:tc>
          <w:tcPr>
            <w:tcW w:w="16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2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Public and Other</w:t>
            </w:r>
          </w:p>
        </w:tc>
        <w:tc>
          <w:tcPr>
            <w:tcW w:w="16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2,073,752</w:t>
            </w:r>
          </w:p>
        </w:tc>
        <w:tc>
          <w:tcPr>
            <w:tcW w:w="2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1,935,670</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138,082</w:t>
            </w:r>
          </w:p>
        </w:tc>
        <w:tc>
          <w:tcPr>
            <w:tcW w:w="162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7</w:t>
            </w:r>
          </w:p>
        </w:tc>
      </w:tr>
      <w:tr>
        <w:trPr>
          <w:trHeight w:val="19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21,008,217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20,633,037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375,180</w:t>
            </w:r>
          </w:p>
        </w:tc>
        <w:tc>
          <w:tcPr>
            <w:tcW w:w="16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Total deposits were $21.0 billion as of March 31, 2025, an increase of $375.2 million or 1.8% from December 31, 2024. Consumer deposits increased by $124.9 million due to an increase of $167.2 million in core deposits, defined as all deposits exclusive of time deposits, partially offset by a decrease of $42.3 million in time deposits. Commercial deposits increased by $112.2 million primarily from increases of $68.3 million in core deposits and $43.9 million in time deposits. Public and other deposits increased by $138.1 million due to an increase of $160.4 million in core deposits, partially offset by a decrease of $22.3 million in time deposits.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10 presents the composition of our savings deposits.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Savings Deposits</w:t>
            </w:r>
          </w:p>
        </w:tc>
        <w:tc>
          <w:tcPr>
            <w:tcW w:w="1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Table 10</w:t>
            </w:r>
          </w:p>
        </w:tc>
      </w:tr>
      <w:tr>
        <w:trPr>
          <w:trHeight w:val="199"/>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5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19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3,455,750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3,430,047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25,703</w:t>
            </w:r>
          </w:p>
        </w:tc>
        <w:tc>
          <w:tcPr>
            <w:tcW w:w="162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Regular Savings</w:t>
            </w:r>
          </w:p>
        </w:tc>
        <w:tc>
          <w:tcPr>
            <w:tcW w:w="15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5,244,393</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4,934,869</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309,524</w:t>
            </w:r>
          </w:p>
        </w:tc>
        <w:tc>
          <w:tcPr>
            <w:tcW w:w="16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6</w:t>
            </w:r>
          </w:p>
        </w:tc>
      </w:tr>
      <w:tr>
        <w:trPr>
          <w:trHeight w:val="236"/>
        </w:trPr>
        <w:tc>
          <w:tcPr>
            <w:tcW w:w="3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Savings Deposits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8,700,143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8,364,916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335,227</w:t>
            </w:r>
          </w:p>
        </w:tc>
        <w:tc>
          <w:tcPr>
            <w:tcW w:w="162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4%</w:t>
            </w:r>
          </w:p>
        </w:tc>
      </w:tr>
    </w:tbl>
    <w:p>
      <w:pPr>
        <w:spacing w:after="0" w:line="17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increase in Money Market was primarily due to an increase in commercial deposits of $28.8 million partially offset by $3.1 million decrease in consumer deposits. The increase in Regular Savings was primarily due to increases in public deposits of $182.8 million, $124.0 million in consumer deposits and $2.7 million in commercial deposits.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11 presents the maturity distribution of the estimated uninsured time deposits.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Maturity Distribution of Estimated Uninsured Time Deposits</w:t>
            </w:r>
          </w:p>
        </w:tc>
        <w:tc>
          <w:tcPr>
            <w:tcW w:w="1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11</w:t>
            </w:r>
          </w:p>
        </w:tc>
      </w:tr>
      <w:tr>
        <w:trPr>
          <w:trHeight w:val="199"/>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Remaining maturity:</w:t>
            </w:r>
          </w:p>
        </w:tc>
        <w:tc>
          <w:tcPr>
            <w:tcW w:w="1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5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Three months or less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653,674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635,812</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17,862</w:t>
            </w:r>
          </w:p>
        </w:tc>
      </w:tr>
      <w:tr>
        <w:trPr>
          <w:trHeight w:val="203"/>
        </w:trPr>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After three through six months</w:t>
            </w:r>
          </w:p>
        </w:tc>
        <w:tc>
          <w:tcPr>
            <w:tcW w:w="1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433,013</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365,354</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67,659</w:t>
            </w:r>
          </w:p>
        </w:tc>
      </w:tr>
      <w:tr>
        <w:trPr>
          <w:trHeight w:val="203"/>
        </w:trPr>
        <w:tc>
          <w:tcPr>
            <w:tcW w:w="5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After six through twelve months</w:t>
            </w:r>
          </w:p>
        </w:tc>
        <w:tc>
          <w:tcPr>
            <w:tcW w:w="11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456,780</w:t>
            </w:r>
          </w:p>
        </w:tc>
        <w:tc>
          <w:tcPr>
            <w:tcW w:w="22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524,286</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(67,506)</w:t>
            </w:r>
          </w:p>
        </w:tc>
      </w:tr>
      <w:tr>
        <w:trPr>
          <w:trHeight w:val="203"/>
        </w:trPr>
        <w:tc>
          <w:tcPr>
            <w:tcW w:w="5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After twelve months</w:t>
            </w:r>
          </w:p>
        </w:tc>
        <w:tc>
          <w:tcPr>
            <w:tcW w:w="1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97,053</w:t>
            </w:r>
          </w:p>
        </w:tc>
        <w:tc>
          <w:tcPr>
            <w:tcW w:w="2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102,795</w:t>
            </w: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(5,742)</w:t>
            </w:r>
          </w:p>
        </w:tc>
      </w:tr>
      <w:tr>
        <w:trPr>
          <w:trHeight w:val="196"/>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1,640,520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1,628,247</w:t>
            </w:r>
          </w:p>
        </w:tc>
        <w:tc>
          <w:tcPr>
            <w:tcW w:w="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12,273</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Estimated uninsured deposits are calculated pursuant to regulatory guidance and reported in our Call Report and include deposits collateralized by government-backed securities and intercompany deposits of wholly-owned subsidiaries. Table 12 presents a reconciliation of our estimated uninsured deposits as reported in our Call Report to our adjusted uninsured deposits. We believe the adjusted uninsured deposits reconciliation provides useful information about our deposits at risk.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Uninsured Deposits Reconciliation</w:t>
            </w:r>
          </w:p>
        </w:tc>
        <w:tc>
          <w:tcPr>
            <w:tcW w:w="1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12</w:t>
            </w:r>
          </w:p>
        </w:tc>
      </w:tr>
      <w:tr>
        <w:trPr>
          <w:trHeight w:val="246"/>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7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 xml:space="preserve">March 31, 2025 </w:t>
            </w:r>
            <w:r>
              <w:rPr>
                <w:rFonts w:ascii="Times New Roman" w:cs="Times New Roman" w:eastAsia="Times New Roman" w:hAnsi="Times New Roman"/>
                <w:sz w:val="21"/>
                <w:szCs w:val="21"/>
                <w:b w:val="1"/>
                <w:bCs w:val="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xml:space="preserve">December 31, 2024 </w:t>
            </w:r>
            <w:r>
              <w:rPr>
                <w:rFonts w:ascii="Times New Roman" w:cs="Times New Roman" w:eastAsia="Times New Roman" w:hAnsi="Times New Roman"/>
                <w:sz w:val="21"/>
                <w:szCs w:val="21"/>
                <w:b w:val="1"/>
                <w:bCs w:val="1"/>
                <w:color w:val="auto"/>
                <w:vertAlign w:val="superscript"/>
              </w:rPr>
              <w:t>2</w:t>
            </w: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Estimated Uninsured Deposits, as Reported in our Call Report</w:t>
            </w:r>
          </w:p>
        </w:tc>
        <w:tc>
          <w:tcPr>
            <w:tcW w:w="1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10,034,831</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9,754,299</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Deposits Collateralized by Government-Backed Securities</w:t>
            </w:r>
          </w:p>
        </w:tc>
        <w:tc>
          <w:tcPr>
            <w:tcW w:w="170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(1,923,855)</w:t>
            </w:r>
          </w:p>
        </w:tc>
        <w:tc>
          <w:tcPr>
            <w:tcW w:w="30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(1,794,050)</w:t>
            </w:r>
          </w:p>
        </w:tc>
      </w:tr>
      <w:tr>
        <w:trPr>
          <w:trHeight w:val="203"/>
        </w:trPr>
        <w:tc>
          <w:tcPr>
            <w:tcW w:w="5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Intercompany Deposits of Wholly-Owned Subsidiaries</w:t>
            </w:r>
          </w:p>
        </w:tc>
        <w:tc>
          <w:tcPr>
            <w:tcW w:w="1700" w:type="dxa"/>
            <w:vAlign w:val="bottom"/>
          </w:tcPr>
          <w:p>
            <w:pPr>
              <w:spacing w:after="0"/>
              <w:rPr>
                <w:sz w:val="17"/>
                <w:szCs w:val="17"/>
                <w:color w:val="auto"/>
              </w:rPr>
            </w:pPr>
          </w:p>
        </w:tc>
        <w:tc>
          <w:tcPr>
            <w:tcW w:w="1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(126,521)</w:t>
            </w:r>
          </w:p>
        </w:tc>
        <w:tc>
          <w:tcPr>
            <w:tcW w:w="3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(121,932)</w:t>
            </w:r>
          </w:p>
        </w:tc>
      </w:tr>
      <w:tr>
        <w:trPr>
          <w:trHeight w:val="203"/>
        </w:trPr>
        <w:tc>
          <w:tcPr>
            <w:tcW w:w="55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70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(76,359)</w:t>
            </w:r>
          </w:p>
        </w:tc>
        <w:tc>
          <w:tcPr>
            <w:tcW w:w="30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(110,995)</w:t>
            </w:r>
          </w:p>
        </w:tc>
      </w:tr>
      <w:tr>
        <w:trPr>
          <w:trHeight w:val="196"/>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Adjusted Uninsured Deposits</w:t>
            </w:r>
          </w:p>
        </w:tc>
        <w:tc>
          <w:tcPr>
            <w:tcW w:w="1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7,908,096</w:t>
            </w: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7,727,322</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80" w:hanging="172"/>
        <w:spacing w:after="0" w:line="229" w:lineRule="auto"/>
        <w:tabs>
          <w:tab w:leader="none" w:pos="1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presented as of March 31, 2025 are preliminary.</w:t>
      </w:r>
    </w:p>
    <w:p>
      <w:pPr>
        <w:ind w:left="180" w:hanging="172"/>
        <w:spacing w:after="0" w:line="190" w:lineRule="auto"/>
        <w:tabs>
          <w:tab w:leader="none" w:pos="18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presented as of December 31, 2024 were revised to reflect changes made in our Call Report.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Securities sold under agreements to repurchase were $50.0 million and $100.0 million as of March 31, 2025 and December 31, 2024, respectively. In February 2025, a private institution exercised its right to call on a repurchase agreement with a balance of $50.0 million, resulting in its termination. As of March 31, 2025, our remaining repurchase agreement was at a fixed interest rate of 3.89%. with a remaining maturity of 4.63 years. Our repurchase agreement was accounted for as a collateralized financing arrangement (i.e., a secured borrowing) and not as a sale and subsequent repurchase of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13 presents the composition of our other debt.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Other Debt</w:t>
            </w:r>
          </w:p>
        </w:tc>
        <w:tc>
          <w:tcPr>
            <w:tcW w:w="1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13</w:t>
            </w:r>
          </w:p>
        </w:tc>
      </w:tr>
      <w:tr>
        <w:trPr>
          <w:trHeight w:val="199"/>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Home Loan Bank of Des Moines Advances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550,000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550,000</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6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8,250</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8,274</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6"/>
        </w:trPr>
        <w:tc>
          <w:tcPr>
            <w:tcW w:w="4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558,250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558,274</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segments are defined as Consumer Banking, Commercial Banking, and Treasury and Other.</w:t>
      </w:r>
    </w:p>
    <w:p>
      <w:pPr>
        <w:spacing w:after="0" w:line="196"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 xml:space="preserve">Table 14 summarizes net income from our business segments. Additional information about segment performance is presented in Note 9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to the unaudited Consolidated Financial Statements.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Business Segment Net Income</w:t>
            </w:r>
          </w:p>
        </w:tc>
        <w:tc>
          <w:tcPr>
            <w:tcW w:w="2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Table 14</w:t>
            </w:r>
          </w:p>
        </w:tc>
      </w:tr>
      <w:tr>
        <w:trPr>
          <w:trHeight w:val="199"/>
        </w:trPr>
        <w:tc>
          <w:tcPr>
            <w:tcW w:w="4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 Banking</w:t>
            </w:r>
          </w:p>
        </w:tc>
        <w:tc>
          <w:tcPr>
            <w:tcW w:w="3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29,452</w:t>
            </w:r>
          </w:p>
        </w:tc>
        <w:tc>
          <w:tcPr>
            <w:tcW w:w="4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32,803</w:t>
            </w:r>
          </w:p>
        </w:tc>
      </w:tr>
      <w:tr>
        <w:trPr>
          <w:trHeight w:val="20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Commercial Banking</w:t>
            </w:r>
          </w:p>
        </w:tc>
        <w:tc>
          <w:tcPr>
            <w:tcW w:w="2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31,689</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29,642</w:t>
            </w:r>
          </w:p>
        </w:tc>
      </w:tr>
      <w:tr>
        <w:trPr>
          <w:trHeight w:val="19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61,141</w:t>
            </w: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62,445</w:t>
            </w:r>
          </w:p>
        </w:tc>
      </w:tr>
      <w:tr>
        <w:trPr>
          <w:trHeight w:val="20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Treasury and Other</w:t>
            </w:r>
          </w:p>
        </w:tc>
        <w:tc>
          <w:tcPr>
            <w:tcW w:w="2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(17,156)</w:t>
            </w:r>
          </w:p>
        </w:tc>
        <w:tc>
          <w:tcPr>
            <w:tcW w:w="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(26,054)</w:t>
            </w:r>
          </w:p>
        </w:tc>
      </w:tr>
      <w:tr>
        <w:trPr>
          <w:trHeight w:val="236"/>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318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43,985</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36,391</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income decreased by $3.4 million or 10% in the first quarter of 2025 compared to the same period last year primarily due to an increase in noninterest expense, a decrease in net interest income, and an increase in the provision for credit losses. This was partially offset by an increase in noninterest income. Noninterest expense decreased by $3.7 million or 4% primarily due to higher allocated administrative and support unit costs. Net interest income decreased by $1.4 million or 1% primarily due to lower deposit spreads on higher deposit balances, as well as lower loan balances. The provision for credit losses increased by $1 million or 44% primarily due to higher net charge-offs in the auto loan and installment loan portfolios. Noninterest income increased by $1.5 million or 5% primarily due to higher trust and asset management income, annuity and insurance income, and monthly service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income increased by $2.0 million or 7% in the first quarter of 2025 compared to the same period last year primarily due to increases in net interest income and noninterest income, partially offset by an increase in noninterest expense. Net interest income increased by $4.1 million or 8% primarily due to increases in loan balances, primarily in commercial mortgages, and allocated interest income due to increases in balances and spreads on interest bearing and savings deposits, partially offset by a reduction in noninterest bearing deposit balances. Noninterest income increased by $1.0 million or 14% primarily due to increases in loan fees and customer derivative program revenue, and a gain on sale of leased equipment, partially offset by a decrease in merchant revenue. Noninterest expense increased by $1.0 million or 5% primarily due to higher allocated administrative and support unit expenses and merchant processing fees, partially offset by lower salaries &amp; benefits.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Net loss decreased by $8.9 million or 34% in the first quarter of 2025 compared to the same period last year primarily due to higher net interest income, partially offset by lower noninterest income. The net interest income increased by $9.2 million or 27% primarily due to a decrease in funding costs reflecting lower rate environment. Noninterest income decreased by $0.7 million or 19% primarily due to a decrease in other income. The provision for income taxes in this business segment represents the residual amount to arrive at the total tax expense for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Risk Profile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actively manage exposures with deteriorating asset quality to reduce levels of potential loss exposure and closely monitor our reserves and capital to address both anticipated and unforeseen issues. Risk management activities include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 and Accruing Loans and Leases Past Due 90 Days or More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15 presents information on NPAs and accruing loans and leases past due 90 days or more.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Non-Performing Assets and Accruing Loans and Leases Past Due 90 Days or More</w:t>
            </w:r>
          </w:p>
        </w:tc>
        <w:tc>
          <w:tcPr>
            <w:tcW w:w="5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Table 15</w:t>
            </w:r>
          </w:p>
        </w:tc>
        <w:tc>
          <w:tcPr>
            <w:tcW w:w="0" w:type="dxa"/>
            <w:vAlign w:val="bottom"/>
          </w:tcPr>
          <w:p>
            <w:pPr>
              <w:spacing w:after="0"/>
              <w:rPr>
                <w:sz w:val="1"/>
                <w:szCs w:val="1"/>
                <w:color w:val="auto"/>
              </w:rPr>
            </w:pPr>
          </w:p>
        </w:tc>
      </w:tr>
      <w:tr>
        <w:trPr>
          <w:trHeight w:val="156"/>
        </w:trPr>
        <w:tc>
          <w:tcPr>
            <w:tcW w:w="57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(dollars in thousands)</w:t>
            </w:r>
          </w:p>
        </w:tc>
        <w:tc>
          <w:tcPr>
            <w:tcW w:w="5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88"/>
              <w:spacing w:after="0" w:line="156" w:lineRule="exact"/>
              <w:rPr>
                <w:sz w:val="20"/>
                <w:szCs w:val="20"/>
                <w:color w:val="auto"/>
              </w:rPr>
            </w:pPr>
            <w:r>
              <w:rPr>
                <w:rFonts w:ascii="Times New Roman" w:cs="Times New Roman" w:eastAsia="Times New Roman" w:hAnsi="Times New Roman"/>
                <w:sz w:val="15"/>
                <w:szCs w:val="15"/>
                <w:b w:val="1"/>
                <w:bCs w:val="1"/>
                <w:color w:val="auto"/>
              </w:rPr>
              <w:t>March 31, 2025</w:t>
            </w: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328"/>
              <w:spacing w:after="0" w:line="156" w:lineRule="exact"/>
              <w:rPr>
                <w:sz w:val="20"/>
                <w:szCs w:val="20"/>
                <w:color w:val="auto"/>
              </w:rPr>
            </w:pPr>
            <w:r>
              <w:rPr>
                <w:rFonts w:ascii="Times New Roman" w:cs="Times New Roman" w:eastAsia="Times New Roman" w:hAnsi="Times New Roman"/>
                <w:sz w:val="15"/>
                <w:szCs w:val="15"/>
                <w:b w:val="1"/>
                <w:bCs w:val="1"/>
                <w:color w:val="auto"/>
              </w:rPr>
              <w:t>December 31, 2024</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8"/>
              <w:spacing w:after="0" w:line="156"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42"/>
        </w:trPr>
        <w:tc>
          <w:tcPr>
            <w:tcW w:w="5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Non-Performing Assets</w:t>
            </w:r>
          </w:p>
        </w:tc>
        <w:tc>
          <w:tcPr>
            <w:tcW w:w="5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Non-Accrual Loans and Leases</w:t>
            </w: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5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Mortgage</w:t>
            </w:r>
          </w:p>
        </w:tc>
        <w:tc>
          <w:tcPr>
            <w:tcW w:w="5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3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48"/>
        </w:trPr>
        <w:tc>
          <w:tcPr>
            <w:tcW w:w="5740" w:type="dxa"/>
            <w:vAlign w:val="bottom"/>
            <w:tcBorders>
              <w:bottom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5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24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4,627</w:t>
            </w:r>
          </w:p>
        </w:tc>
        <w:tc>
          <w:tcPr>
            <w:tcW w:w="3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Commercial</w:t>
            </w: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5,646</w:t>
            </w: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7,077</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42"/>
        </w:trPr>
        <w:tc>
          <w:tcPr>
            <w:tcW w:w="574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Consumer</w:t>
            </w:r>
          </w:p>
        </w:tc>
        <w:tc>
          <w:tcPr>
            <w:tcW w:w="5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500" w:type="dxa"/>
            <w:vAlign w:val="bottom"/>
          </w:tcPr>
          <w:p>
            <w:pPr>
              <w:spacing w:after="0"/>
              <w:rPr>
                <w:sz w:val="12"/>
                <w:szCs w:val="12"/>
                <w:color w:val="auto"/>
              </w:rPr>
            </w:pPr>
          </w:p>
        </w:tc>
        <w:tc>
          <w:tcPr>
            <w:tcW w:w="14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4,686</w:t>
            </w:r>
          </w:p>
        </w:tc>
        <w:tc>
          <w:tcPr>
            <w:tcW w:w="240" w:type="dxa"/>
            <w:vAlign w:val="bottom"/>
          </w:tcPr>
          <w:p>
            <w:pPr>
              <w:spacing w:after="0"/>
              <w:rPr>
                <w:sz w:val="12"/>
                <w:szCs w:val="12"/>
                <w:color w:val="auto"/>
              </w:rPr>
            </w:pPr>
          </w:p>
        </w:tc>
        <w:tc>
          <w:tcPr>
            <w:tcW w:w="17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5,052</w:t>
            </w:r>
          </w:p>
        </w:tc>
        <w:tc>
          <w:tcPr>
            <w:tcW w:w="300" w:type="dxa"/>
            <w:vAlign w:val="bottom"/>
          </w:tcPr>
          <w:p>
            <w:pPr>
              <w:spacing w:after="0"/>
              <w:rPr>
                <w:sz w:val="12"/>
                <w:szCs w:val="12"/>
                <w:color w:val="auto"/>
              </w:rPr>
            </w:pPr>
          </w:p>
        </w:tc>
        <w:tc>
          <w:tcPr>
            <w:tcW w:w="13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48"/>
        </w:trPr>
        <w:tc>
          <w:tcPr>
            <w:tcW w:w="5740" w:type="dxa"/>
            <w:vAlign w:val="bottom"/>
            <w:tcBorders>
              <w:bottom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5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5,759</w:t>
            </w:r>
          </w:p>
        </w:tc>
        <w:tc>
          <w:tcPr>
            <w:tcW w:w="24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4,514</w:t>
            </w:r>
          </w:p>
        </w:tc>
        <w:tc>
          <w:tcPr>
            <w:tcW w:w="3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10,445</w:t>
            </w: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9,566</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Non-Accrual Loans and Leases</w:t>
            </w:r>
          </w:p>
        </w:tc>
        <w:tc>
          <w:tcPr>
            <w:tcW w:w="5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16,091</w:t>
            </w:r>
          </w:p>
        </w:tc>
        <w:tc>
          <w:tcPr>
            <w:tcW w:w="24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16,643</w:t>
            </w:r>
          </w:p>
        </w:tc>
        <w:tc>
          <w:tcPr>
            <w:tcW w:w="3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Foreclosed Real Estate</w:t>
            </w: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1,360</w:t>
            </w: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2,657</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(1,297)</w:t>
            </w:r>
          </w:p>
        </w:tc>
        <w:tc>
          <w:tcPr>
            <w:tcW w:w="0" w:type="dxa"/>
            <w:vAlign w:val="bottom"/>
          </w:tcPr>
          <w:p>
            <w:pPr>
              <w:spacing w:after="0"/>
              <w:rPr>
                <w:sz w:val="1"/>
                <w:szCs w:val="1"/>
                <w:color w:val="auto"/>
              </w:rPr>
            </w:pPr>
          </w:p>
        </w:tc>
      </w:tr>
      <w:tr>
        <w:trPr>
          <w:trHeight w:val="182"/>
        </w:trPr>
        <w:tc>
          <w:tcPr>
            <w:tcW w:w="57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500" w:type="dxa"/>
            <w:vAlign w:val="bottom"/>
            <w:tcBorders>
              <w:bottom w:val="single" w:sz="8" w:color="auto"/>
            </w:tcBorders>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17,451</w:t>
            </w:r>
          </w:p>
        </w:tc>
        <w:tc>
          <w:tcPr>
            <w:tcW w:w="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19,300</w:t>
            </w:r>
          </w:p>
        </w:tc>
        <w:tc>
          <w:tcPr>
            <w:tcW w:w="30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(1,849)</w:t>
            </w:r>
          </w:p>
        </w:tc>
        <w:tc>
          <w:tcPr>
            <w:tcW w:w="0" w:type="dxa"/>
            <w:vAlign w:val="bottom"/>
          </w:tcPr>
          <w:p>
            <w:pPr>
              <w:spacing w:after="0"/>
              <w:rPr>
                <w:sz w:val="1"/>
                <w:szCs w:val="1"/>
                <w:color w:val="auto"/>
              </w:rPr>
            </w:pPr>
          </w:p>
        </w:tc>
      </w:tr>
      <w:tr>
        <w:trPr>
          <w:trHeight w:val="129"/>
        </w:trPr>
        <w:tc>
          <w:tcPr>
            <w:tcW w:w="57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Accruing Loans and Leases Past Due 90 Days or More</w:t>
            </w: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5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5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3,895</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3,984</w:t>
            </w:r>
          </w:p>
        </w:tc>
        <w:tc>
          <w:tcPr>
            <w:tcW w:w="3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5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2,228</w:t>
            </w: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30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Automobile</w:t>
            </w:r>
          </w:p>
        </w:tc>
        <w:tc>
          <w:tcPr>
            <w:tcW w:w="500" w:type="dxa"/>
            <w:vAlign w:val="bottom"/>
          </w:tcPr>
          <w:p>
            <w:pPr>
              <w:spacing w:after="0"/>
              <w:rPr>
                <w:sz w:val="12"/>
                <w:szCs w:val="12"/>
                <w:color w:val="auto"/>
              </w:rPr>
            </w:pPr>
          </w:p>
        </w:tc>
        <w:tc>
          <w:tcPr>
            <w:tcW w:w="14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240" w:type="dxa"/>
            <w:vAlign w:val="bottom"/>
          </w:tcPr>
          <w:p>
            <w:pPr>
              <w:spacing w:after="0"/>
              <w:rPr>
                <w:sz w:val="12"/>
                <w:szCs w:val="12"/>
                <w:color w:val="auto"/>
              </w:rPr>
            </w:pPr>
          </w:p>
        </w:tc>
        <w:tc>
          <w:tcPr>
            <w:tcW w:w="17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300" w:type="dxa"/>
            <w:vAlign w:val="bottom"/>
          </w:tcPr>
          <w:p>
            <w:pPr>
              <w:spacing w:after="0"/>
              <w:rPr>
                <w:sz w:val="12"/>
                <w:szCs w:val="12"/>
                <w:color w:val="auto"/>
              </w:rPr>
            </w:pPr>
          </w:p>
        </w:tc>
        <w:tc>
          <w:tcPr>
            <w:tcW w:w="13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48"/>
        </w:trPr>
        <w:tc>
          <w:tcPr>
            <w:tcW w:w="5740" w:type="dxa"/>
            <w:vAlign w:val="bottom"/>
            <w:tcBorders>
              <w:bottom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943</w:t>
            </w:r>
          </w:p>
        </w:tc>
        <w:tc>
          <w:tcPr>
            <w:tcW w:w="24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3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Consumer</w:t>
            </w: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7,552</w:t>
            </w: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8,282</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182"/>
        </w:trPr>
        <w:tc>
          <w:tcPr>
            <w:tcW w:w="57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Accruing Loans and Leases Past Due 90 Days or More</w:t>
            </w:r>
          </w:p>
        </w:tc>
        <w:tc>
          <w:tcPr>
            <w:tcW w:w="500" w:type="dxa"/>
            <w:vAlign w:val="bottom"/>
            <w:tcBorders>
              <w:bottom w:val="single" w:sz="8" w:color="auto"/>
            </w:tcBorders>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7,552</w:t>
            </w:r>
          </w:p>
        </w:tc>
        <w:tc>
          <w:tcPr>
            <w:tcW w:w="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8,282</w:t>
            </w:r>
          </w:p>
        </w:tc>
        <w:tc>
          <w:tcPr>
            <w:tcW w:w="30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129"/>
        </w:trPr>
        <w:tc>
          <w:tcPr>
            <w:tcW w:w="57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500" w:type="dxa"/>
            <w:vAlign w:val="bottom"/>
            <w:tcBorders>
              <w:bottom w:val="single" w:sz="8" w:color="auto"/>
            </w:tcBorders>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14,115,323</w:t>
            </w:r>
          </w:p>
        </w:tc>
        <w:tc>
          <w:tcPr>
            <w:tcW w:w="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rPr>
              <w:t>14,075,980</w:t>
            </w:r>
          </w:p>
        </w:tc>
        <w:tc>
          <w:tcPr>
            <w:tcW w:w="30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rPr>
              <w:t>39,343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Ratio of Non-Accrual Loans and Leases to Total Loans and Leases</w:t>
            </w:r>
          </w:p>
        </w:tc>
        <w:tc>
          <w:tcPr>
            <w:tcW w:w="500" w:type="dxa"/>
            <w:vAlign w:val="bottom"/>
            <w:tcBorders>
              <w:bottom w:val="single" w:sz="8" w:color="auto"/>
            </w:tcBorders>
            <w:shd w:val="clear" w:color="auto" w:fill="CFF0FC"/>
          </w:tcPr>
          <w:p>
            <w:pPr>
              <w:spacing w:after="0"/>
              <w:rPr>
                <w:sz w:val="11"/>
                <w:szCs w:val="11"/>
                <w:color w:val="auto"/>
              </w:rPr>
            </w:pPr>
          </w:p>
        </w:tc>
        <w:tc>
          <w:tcPr>
            <w:tcW w:w="14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0.11%</w:t>
            </w:r>
          </w:p>
        </w:tc>
        <w:tc>
          <w:tcPr>
            <w:tcW w:w="240" w:type="dxa"/>
            <w:vAlign w:val="bottom"/>
            <w:tcBorders>
              <w:bottom w:val="single" w:sz="8" w:color="auto"/>
            </w:tcBorders>
            <w:shd w:val="clear" w:color="auto" w:fill="CFF0FC"/>
          </w:tcPr>
          <w:p>
            <w:pPr>
              <w:spacing w:after="0"/>
              <w:rPr>
                <w:sz w:val="11"/>
                <w:szCs w:val="11"/>
                <w:color w:val="auto"/>
              </w:rPr>
            </w:pPr>
          </w:p>
        </w:tc>
        <w:tc>
          <w:tcPr>
            <w:tcW w:w="1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0.12%</w:t>
            </w:r>
          </w:p>
        </w:tc>
        <w:tc>
          <w:tcPr>
            <w:tcW w:w="30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Ratio of Non-Performing Assets to Total Loans and Leases and Foreclosed Real Estate</w:t>
            </w: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0.12%</w:t>
            </w: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0.14%</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Ratio of Non-Performing Assets to Total Assets</w:t>
            </w:r>
          </w:p>
        </w:tc>
        <w:tc>
          <w:tcPr>
            <w:tcW w:w="50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0.07%</w:t>
            </w:r>
          </w:p>
        </w:tc>
        <w:tc>
          <w:tcPr>
            <w:tcW w:w="24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0.08%</w:t>
            </w:r>
          </w:p>
        </w:tc>
        <w:tc>
          <w:tcPr>
            <w:tcW w:w="3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19"/>
        </w:trPr>
        <w:tc>
          <w:tcPr>
            <w:tcW w:w="57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Ratio of Commercial Non-Performing Assets to Total Commercial Loans and Leases</w:t>
            </w:r>
          </w:p>
        </w:tc>
        <w:tc>
          <w:tcPr>
            <w:tcW w:w="50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40" w:type="dxa"/>
            <w:vAlign w:val="bottom"/>
          </w:tcPr>
          <w:p>
            <w:pPr>
              <w:spacing w:after="0"/>
              <w:rPr>
                <w:sz w:val="10"/>
                <w:szCs w:val="10"/>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3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and Commercial Foreclosed Real Estate</w:t>
            </w: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Ratio of Consumer Non-Performing Assets to Total Consumer Loans and Leases</w:t>
            </w:r>
          </w:p>
        </w:tc>
        <w:tc>
          <w:tcPr>
            <w:tcW w:w="500" w:type="dxa"/>
            <w:vAlign w:val="bottom"/>
            <w:shd w:val="clear" w:color="auto" w:fill="CFF0FC"/>
          </w:tcPr>
          <w:p>
            <w:pPr>
              <w:spacing w:after="0"/>
              <w:rPr>
                <w:sz w:val="10"/>
                <w:szCs w:val="10"/>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40" w:type="dxa"/>
            <w:vAlign w:val="bottom"/>
            <w:shd w:val="clear" w:color="auto" w:fill="CFF0FC"/>
          </w:tcPr>
          <w:p>
            <w:pPr>
              <w:spacing w:after="0"/>
              <w:rPr>
                <w:sz w:val="10"/>
                <w:szCs w:val="10"/>
                <w:color w:val="auto"/>
              </w:rPr>
            </w:pP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30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and Consumer Foreclosed Real Estate</w:t>
            </w:r>
          </w:p>
        </w:tc>
        <w:tc>
          <w:tcPr>
            <w:tcW w:w="5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700" w:type="dxa"/>
            <w:vAlign w:val="bottom"/>
            <w:tcBorders>
              <w:bottom w:val="single" w:sz="8" w:color="auto"/>
            </w:tcBorders>
            <w:vMerge w:val="continue"/>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Ratio of Non-Performing Assets and Accruing Loans and Leases Past Due 90 Days</w:t>
            </w:r>
          </w:p>
        </w:tc>
        <w:tc>
          <w:tcPr>
            <w:tcW w:w="50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240" w:type="dxa"/>
            <w:vAlign w:val="bottom"/>
          </w:tcPr>
          <w:p>
            <w:pPr>
              <w:spacing w:after="0"/>
              <w:rPr>
                <w:sz w:val="10"/>
                <w:szCs w:val="10"/>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3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or More to Total Loans and Leases and Foreclosed Real Estate</w:t>
            </w: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Non-Performing Assets</w:t>
            </w: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74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500" w:type="dxa"/>
            <w:vAlign w:val="bottom"/>
          </w:tcPr>
          <w:p>
            <w:pPr>
              <w:jc w:val="right"/>
              <w:ind w:right="9"/>
              <w:spacing w:after="0" w:line="11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88"/>
              <w:spacing w:after="0" w:line="115" w:lineRule="exact"/>
              <w:rPr>
                <w:sz w:val="20"/>
                <w:szCs w:val="20"/>
                <w:color w:val="auto"/>
              </w:rPr>
            </w:pPr>
            <w:r>
              <w:rPr>
                <w:rFonts w:ascii="Times New Roman" w:cs="Times New Roman" w:eastAsia="Times New Roman" w:hAnsi="Times New Roman"/>
                <w:sz w:val="13"/>
                <w:szCs w:val="13"/>
                <w:color w:val="auto"/>
              </w:rPr>
              <w:t>19,300</w:t>
            </w:r>
          </w:p>
        </w:tc>
        <w:tc>
          <w:tcPr>
            <w:tcW w:w="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Additions </w:t>
            </w:r>
            <w:r>
              <w:rPr>
                <w:rFonts w:ascii="Times New Roman" w:cs="Times New Roman" w:eastAsia="Times New Roman" w:hAnsi="Times New Roman"/>
                <w:sz w:val="19"/>
                <w:szCs w:val="19"/>
                <w:color w:val="auto"/>
                <w:vertAlign w:val="superscript"/>
              </w:rPr>
              <w:t>1</w:t>
            </w:r>
          </w:p>
        </w:tc>
        <w:tc>
          <w:tcPr>
            <w:tcW w:w="500" w:type="dxa"/>
            <w:vAlign w:val="bottom"/>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2,209</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Reductions</w:t>
            </w:r>
          </w:p>
        </w:tc>
        <w:tc>
          <w:tcPr>
            <w:tcW w:w="5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w:t>
            </w:r>
          </w:p>
        </w:tc>
        <w:tc>
          <w:tcPr>
            <w:tcW w:w="500" w:type="dxa"/>
            <w:vAlign w:val="bottom"/>
          </w:tcPr>
          <w:p>
            <w:pPr>
              <w:spacing w:after="0"/>
              <w:rPr>
                <w:sz w:val="12"/>
                <w:szCs w:val="12"/>
                <w:color w:val="auto"/>
              </w:rPr>
            </w:pPr>
          </w:p>
        </w:tc>
        <w:tc>
          <w:tcPr>
            <w:tcW w:w="14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(1,212)</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Return to Accrual Status</w:t>
            </w:r>
          </w:p>
        </w:tc>
        <w:tc>
          <w:tcPr>
            <w:tcW w:w="50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740" w:type="dxa"/>
            <w:vAlign w:val="bottom"/>
          </w:tcPr>
          <w:p>
            <w:pPr>
              <w:ind w:left="120"/>
              <w:spacing w:after="0" w:line="122" w:lineRule="exact"/>
              <w:rPr>
                <w:sz w:val="20"/>
                <w:szCs w:val="20"/>
                <w:color w:val="auto"/>
              </w:rPr>
            </w:pPr>
            <w:r>
              <w:rPr>
                <w:rFonts w:ascii="Times New Roman" w:cs="Times New Roman" w:eastAsia="Times New Roman" w:hAnsi="Times New Roman"/>
                <w:sz w:val="14"/>
                <w:szCs w:val="14"/>
                <w:color w:val="auto"/>
              </w:rPr>
              <w:t>Sales of Foreclosed Real Estate</w:t>
            </w:r>
          </w:p>
        </w:tc>
        <w:tc>
          <w:tcPr>
            <w:tcW w:w="500" w:type="dxa"/>
            <w:vAlign w:val="bottom"/>
          </w:tcPr>
          <w:p>
            <w:pPr>
              <w:spacing w:after="0"/>
              <w:rPr>
                <w:sz w:val="10"/>
                <w:szCs w:val="10"/>
                <w:color w:val="auto"/>
              </w:rPr>
            </w:pPr>
          </w:p>
        </w:tc>
        <w:tc>
          <w:tcPr>
            <w:tcW w:w="1440" w:type="dxa"/>
            <w:vAlign w:val="bottom"/>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(1,492)</w:t>
            </w:r>
          </w:p>
        </w:tc>
        <w:tc>
          <w:tcPr>
            <w:tcW w:w="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740" w:type="dxa"/>
            <w:vAlign w:val="bottom"/>
            <w:tcBorders>
              <w:bottom w:val="single" w:sz="8" w:color="auto"/>
            </w:tcBorders>
          </w:tcPr>
          <w:p>
            <w:pPr>
              <w:ind w:left="120"/>
              <w:spacing w:after="0" w:line="175" w:lineRule="exact"/>
              <w:rPr>
                <w:sz w:val="20"/>
                <w:szCs w:val="20"/>
                <w:color w:val="auto"/>
              </w:rPr>
            </w:pPr>
            <w:r>
              <w:rPr>
                <w:rFonts w:ascii="Times New Roman" w:cs="Times New Roman" w:eastAsia="Times New Roman" w:hAnsi="Times New Roman"/>
                <w:sz w:val="14"/>
                <w:szCs w:val="14"/>
                <w:color w:val="auto"/>
              </w:rPr>
              <w:t xml:space="preserve">Charge-offs / Write-downs </w:t>
            </w:r>
            <w:r>
              <w:rPr>
                <w:rFonts w:ascii="Times New Roman" w:cs="Times New Roman" w:eastAsia="Times New Roman" w:hAnsi="Times New Roman"/>
                <w:sz w:val="19"/>
                <w:szCs w:val="19"/>
                <w:color w:val="auto"/>
                <w:vertAlign w:val="superscript"/>
              </w:rPr>
              <w:t>1</w:t>
            </w:r>
          </w:p>
        </w:tc>
        <w:tc>
          <w:tcPr>
            <w:tcW w:w="5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(1,110)</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Reductions</w:t>
            </w: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(4,058)</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500" w:type="dxa"/>
            <w:vAlign w:val="bottom"/>
            <w:tcBorders>
              <w:bottom w:val="single" w:sz="8" w:color="auto"/>
            </w:tcBorders>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17,451</w:t>
            </w:r>
          </w:p>
        </w:tc>
        <w:tc>
          <w:tcPr>
            <w:tcW w:w="24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0" w:hanging="179"/>
        <w:spacing w:after="0" w:line="226" w:lineRule="auto"/>
        <w:tabs>
          <w:tab w:leader="none" w:pos="20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loans that are fully charged-off and placed on non-accrual status during the same period.</w:t>
      </w:r>
    </w:p>
    <w:p>
      <w:pPr>
        <w:spacing w:after="0" w:line="1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NPAs consist of non-accrual loans and leases and foreclosed real estate. Changes in the level of non-accrual loans and leases typically are caused by loans and leases that reach a specified past due status, offset by reductions for loans and leases that are charged-off, written down, paid down, sold, transferred to foreclosed real estate, or are no longer classified as non-accrual because they have returned to accrual status.</w:t>
      </w:r>
    </w:p>
    <w:p>
      <w:pPr>
        <w:spacing w:after="0" w:line="14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Non-accrual loans as of March 31, 2025 were $16.1 million, a decrease of $0.6 million or 3% from December 31, 2024 primarily due to decreases in commercial and industrial and residential mortgage non-accrual loans. Commercial and industrial non-accrual loans decreased by $1.2 million from December 31, 2024, primarily due to the partial charge-off of a loan.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was $1.4 million as of March 31, 2025 compared to $2.7 million as of December 31, 2024. The decrease was due to the sale of two foreclosed properties during the three months ended March 31, 2025.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 Past Due 90 Days or More and Still Accruing Interest</w:t>
      </w:r>
    </w:p>
    <w:p>
      <w:pPr>
        <w:spacing w:after="0" w:line="20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Loans and leases past due 90 days or more and still accruing interest were $7.6 million as of March 31, 2025, a $0.7 million or 9% decrease from December 31, 2024. The decrease was primarily in our home equity portfolio. This category includes loans and leases that are well-secured and in the process of collection, as well as loans and leases that have not reached the specified past due status to be placed on non-accrual.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presents the activity in our reserve for credit losses.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Reserve for Credit Losses</w:t>
            </w: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Table 16</w:t>
            </w:r>
          </w:p>
        </w:tc>
        <w:tc>
          <w:tcPr>
            <w:tcW w:w="0" w:type="dxa"/>
            <w:vAlign w:val="bottom"/>
          </w:tcPr>
          <w:p>
            <w:pPr>
              <w:spacing w:after="0"/>
              <w:rPr>
                <w:sz w:val="1"/>
                <w:szCs w:val="1"/>
                <w:color w:val="auto"/>
              </w:rPr>
            </w:pPr>
          </w:p>
        </w:tc>
      </w:tr>
      <w:tr>
        <w:trPr>
          <w:trHeight w:val="142"/>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29"/>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309"/>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29"/>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42"/>
        </w:trPr>
        <w:tc>
          <w:tcPr>
            <w:tcW w:w="6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Beginning of Period</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150,649</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FF0FC"/>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150,325</w:t>
            </w:r>
          </w:p>
        </w:tc>
        <w:tc>
          <w:tcPr>
            <w:tcW w:w="24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152,429</w:t>
            </w: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and Leases Charged-Off</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Pr>
          <w:p>
            <w:pPr>
              <w:spacing w:after="0"/>
              <w:rPr>
                <w:sz w:val="12"/>
                <w:szCs w:val="12"/>
                <w:color w:val="auto"/>
              </w:rPr>
            </w:pPr>
          </w:p>
        </w:tc>
        <w:tc>
          <w:tcPr>
            <w:tcW w:w="152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(1,399)</w:t>
            </w:r>
          </w:p>
        </w:tc>
        <w:tc>
          <w:tcPr>
            <w:tcW w:w="160" w:type="dxa"/>
            <w:vAlign w:val="bottom"/>
          </w:tcPr>
          <w:p>
            <w:pPr>
              <w:spacing w:after="0"/>
              <w:rPr>
                <w:sz w:val="12"/>
                <w:szCs w:val="12"/>
                <w:color w:val="auto"/>
              </w:rPr>
            </w:pPr>
          </w:p>
        </w:tc>
        <w:tc>
          <w:tcPr>
            <w:tcW w:w="1620" w:type="dxa"/>
            <w:vAlign w:val="bottom"/>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240" w:type="dxa"/>
            <w:vAlign w:val="bottom"/>
          </w:tcPr>
          <w:p>
            <w:pPr>
              <w:spacing w:after="0"/>
              <w:rPr>
                <w:sz w:val="12"/>
                <w:szCs w:val="12"/>
                <w:color w:val="auto"/>
              </w:rPr>
            </w:pPr>
          </w:p>
        </w:tc>
        <w:tc>
          <w:tcPr>
            <w:tcW w:w="14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49"/>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2"/>
                <w:szCs w:val="12"/>
                <w:color w:val="auto"/>
              </w:rPr>
            </w:pPr>
          </w:p>
        </w:tc>
        <w:tc>
          <w:tcPr>
            <w:tcW w:w="1520" w:type="dxa"/>
            <w:vAlign w:val="bottom"/>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20" w:type="dxa"/>
            <w:vAlign w:val="bottom"/>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40" w:type="dxa"/>
            <w:vAlign w:val="bottom"/>
          </w:tcPr>
          <w:p>
            <w:pPr>
              <w:spacing w:after="0"/>
              <w:rPr>
                <w:sz w:val="12"/>
                <w:szCs w:val="12"/>
                <w:color w:val="auto"/>
              </w:rPr>
            </w:pPr>
          </w:p>
        </w:tc>
        <w:tc>
          <w:tcPr>
            <w:tcW w:w="14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8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60" w:type="dxa"/>
            <w:vAlign w:val="bottom"/>
            <w:shd w:val="clear" w:color="auto" w:fill="CFF0FC"/>
          </w:tcPr>
          <w:p>
            <w:pPr>
              <w:spacing w:after="0"/>
              <w:rPr>
                <w:sz w:val="12"/>
                <w:szCs w:val="12"/>
                <w:color w:val="auto"/>
              </w:rPr>
            </w:pPr>
          </w:p>
        </w:tc>
        <w:tc>
          <w:tcPr>
            <w:tcW w:w="1620" w:type="dxa"/>
            <w:vAlign w:val="bottom"/>
            <w:shd w:val="clear" w:color="auto" w:fill="CFF0FC"/>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60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Automobile</w:t>
            </w:r>
          </w:p>
        </w:tc>
        <w:tc>
          <w:tcPr>
            <w:tcW w:w="160" w:type="dxa"/>
            <w:vAlign w:val="bottom"/>
          </w:tcPr>
          <w:p>
            <w:pPr>
              <w:spacing w:after="0"/>
              <w:rPr>
                <w:sz w:val="12"/>
                <w:szCs w:val="12"/>
                <w:color w:val="auto"/>
              </w:rPr>
            </w:pPr>
          </w:p>
        </w:tc>
        <w:tc>
          <w:tcPr>
            <w:tcW w:w="152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160" w:type="dxa"/>
            <w:vAlign w:val="bottom"/>
          </w:tcPr>
          <w:p>
            <w:pPr>
              <w:spacing w:after="0"/>
              <w:rPr>
                <w:sz w:val="12"/>
                <w:szCs w:val="12"/>
                <w:color w:val="auto"/>
              </w:rPr>
            </w:pPr>
          </w:p>
        </w:tc>
        <w:tc>
          <w:tcPr>
            <w:tcW w:w="1620" w:type="dxa"/>
            <w:vAlign w:val="bottom"/>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(1,548)</w:t>
            </w:r>
          </w:p>
        </w:tc>
        <w:tc>
          <w:tcPr>
            <w:tcW w:w="240" w:type="dxa"/>
            <w:vAlign w:val="bottom"/>
          </w:tcPr>
          <w:p>
            <w:pPr>
              <w:spacing w:after="0"/>
              <w:rPr>
                <w:sz w:val="12"/>
                <w:szCs w:val="12"/>
                <w:color w:val="auto"/>
              </w:rPr>
            </w:pPr>
          </w:p>
        </w:tc>
        <w:tc>
          <w:tcPr>
            <w:tcW w:w="14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48"/>
        </w:trPr>
        <w:tc>
          <w:tcPr>
            <w:tcW w:w="6080" w:type="dxa"/>
            <w:vAlign w:val="bottom"/>
            <w:tcBorders>
              <w:bottom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16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(2,637)</w:t>
            </w:r>
          </w:p>
        </w:tc>
        <w:tc>
          <w:tcPr>
            <w:tcW w:w="24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Loans and Leases Charged-Off</w:t>
            </w: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(5,709)</w:t>
            </w: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rPr>
              <w:t>(5,213)</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(3,755)</w:t>
            </w:r>
          </w:p>
        </w:tc>
        <w:tc>
          <w:tcPr>
            <w:tcW w:w="0" w:type="dxa"/>
            <w:vAlign w:val="bottom"/>
          </w:tcPr>
          <w:p>
            <w:pPr>
              <w:spacing w:after="0"/>
              <w:rPr>
                <w:sz w:val="1"/>
                <w:szCs w:val="1"/>
                <w:color w:val="auto"/>
              </w:rPr>
            </w:pPr>
          </w:p>
        </w:tc>
      </w:tr>
      <w:tr>
        <w:trPr>
          <w:trHeight w:val="142"/>
        </w:trPr>
        <w:tc>
          <w:tcPr>
            <w:tcW w:w="6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Recoveries on Loans and Leases Previously Charged-Off</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60" w:type="dxa"/>
            <w:vAlign w:val="bottom"/>
            <w:shd w:val="clear" w:color="auto" w:fill="CFF0FC"/>
          </w:tcPr>
          <w:p>
            <w:pPr>
              <w:spacing w:after="0"/>
              <w:rPr>
                <w:sz w:val="12"/>
                <w:szCs w:val="12"/>
                <w:color w:val="auto"/>
              </w:rPr>
            </w:pPr>
          </w:p>
        </w:tc>
        <w:tc>
          <w:tcPr>
            <w:tcW w:w="1620" w:type="dxa"/>
            <w:vAlign w:val="bottom"/>
            <w:shd w:val="clear" w:color="auto" w:fill="CFF0FC"/>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9"/>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FF0FC"/>
          </w:tcPr>
          <w:p>
            <w:pPr>
              <w:spacing w:after="0"/>
              <w:rPr>
                <w:sz w:val="12"/>
                <w:szCs w:val="12"/>
                <w:color w:val="auto"/>
              </w:rPr>
            </w:pPr>
          </w:p>
        </w:tc>
        <w:tc>
          <w:tcPr>
            <w:tcW w:w="1620" w:type="dxa"/>
            <w:vAlign w:val="bottom"/>
            <w:shd w:val="clear" w:color="auto" w:fill="CFF0FC"/>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60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Pr>
          <w:p>
            <w:pPr>
              <w:spacing w:after="0"/>
              <w:rPr>
                <w:sz w:val="12"/>
                <w:szCs w:val="12"/>
                <w:color w:val="auto"/>
              </w:rPr>
            </w:pPr>
          </w:p>
        </w:tc>
        <w:tc>
          <w:tcPr>
            <w:tcW w:w="1520" w:type="dxa"/>
            <w:vAlign w:val="bottom"/>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60" w:type="dxa"/>
            <w:vAlign w:val="bottom"/>
          </w:tcPr>
          <w:p>
            <w:pPr>
              <w:spacing w:after="0"/>
              <w:rPr>
                <w:sz w:val="12"/>
                <w:szCs w:val="12"/>
                <w:color w:val="auto"/>
              </w:rPr>
            </w:pPr>
          </w:p>
        </w:tc>
        <w:tc>
          <w:tcPr>
            <w:tcW w:w="1620" w:type="dxa"/>
            <w:vAlign w:val="bottom"/>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240" w:type="dxa"/>
            <w:vAlign w:val="bottom"/>
          </w:tcPr>
          <w:p>
            <w:pPr>
              <w:spacing w:after="0"/>
              <w:rPr>
                <w:sz w:val="12"/>
                <w:szCs w:val="12"/>
                <w:color w:val="auto"/>
              </w:rPr>
            </w:pPr>
          </w:p>
        </w:tc>
        <w:tc>
          <w:tcPr>
            <w:tcW w:w="14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48"/>
        </w:trPr>
        <w:tc>
          <w:tcPr>
            <w:tcW w:w="608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Automobile</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160" w:type="dxa"/>
            <w:vAlign w:val="bottom"/>
            <w:shd w:val="clear" w:color="auto" w:fill="CFF0FC"/>
          </w:tcPr>
          <w:p>
            <w:pPr>
              <w:spacing w:after="0"/>
              <w:rPr>
                <w:sz w:val="12"/>
                <w:szCs w:val="12"/>
                <w:color w:val="auto"/>
              </w:rPr>
            </w:pPr>
          </w:p>
        </w:tc>
        <w:tc>
          <w:tcPr>
            <w:tcW w:w="1620" w:type="dxa"/>
            <w:vAlign w:val="bottom"/>
            <w:shd w:val="clear" w:color="auto" w:fill="CFF0FC"/>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49"/>
        </w:trPr>
        <w:tc>
          <w:tcPr>
            <w:tcW w:w="6080" w:type="dxa"/>
            <w:vAlign w:val="bottom"/>
            <w:tcBorders>
              <w:bottom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Recoveries on Loans and Leases Previously Charged-Off</w:t>
            </w:r>
          </w:p>
        </w:tc>
        <w:tc>
          <w:tcPr>
            <w:tcW w:w="16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1,306</w:t>
            </w:r>
          </w:p>
        </w:tc>
        <w:tc>
          <w:tcPr>
            <w:tcW w:w="16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1,787</w:t>
            </w:r>
          </w:p>
        </w:tc>
        <w:tc>
          <w:tcPr>
            <w:tcW w:w="24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1,474</w:t>
            </w:r>
          </w:p>
        </w:tc>
        <w:tc>
          <w:tcPr>
            <w:tcW w:w="0" w:type="dxa"/>
            <w:vAlign w:val="bottom"/>
          </w:tcPr>
          <w:p>
            <w:pPr>
              <w:spacing w:after="0"/>
              <w:rPr>
                <w:sz w:val="1"/>
                <w:szCs w:val="1"/>
                <w:color w:val="auto"/>
              </w:rPr>
            </w:pPr>
          </w:p>
        </w:tc>
      </w:tr>
      <w:tr>
        <w:trPr>
          <w:trHeight w:val="142"/>
        </w:trPr>
        <w:tc>
          <w:tcPr>
            <w:tcW w:w="6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Charged-Off - Loans and Leases</w:t>
            </w:r>
          </w:p>
        </w:tc>
        <w:tc>
          <w:tcPr>
            <w:tcW w:w="160" w:type="dxa"/>
            <w:vAlign w:val="bottom"/>
          </w:tcPr>
          <w:p>
            <w:pPr>
              <w:spacing w:after="0"/>
              <w:rPr>
                <w:sz w:val="12"/>
                <w:szCs w:val="12"/>
                <w:color w:val="auto"/>
              </w:rPr>
            </w:pPr>
          </w:p>
        </w:tc>
        <w:tc>
          <w:tcPr>
            <w:tcW w:w="152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(4,403)</w:t>
            </w:r>
          </w:p>
        </w:tc>
        <w:tc>
          <w:tcPr>
            <w:tcW w:w="160" w:type="dxa"/>
            <w:vAlign w:val="bottom"/>
          </w:tcPr>
          <w:p>
            <w:pPr>
              <w:spacing w:after="0"/>
              <w:rPr>
                <w:sz w:val="12"/>
                <w:szCs w:val="12"/>
                <w:color w:val="auto"/>
              </w:rPr>
            </w:pPr>
          </w:p>
        </w:tc>
        <w:tc>
          <w:tcPr>
            <w:tcW w:w="1620" w:type="dxa"/>
            <w:vAlign w:val="bottom"/>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rPr>
              <w:t>(3,426)</w:t>
            </w:r>
          </w:p>
        </w:tc>
        <w:tc>
          <w:tcPr>
            <w:tcW w:w="240" w:type="dxa"/>
            <w:vAlign w:val="bottom"/>
          </w:tcPr>
          <w:p>
            <w:pPr>
              <w:spacing w:after="0"/>
              <w:rPr>
                <w:sz w:val="12"/>
                <w:szCs w:val="12"/>
                <w:color w:val="auto"/>
              </w:rPr>
            </w:pPr>
          </w:p>
        </w:tc>
        <w:tc>
          <w:tcPr>
            <w:tcW w:w="1460" w:type="dxa"/>
            <w:vAlign w:val="bottom"/>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49"/>
        </w:trPr>
        <w:tc>
          <w:tcPr>
            <w:tcW w:w="6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and Leases</w:t>
            </w:r>
          </w:p>
        </w:tc>
        <w:tc>
          <w:tcPr>
            <w:tcW w:w="160" w:type="dxa"/>
            <w:vAlign w:val="bottom"/>
          </w:tcPr>
          <w:p>
            <w:pPr>
              <w:spacing w:after="0"/>
              <w:rPr>
                <w:sz w:val="12"/>
                <w:szCs w:val="12"/>
                <w:color w:val="auto"/>
              </w:rPr>
            </w:pPr>
          </w:p>
        </w:tc>
        <w:tc>
          <w:tcPr>
            <w:tcW w:w="1520" w:type="dxa"/>
            <w:vAlign w:val="bottom"/>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3,582</w:t>
            </w:r>
          </w:p>
        </w:tc>
        <w:tc>
          <w:tcPr>
            <w:tcW w:w="160" w:type="dxa"/>
            <w:vAlign w:val="bottom"/>
          </w:tcPr>
          <w:p>
            <w:pPr>
              <w:spacing w:after="0"/>
              <w:rPr>
                <w:sz w:val="12"/>
                <w:szCs w:val="12"/>
                <w:color w:val="auto"/>
              </w:rPr>
            </w:pPr>
          </w:p>
        </w:tc>
        <w:tc>
          <w:tcPr>
            <w:tcW w:w="1620" w:type="dxa"/>
            <w:vAlign w:val="bottom"/>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4,623</w:t>
            </w:r>
          </w:p>
        </w:tc>
        <w:tc>
          <w:tcPr>
            <w:tcW w:w="240" w:type="dxa"/>
            <w:vAlign w:val="bottom"/>
          </w:tcPr>
          <w:p>
            <w:pPr>
              <w:spacing w:after="0"/>
              <w:rPr>
                <w:sz w:val="12"/>
                <w:szCs w:val="12"/>
                <w:color w:val="auto"/>
              </w:rPr>
            </w:pPr>
          </w:p>
        </w:tc>
        <w:tc>
          <w:tcPr>
            <w:tcW w:w="14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3,542</w:t>
            </w:r>
          </w:p>
        </w:tc>
        <w:tc>
          <w:tcPr>
            <w:tcW w:w="0" w:type="dxa"/>
            <w:vAlign w:val="bottom"/>
          </w:tcPr>
          <w:p>
            <w:pPr>
              <w:spacing w:after="0"/>
              <w:rPr>
                <w:sz w:val="1"/>
                <w:szCs w:val="1"/>
                <w:color w:val="auto"/>
              </w:rPr>
            </w:pPr>
          </w:p>
        </w:tc>
      </w:tr>
      <w:tr>
        <w:trPr>
          <w:trHeight w:val="148"/>
        </w:trPr>
        <w:tc>
          <w:tcPr>
            <w:tcW w:w="6080" w:type="dxa"/>
            <w:vAlign w:val="bottom"/>
            <w:tcBorders>
              <w:bottom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Unfunded Commitments</w:t>
            </w:r>
          </w:p>
        </w:tc>
        <w:tc>
          <w:tcPr>
            <w:tcW w:w="16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6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24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(1,542)</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Provision for Credit Losses</w:t>
            </w: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3,250</w:t>
            </w: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3,750</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2"/>
        </w:trPr>
        <w:tc>
          <w:tcPr>
            <w:tcW w:w="60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FF0FC"/>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149,496</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FF0FC"/>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150,649</w:t>
            </w:r>
          </w:p>
        </w:tc>
        <w:tc>
          <w:tcPr>
            <w:tcW w:w="24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152,148</w:t>
            </w:r>
          </w:p>
        </w:tc>
        <w:tc>
          <w:tcPr>
            <w:tcW w:w="0" w:type="dxa"/>
            <w:vAlign w:val="bottom"/>
          </w:tcPr>
          <w:p>
            <w:pPr>
              <w:spacing w:after="0"/>
              <w:rPr>
                <w:sz w:val="1"/>
                <w:szCs w:val="1"/>
                <w:color w:val="auto"/>
              </w:rPr>
            </w:pPr>
          </w:p>
        </w:tc>
      </w:tr>
      <w:tr>
        <w:trPr>
          <w:trHeight w:val="129"/>
        </w:trPr>
        <w:tc>
          <w:tcPr>
            <w:tcW w:w="60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 - Loans and Leases</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147,707</w:t>
            </w: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FF0FC"/>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148,528</w:t>
            </w:r>
          </w:p>
        </w:tc>
        <w:tc>
          <w:tcPr>
            <w:tcW w:w="24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147,664</w:t>
            </w:r>
          </w:p>
        </w:tc>
        <w:tc>
          <w:tcPr>
            <w:tcW w:w="0" w:type="dxa"/>
            <w:vAlign w:val="bottom"/>
          </w:tcPr>
          <w:p>
            <w:pPr>
              <w:spacing w:after="0"/>
              <w:rPr>
                <w:sz w:val="1"/>
                <w:szCs w:val="1"/>
                <w:color w:val="auto"/>
              </w:rPr>
            </w:pPr>
          </w:p>
        </w:tc>
      </w:tr>
      <w:tr>
        <w:trPr>
          <w:trHeight w:val="148"/>
        </w:trPr>
        <w:tc>
          <w:tcPr>
            <w:tcW w:w="6080" w:type="dxa"/>
            <w:vAlign w:val="bottom"/>
            <w:tcBorders>
              <w:bottom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Reserve for Unfunded Commitments</w:t>
            </w: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1,789</w:t>
            </w: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4,484</w:t>
            </w:r>
          </w:p>
        </w:tc>
        <w:tc>
          <w:tcPr>
            <w:tcW w:w="0" w:type="dxa"/>
            <w:vAlign w:val="bottom"/>
          </w:tcPr>
          <w:p>
            <w:pPr>
              <w:spacing w:after="0"/>
              <w:rPr>
                <w:sz w:val="1"/>
                <w:szCs w:val="1"/>
                <w:color w:val="auto"/>
              </w:rPr>
            </w:pPr>
          </w:p>
        </w:tc>
      </w:tr>
      <w:tr>
        <w:trPr>
          <w:trHeight w:val="182"/>
        </w:trPr>
        <w:tc>
          <w:tcPr>
            <w:tcW w:w="608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Reserve for Credit Losses</w:t>
            </w: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FF0FC"/>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149,496</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FF0FC"/>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150,649</w:t>
            </w:r>
          </w:p>
        </w:tc>
        <w:tc>
          <w:tcPr>
            <w:tcW w:w="24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152,148</w:t>
            </w:r>
          </w:p>
        </w:tc>
        <w:tc>
          <w:tcPr>
            <w:tcW w:w="0" w:type="dxa"/>
            <w:vAlign w:val="bottom"/>
          </w:tcPr>
          <w:p>
            <w:pPr>
              <w:spacing w:after="0"/>
              <w:rPr>
                <w:sz w:val="1"/>
                <w:szCs w:val="1"/>
                <w:color w:val="auto"/>
              </w:rPr>
            </w:pPr>
          </w:p>
        </w:tc>
      </w:tr>
      <w:tr>
        <w:trPr>
          <w:trHeight w:val="129"/>
        </w:trPr>
        <w:tc>
          <w:tcPr>
            <w:tcW w:w="60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Average Loans and Leases Outstanding</w:t>
            </w: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ind w:right="129"/>
              <w:spacing w:after="0" w:line="129" w:lineRule="exact"/>
              <w:rPr>
                <w:sz w:val="20"/>
                <w:szCs w:val="20"/>
                <w:color w:val="auto"/>
              </w:rPr>
            </w:pPr>
            <w:r>
              <w:rPr>
                <w:rFonts w:ascii="Times New Roman" w:cs="Times New Roman" w:eastAsia="Times New Roman" w:hAnsi="Times New Roman"/>
                <w:sz w:val="14"/>
                <w:szCs w:val="14"/>
                <w:color w:val="auto"/>
              </w:rPr>
              <w:t>14,062,173</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ind w:right="149"/>
              <w:spacing w:after="0" w:line="129" w:lineRule="exact"/>
              <w:rPr>
                <w:sz w:val="20"/>
                <w:szCs w:val="20"/>
                <w:color w:val="auto"/>
              </w:rPr>
            </w:pPr>
            <w:r>
              <w:rPr>
                <w:rFonts w:ascii="Times New Roman" w:cs="Times New Roman" w:eastAsia="Times New Roman" w:hAnsi="Times New Roman"/>
                <w:sz w:val="14"/>
                <w:szCs w:val="14"/>
                <w:color w:val="auto"/>
              </w:rPr>
              <w:t>13,964,687</w:t>
            </w:r>
          </w:p>
        </w:tc>
        <w:tc>
          <w:tcPr>
            <w:tcW w:w="24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4"/>
                <w:szCs w:val="14"/>
                <w:color w:val="auto"/>
              </w:rPr>
              <w:t>13,868,800</w:t>
            </w:r>
          </w:p>
        </w:tc>
        <w:tc>
          <w:tcPr>
            <w:tcW w:w="0" w:type="dxa"/>
            <w:vAlign w:val="bottom"/>
          </w:tcPr>
          <w:p>
            <w:pPr>
              <w:spacing w:after="0"/>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8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Ratio of Net Loans and Leases Charged-Off to Average Loans and Leases Outstanding (annualized)</w:t>
            </w:r>
          </w:p>
        </w:tc>
        <w:tc>
          <w:tcPr>
            <w:tcW w:w="160" w:type="dxa"/>
            <w:vAlign w:val="bottom"/>
          </w:tcPr>
          <w:p>
            <w:pPr>
              <w:spacing w:after="0"/>
              <w:rPr>
                <w:sz w:val="8"/>
                <w:szCs w:val="8"/>
                <w:color w:val="auto"/>
              </w:rPr>
            </w:pPr>
          </w:p>
        </w:tc>
        <w:tc>
          <w:tcPr>
            <w:tcW w:w="1520" w:type="dxa"/>
            <w:vAlign w:val="bottom"/>
          </w:tcPr>
          <w:p>
            <w:pPr>
              <w:jc w:val="right"/>
              <w:ind w:right="9"/>
              <w:spacing w:after="0" w:line="102" w:lineRule="exact"/>
              <w:rPr>
                <w:sz w:val="20"/>
                <w:szCs w:val="20"/>
                <w:color w:val="auto"/>
              </w:rPr>
            </w:pPr>
            <w:r>
              <w:rPr>
                <w:rFonts w:ascii="Times New Roman" w:cs="Times New Roman" w:eastAsia="Times New Roman" w:hAnsi="Times New Roman"/>
                <w:sz w:val="11"/>
                <w:szCs w:val="11"/>
                <w:color w:val="auto"/>
              </w:rPr>
              <w:t>0.13%</w:t>
            </w:r>
          </w:p>
        </w:tc>
        <w:tc>
          <w:tcPr>
            <w:tcW w:w="160" w:type="dxa"/>
            <w:vAlign w:val="bottom"/>
          </w:tcPr>
          <w:p>
            <w:pPr>
              <w:spacing w:after="0"/>
              <w:rPr>
                <w:sz w:val="8"/>
                <w:szCs w:val="8"/>
                <w:color w:val="auto"/>
              </w:rPr>
            </w:pPr>
          </w:p>
        </w:tc>
        <w:tc>
          <w:tcPr>
            <w:tcW w:w="1620" w:type="dxa"/>
            <w:vAlign w:val="bottom"/>
          </w:tcPr>
          <w:p>
            <w:pPr>
              <w:jc w:val="right"/>
              <w:ind w:right="9"/>
              <w:spacing w:after="0" w:line="102" w:lineRule="exact"/>
              <w:rPr>
                <w:sz w:val="20"/>
                <w:szCs w:val="20"/>
                <w:color w:val="auto"/>
              </w:rPr>
            </w:pPr>
            <w:r>
              <w:rPr>
                <w:rFonts w:ascii="Times New Roman" w:cs="Times New Roman" w:eastAsia="Times New Roman" w:hAnsi="Times New Roman"/>
                <w:sz w:val="11"/>
                <w:szCs w:val="11"/>
                <w:color w:val="auto"/>
              </w:rPr>
              <w:t>0.10%</w:t>
            </w:r>
          </w:p>
        </w:tc>
        <w:tc>
          <w:tcPr>
            <w:tcW w:w="240" w:type="dxa"/>
            <w:vAlign w:val="bottom"/>
          </w:tcPr>
          <w:p>
            <w:pPr>
              <w:spacing w:after="0"/>
              <w:rPr>
                <w:sz w:val="8"/>
                <w:szCs w:val="8"/>
                <w:color w:val="auto"/>
              </w:rPr>
            </w:pPr>
          </w:p>
        </w:tc>
        <w:tc>
          <w:tcPr>
            <w:tcW w:w="1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0.07%</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Ratio of Allowance for Credit Losses to Loans and Leases Outstanding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20"/>
                <w:szCs w:val="20"/>
                <w:color w:val="auto"/>
              </w:rPr>
            </w:pP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tcPr>
          <w:p>
            <w:pPr>
              <w:spacing w:after="0"/>
              <w:rPr>
                <w:sz w:val="20"/>
                <w:szCs w:val="20"/>
                <w:color w:val="auto"/>
              </w:rPr>
            </w:pP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The numerator comprises the Allowance for Credit Losses - Loans and Leases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March 31, 2025, the Allowance was $147.7 million or 1.05% of total loans and leases outstanding, compared with an Allowance of $148.5 million or 1.06% of total loans and leases outstanding as of December 31, 2024. The Allowance as of March 31, 2025 and December 31, 2024, includes a qualitative overlay to account for economic uncertainty and downside risk of a recession.</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charge-offs on loans and leases for the three months ended March 31, 2025 were $4.4 million or 0.13% of total average loans and leases on an annualized basis, compared to $2.3 million or 0.07% of total average loans and leases on an annualized basis for the three months ended March 31, 2024. This increase was primarily due to higher gross charge-offs in both commercial and industrial and automobile portfolios.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Unfunded Commitments</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Unfunded Reserve was $1.8 million as of March 31, 2025, a decrease of $0.3 million or 16% from December 31, 2024, primarily due to lower unfunded commitments in our construction portfolio. The reserve for unfunded commitments is recorded in other liabilities in the unaudited consolidated statements of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provision for credit losses was $3.3 million compared to $2.0 million for the same period last year. The increase in the provision was due to the change in the balances of our unfunded commitments during the three months ended March 31, 2025 compared to the same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consolidated statements of income and condition. In this management process, we balance market risks with expected returns to enhance earnings performance while managing volatility to an acceptable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market risk exposure is interest rate risk.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objective of our interest rate risk management process is to optimize net interest income while operating within acceptable limits. This involves balancing expected returns with potential earnings and price volatility due to changes in interest rates over short-term, medium-term, and long-term time horizons, while maintaining adequate levels of funding and liquidity. The potential cash flows, sales, or replacement value of many of our assets and liabilities, especially those that earn or pay interest, are sensitive to changes in interest rates. This interest rate risk arises primarily from our core business activities of extending loans and accepting deposits. Our investment securities portfolio is also subject to significant interest rate risk.</w:t>
      </w:r>
    </w:p>
    <w:p>
      <w:pPr>
        <w:spacing w:after="0" w:line="1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utilize two management guidelines to measure our interest rate risk exposure: 1) net interest income (“NII”) sensitivity, and 2) economic value of equity (“EVE”) sensitivity. NII and EVE sensitivities measure the estimated percentage change in forward looking net interest income and economic value, respectively, under instantaneous parallel shocks of the yield curve ranging from -400 basis points to +400 basis points. We measure NII sensitivity over two successive 12-month periods to evaluate interest rate risk over short-term and medium-term time horizons. EVE sensitivity, which captures the present value of all on and off-balance sheet positions, measures interest rate risk over a long-term time horizon. The results are measured relative to established limits and early warning indicators that ensure that fluctuation in income and valuation in both up and down rate shocks remain within levels approved by the Asset and Liability Management Committee (“ALCO”) and the Board of Directors. While we recognize that instantaneous parallel shocks of the entire yield curve are unrealistic, we believe that the application of immediate shocks provides us with a sufficient range of potential outcomes to frame our risk exposures. We pay particular attention to the +/-200 basis point shock sensitivities, as we believe they represent a more realistic range of rate movements that could occur in the near to medium term. For the three months ended March 31, 2025, we remained within applicable guidelines for such scenarios.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ALCO, which is comprised of members of executive management, utilizes several techniques to manage interest rate risk, which include:</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balance sheet mix or altering the interest rate characteristics of assets and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pricing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characteristics, including mix and duration, of the AFS investment securities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derivative financial instruments.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Changes in interest rates may have a material impact on earnings and valuation due to balance sheet cash flow, maturity structure and repricing frequency. The investment portfolio and loan portfolios have significant repricing volumes and cash flows from maturities and paydowns, providing opportunities to redeploy funds in order to respond to changes in the rate environment. These assets are primarily funded by deposit balances, which generally have an indeterminate life. Historically, our deposit base has consisted primarily of core consumer and commercial deposit relationships. While we strive to position our balance sheet to organically reduce volatility in earnings and valuation, primarily through our funding and investment portfolio positioning, as well as product pricing</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strategies, we have also established a hedging program designed to allow us to adjust the duration of our earning assets synthetically. As of March 31, 2025, our hedging program consisted primarily of pay-fixed interest rate swaps. As interest rates change, we may use different instruments to manage interest rate risk, including caps, floors, swaptions and other commonly utilized derivative instruments.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unaudited Consolidated Financial Statements.</w:t>
      </w:r>
    </w:p>
    <w:p>
      <w:pPr>
        <w:spacing w:after="0" w:line="15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key element in our ongoing process to measure and monitor interest rate risk is the utilization of an asset/liability simulation model. This model attempts to capture the dynamic nature of assets and liabilities in various interest rate environments. It estimates and measures our balance sheet sensitivity to changes in interest rates. Given the structure of our balance sheet, model results are particularly sensitive to changes in prepayment rates on mortgage-related assets and the repricing behavior of interest-bearing deposits. We utilize a model to estimate the prepayment behavior of our mortgage-related assets, which considers the characteristics of the underlying mortgage loans, including rate (used to gauge refinance incentive), seasoning or age, and seasonality. The model’s forecasted results are regularly tested against historical prepayment behavior and is, in the ordinary course, recalibrated if the difference between actual and projected prepayments exceed established guidelines. Separate models are utilized to project interest-bearing deposit repricing behavior in various interest rate environments. These models were developed based upon our historical repricing behavior over several interest rate cycles. The models’ forecast results are periodically tested against historical pricing and have been and may continue to be recalibrated.</w:t>
      </w:r>
    </w:p>
    <w:p>
      <w:pPr>
        <w:spacing w:after="0" w:line="1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utilize net interest income simulations to analyze short-term income sensitivities to changes in interest rates. Table 17a presents as of March 31, 2025 and December 31, 2024, an estimate of the change in net interest income over the next twelve months that would result from an immediate change in interest rates, moving in a parallel fashion over the entire yield curve, relative to the measured base case scenario. The base case scenario assumes the consolidated statements of condition and interest rates are generally unchanged.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Interest Income Sensitivity Profile</w:t>
            </w: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17a</w:t>
            </w:r>
          </w:p>
        </w:tc>
      </w:tr>
      <w:tr>
        <w:trPr>
          <w:trHeight w:val="199"/>
        </w:trPr>
        <w:tc>
          <w:tcPr>
            <w:tcW w:w="43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Impact on Future Annual Net Interest Income</w:t>
            </w:r>
          </w:p>
        </w:tc>
        <w:tc>
          <w:tcPr>
            <w:tcW w:w="1020" w:type="dxa"/>
            <w:vAlign w:val="bottom"/>
            <w:tcBorders>
              <w:bottom w:val="single" w:sz="8" w:color="auto"/>
            </w:tcBorders>
          </w:tcPr>
          <w:p>
            <w:pPr>
              <w:spacing w:after="0"/>
              <w:rPr>
                <w:sz w:val="17"/>
                <w:szCs w:val="17"/>
                <w:color w:val="auto"/>
              </w:rPr>
            </w:pPr>
          </w:p>
        </w:tc>
      </w:tr>
      <w:tr>
        <w:trPr>
          <w:trHeight w:val="196"/>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4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20" w:type="dxa"/>
            <w:vAlign w:val="bottom"/>
            <w:tcBorders>
              <w:bottom w:val="single" w:sz="8" w:color="auto"/>
            </w:tcBorders>
          </w:tcPr>
          <w:p>
            <w:pPr>
              <w:spacing w:after="0"/>
              <w:rPr>
                <w:sz w:val="17"/>
                <w:szCs w:val="17"/>
                <w:color w:val="auto"/>
              </w:rPr>
            </w:pPr>
          </w:p>
        </w:tc>
      </w:tr>
      <w:tr>
        <w:trPr>
          <w:trHeight w:val="19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8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2"/>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+400</w:t>
            </w: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32,602</w:t>
            </w:r>
          </w:p>
        </w:tc>
        <w:tc>
          <w:tcPr>
            <w:tcW w:w="1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5.7%  $</w:t>
            </w:r>
          </w:p>
        </w:tc>
        <w:tc>
          <w:tcPr>
            <w:tcW w:w="202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rPr>
              <w:t>31,028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+300</w:t>
            </w:r>
          </w:p>
        </w:tc>
        <w:tc>
          <w:tcPr>
            <w:tcW w:w="48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rPr>
              <w:t>26,538</w:t>
            </w:r>
          </w:p>
        </w:tc>
        <w:tc>
          <w:tcPr>
            <w:tcW w:w="150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4.6</w:t>
            </w:r>
          </w:p>
        </w:tc>
        <w:tc>
          <w:tcPr>
            <w:tcW w:w="202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rPr>
              <w:t>25,281</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+200</w:t>
            </w:r>
          </w:p>
        </w:tc>
        <w:tc>
          <w:tcPr>
            <w:tcW w:w="480" w:type="dxa"/>
            <w:vAlign w:val="bottom"/>
          </w:tcPr>
          <w:p>
            <w:pPr>
              <w:spacing w:after="0"/>
              <w:rPr>
                <w:sz w:val="17"/>
                <w:szCs w:val="17"/>
                <w:color w:val="auto"/>
              </w:rPr>
            </w:pPr>
          </w:p>
        </w:tc>
        <w:tc>
          <w:tcPr>
            <w:tcW w:w="18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19,817</w:t>
            </w:r>
          </w:p>
        </w:tc>
        <w:tc>
          <w:tcPr>
            <w:tcW w:w="150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3.5</w:t>
            </w:r>
          </w:p>
        </w:tc>
        <w:tc>
          <w:tcPr>
            <w:tcW w:w="202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rPr>
              <w:t>18,783</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+100</w:t>
            </w:r>
          </w:p>
        </w:tc>
        <w:tc>
          <w:tcPr>
            <w:tcW w:w="48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rPr>
              <w:t>11,946</w:t>
            </w:r>
          </w:p>
        </w:tc>
        <w:tc>
          <w:tcPr>
            <w:tcW w:w="150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2.1</w:t>
            </w:r>
          </w:p>
        </w:tc>
        <w:tc>
          <w:tcPr>
            <w:tcW w:w="202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6"/>
                <w:szCs w:val="16"/>
                <w:color w:val="auto"/>
              </w:rPr>
              <w:t>10,393</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480" w:type="dxa"/>
            <w:vAlign w:val="bottom"/>
          </w:tcPr>
          <w:p>
            <w:pPr>
              <w:spacing w:after="0"/>
              <w:rPr>
                <w:sz w:val="17"/>
                <w:szCs w:val="17"/>
                <w:color w:val="auto"/>
              </w:rPr>
            </w:pPr>
          </w:p>
        </w:tc>
        <w:tc>
          <w:tcPr>
            <w:tcW w:w="18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(13,776)</w:t>
            </w:r>
          </w:p>
        </w:tc>
        <w:tc>
          <w:tcPr>
            <w:tcW w:w="150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(2.4)</w:t>
            </w:r>
          </w:p>
        </w:tc>
        <w:tc>
          <w:tcPr>
            <w:tcW w:w="202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(13,029)</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-200</w:t>
            </w:r>
          </w:p>
        </w:tc>
        <w:tc>
          <w:tcPr>
            <w:tcW w:w="48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(29,700)</w:t>
            </w:r>
          </w:p>
        </w:tc>
        <w:tc>
          <w:tcPr>
            <w:tcW w:w="15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(5.2)</w:t>
            </w:r>
          </w:p>
        </w:tc>
        <w:tc>
          <w:tcPr>
            <w:tcW w:w="20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(27,883)</w:t>
            </w: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-300</w:t>
            </w:r>
          </w:p>
        </w:tc>
        <w:tc>
          <w:tcPr>
            <w:tcW w:w="480" w:type="dxa"/>
            <w:vAlign w:val="bottom"/>
          </w:tcPr>
          <w:p>
            <w:pPr>
              <w:spacing w:after="0"/>
              <w:rPr>
                <w:sz w:val="17"/>
                <w:szCs w:val="17"/>
                <w:color w:val="auto"/>
              </w:rPr>
            </w:pPr>
          </w:p>
        </w:tc>
        <w:tc>
          <w:tcPr>
            <w:tcW w:w="18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(46,864)</w:t>
            </w:r>
          </w:p>
        </w:tc>
        <w:tc>
          <w:tcPr>
            <w:tcW w:w="150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(8.2)</w:t>
            </w:r>
          </w:p>
        </w:tc>
        <w:tc>
          <w:tcPr>
            <w:tcW w:w="202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(43,536)</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r>
      <w:tr>
        <w:trPr>
          <w:trHeight w:val="203"/>
        </w:trPr>
        <w:tc>
          <w:tcPr>
            <w:tcW w:w="4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-400</w:t>
            </w:r>
          </w:p>
        </w:tc>
        <w:tc>
          <w:tcPr>
            <w:tcW w:w="48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(73,635)</w:t>
            </w:r>
          </w:p>
        </w:tc>
        <w:tc>
          <w:tcPr>
            <w:tcW w:w="150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(12.8)</w:t>
            </w:r>
          </w:p>
        </w:tc>
        <w:tc>
          <w:tcPr>
            <w:tcW w:w="202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(65,753)</w:t>
            </w: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r>
    </w:tbl>
    <w:p>
      <w:pPr>
        <w:spacing w:after="0" w:line="19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Based on our net interest income simulation as of March 31, 2025, net interest income is expected to increase as interest rates rise. Rising interest rates would drive higher rates on floating rate loans, interest rate swaps and investment securities, as well as higher reinvestment rates on loan and investment securities cashflows. However, lower interest rates would likely cause an initial decline in net interest income as lower rates would lead to lower yields on loans, swaps and investment securities, as well as drive higher premium amortization on existing investment securities. Based on our net interest income simulation as of March 31, 2025, NII sensitivity to changes in interest rates for the twelve months subsequent to March 31, 2025 increased slightly to both rising and falling rates compared to the sensitivity profile for December 31, 2024. NII sensitivity increased due primarily to the increase in volume of floating rate assets, partially offset by an increase in interest rate sensitive deposits.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analyze the impact of changes in interest rates in a more realistic manner, we also simulate non-parallel interest rate scenarios. These scenarios help to isolate the sensitivity of earnings to various points on the yield curve. Based upon our interest rate simulations, the Company is exposed to movements in both the short and long-end of the yield curve. A movement higher or lower in the short-end of the yield curve would lead to floating-rate assets immediately repricing, while liability funding would react on a lag. Thus, net interest income may decrease from the base case in the near term if short-term rates were to decrease, although would benefit if short-term rates were to increase and liabilities maintained their ability to lag market rate increases. A movement higher or lower in the long-end of the yield curve would lead to assets repricing over time given ongoing cash flows from maturities and prepayments of investment securities and loans. Net interest income may decrease from the base case should long-term rates decline from their current levels, although would benefit if long-term rates were to increase.</w:t>
      </w:r>
    </w:p>
    <w:p>
      <w:pPr>
        <w:spacing w:after="0" w:line="15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Table 17b presents an estimate of the change in EVE that would result from an immediate change in interest rates, moving in a parallel fashion over the entire yield curve, relative to the measured base case scenario. Similar to the sensitivity profile above, the base case scenario assumes the consolidated statements of condition and interest rates are generally unchanged.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Economic Value of Equity Sensitivity Profile</w:t>
            </w: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Table 17b</w:t>
            </w:r>
          </w:p>
        </w:tc>
      </w:tr>
      <w:tr>
        <w:trPr>
          <w:trHeight w:val="199"/>
        </w:trPr>
        <w:tc>
          <w:tcPr>
            <w:tcW w:w="4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540" w:type="dxa"/>
            <w:vAlign w:val="bottom"/>
            <w:tcBorders>
              <w:bottom w:val="single" w:sz="8" w:color="auto"/>
            </w:tcBorders>
            <w:gridSpan w:val="3"/>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Impact on Economic Value of Equity</w:t>
            </w:r>
          </w:p>
        </w:tc>
        <w:tc>
          <w:tcPr>
            <w:tcW w:w="1040" w:type="dxa"/>
            <w:vAlign w:val="bottom"/>
            <w:tcBorders>
              <w:bottom w:val="single" w:sz="8" w:color="auto"/>
            </w:tcBorders>
          </w:tcPr>
          <w:p>
            <w:pPr>
              <w:spacing w:after="0"/>
              <w:rPr>
                <w:sz w:val="17"/>
                <w:szCs w:val="17"/>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5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40" w:type="dxa"/>
            <w:vAlign w:val="bottom"/>
            <w:tcBorders>
              <w:bottom w:val="single" w:sz="8" w:color="auto"/>
            </w:tcBorders>
          </w:tcPr>
          <w:p>
            <w:pPr>
              <w:spacing w:after="0"/>
              <w:rPr>
                <w:sz w:val="17"/>
                <w:szCs w:val="17"/>
                <w:color w:val="auto"/>
              </w:rPr>
            </w:pP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5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+400</w:t>
            </w: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(994,078)</w:t>
            </w: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(27.1)%  $</w:t>
            </w:r>
          </w:p>
        </w:tc>
        <w:tc>
          <w:tcPr>
            <w:tcW w:w="200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(1,032,211)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+300</w:t>
            </w:r>
          </w:p>
        </w:tc>
        <w:tc>
          <w:tcPr>
            <w:tcW w:w="500" w:type="dxa"/>
            <w:vAlign w:val="bottom"/>
            <w:shd w:val="clear" w:color="auto" w:fill="CFF0FC"/>
          </w:tcPr>
          <w:p>
            <w:pPr>
              <w:spacing w:after="0"/>
              <w:rPr>
                <w:sz w:val="17"/>
                <w:szCs w:val="17"/>
                <w:color w:val="auto"/>
              </w:rPr>
            </w:pPr>
          </w:p>
        </w:tc>
        <w:tc>
          <w:tcPr>
            <w:tcW w:w="202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rPr>
              <w:t>(726,509)</w:t>
            </w:r>
          </w:p>
        </w:tc>
        <w:tc>
          <w:tcPr>
            <w:tcW w:w="15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(19.8)</w:t>
            </w:r>
          </w:p>
        </w:tc>
        <w:tc>
          <w:tcPr>
            <w:tcW w:w="2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(763,479)</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(21.5)</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+200</w:t>
            </w:r>
          </w:p>
        </w:tc>
        <w:tc>
          <w:tcPr>
            <w:tcW w:w="500" w:type="dxa"/>
            <w:vAlign w:val="bottom"/>
          </w:tcPr>
          <w:p>
            <w:pPr>
              <w:spacing w:after="0"/>
              <w:rPr>
                <w:sz w:val="17"/>
                <w:szCs w:val="17"/>
                <w:color w:val="auto"/>
              </w:rPr>
            </w:pPr>
          </w:p>
        </w:tc>
        <w:tc>
          <w:tcPr>
            <w:tcW w:w="202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(463,232)</w:t>
            </w:r>
          </w:p>
        </w:tc>
        <w:tc>
          <w:tcPr>
            <w:tcW w:w="152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(12.6)</w:t>
            </w:r>
          </w:p>
        </w:tc>
        <w:tc>
          <w:tcPr>
            <w:tcW w:w="200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(496,443)</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(14.0)</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+100</w:t>
            </w:r>
          </w:p>
        </w:tc>
        <w:tc>
          <w:tcPr>
            <w:tcW w:w="500" w:type="dxa"/>
            <w:vAlign w:val="bottom"/>
            <w:shd w:val="clear" w:color="auto" w:fill="CFF0FC"/>
          </w:tcPr>
          <w:p>
            <w:pPr>
              <w:spacing w:after="0"/>
              <w:rPr>
                <w:sz w:val="17"/>
                <w:szCs w:val="17"/>
                <w:color w:val="auto"/>
              </w:rPr>
            </w:pPr>
          </w:p>
        </w:tc>
        <w:tc>
          <w:tcPr>
            <w:tcW w:w="202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rPr>
              <w:t>(213,795)</w:t>
            </w:r>
          </w:p>
        </w:tc>
        <w:tc>
          <w:tcPr>
            <w:tcW w:w="15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(5.8)</w:t>
            </w:r>
          </w:p>
        </w:tc>
        <w:tc>
          <w:tcPr>
            <w:tcW w:w="2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(238,689)</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500" w:type="dxa"/>
            <w:vAlign w:val="bottom"/>
          </w:tcPr>
          <w:p>
            <w:pPr>
              <w:spacing w:after="0"/>
              <w:rPr>
                <w:sz w:val="17"/>
                <w:szCs w:val="17"/>
                <w:color w:val="auto"/>
              </w:rPr>
            </w:pPr>
          </w:p>
        </w:tc>
        <w:tc>
          <w:tcPr>
            <w:tcW w:w="202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rPr>
              <w:t>146,563</w:t>
            </w:r>
          </w:p>
        </w:tc>
        <w:tc>
          <w:tcPr>
            <w:tcW w:w="15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4.0</w:t>
            </w:r>
          </w:p>
        </w:tc>
        <w:tc>
          <w:tcPr>
            <w:tcW w:w="20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177,198</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-200</w:t>
            </w:r>
          </w:p>
        </w:tc>
        <w:tc>
          <w:tcPr>
            <w:tcW w:w="500" w:type="dxa"/>
            <w:vAlign w:val="bottom"/>
            <w:shd w:val="clear" w:color="auto" w:fill="CFF0FC"/>
          </w:tcPr>
          <w:p>
            <w:pPr>
              <w:spacing w:after="0"/>
              <w:rPr>
                <w:sz w:val="17"/>
                <w:szCs w:val="17"/>
                <w:color w:val="auto"/>
              </w:rPr>
            </w:pPr>
          </w:p>
        </w:tc>
        <w:tc>
          <w:tcPr>
            <w:tcW w:w="202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232,350</w:t>
            </w:r>
          </w:p>
        </w:tc>
        <w:tc>
          <w:tcPr>
            <w:tcW w:w="152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6.3</w:t>
            </w:r>
          </w:p>
        </w:tc>
        <w:tc>
          <w:tcPr>
            <w:tcW w:w="200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rPr>
              <w:t>274,546</w:t>
            </w: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-300</w:t>
            </w:r>
          </w:p>
        </w:tc>
        <w:tc>
          <w:tcPr>
            <w:tcW w:w="500" w:type="dxa"/>
            <w:vAlign w:val="bottom"/>
          </w:tcPr>
          <w:p>
            <w:pPr>
              <w:spacing w:after="0"/>
              <w:rPr>
                <w:sz w:val="17"/>
                <w:szCs w:val="17"/>
                <w:color w:val="auto"/>
              </w:rPr>
            </w:pPr>
          </w:p>
        </w:tc>
        <w:tc>
          <w:tcPr>
            <w:tcW w:w="202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rPr>
              <w:t>172,210</w:t>
            </w:r>
          </w:p>
        </w:tc>
        <w:tc>
          <w:tcPr>
            <w:tcW w:w="15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4.7</w:t>
            </w:r>
          </w:p>
        </w:tc>
        <w:tc>
          <w:tcPr>
            <w:tcW w:w="200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294,363</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8.3</w:t>
            </w:r>
          </w:p>
        </w:tc>
      </w:tr>
      <w:tr>
        <w:trPr>
          <w:trHeight w:val="203"/>
        </w:trPr>
        <w:tc>
          <w:tcPr>
            <w:tcW w:w="4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-400</w:t>
            </w:r>
          </w:p>
        </w:tc>
        <w:tc>
          <w:tcPr>
            <w:tcW w:w="500" w:type="dxa"/>
            <w:vAlign w:val="bottom"/>
            <w:tcBorders>
              <w:bottom w:val="single" w:sz="8" w:color="auto"/>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rPr>
              <w:t>(299,582)</w:t>
            </w:r>
          </w:p>
        </w:tc>
        <w:tc>
          <w:tcPr>
            <w:tcW w:w="152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(8.2)</w:t>
            </w:r>
          </w:p>
        </w:tc>
        <w:tc>
          <w:tcPr>
            <w:tcW w:w="200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(99,219)</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Compared to December 31, 2024, EVE sensitivity decreased in both rising and falling rate scenarios due to the longer life and higher valuation attributed to deposits. However, in the down 400 bps scenario, EVE sensitivity increased as the overall lower prevailing market rates have made the 0% floor on deposit rates more impactful.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 Risks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interest rate risk, we are exposed to other forms of market risk in our normal business transactions. Foreign currency holdings expose us to a small degree of foreign currency risk. Our trust and asset management income are at risk to fluctuations in the market values of underlying assets, particularly debt and equity securities. Also, our share-based compensation expense is dependent on the fair value of our restricted stock units and restricted stock at the date of grant. The fair value of restricted stock units and restricted stock is impacted by the market price of the Parent’s common stock on the date of grant and is at risk to changes in equity markets, general economic conditions, and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 Management</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objective of our liquidity risk management process is to manage cash flow and liquidity in an effort to provide continuous access to sufficient, reasonably priced funds. Funding requirements are impacted by factors such as loan originations and refinancings, changes in deposit balances, liability issuances and settlements, and off-balance sheet funding commitments. We adhere to various regulatory guidelines regarding required liquidity levels and periodically monitor our liquidity position in light of the changing economic environment and customer activity. Based on periodic liquidity assessments, we may alter our asset, liability, and off- 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maintain access to ample sources of readily available contingent liquidity. As of March 31, 2025, we had pledged loans and investment securities to the Federal Reserve Discount Window and had remaining borrowing capacity of $7.5 billion. We are also a member of the FHLB. As of March 31, 2025, we had pledged loans to the FHLB and had remaining borrowing capacity of $1.8 billion. The ratio of readily available liquidity to uninsured deposits was 129% at March 31, 2025, compared to 116% at December 31, 2024. The increase in the readily available liquidity to uninsured deposits ratio was due to an increase in cash and cash equivalents combined with increased borrowing capacity realized from pledging additional loan collateral, and a decrease in uninsured deposits.</w:t>
      </w:r>
    </w:p>
    <w:p>
      <w:pPr>
        <w:spacing w:after="0" w:line="14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addition, we utilize our investment securities portfolio as collateral to secure deposits of public entities as well as repurchase agreements with private institution counterparties. The high-quality nature of our investment securities portfolio, which consists primarily of government and agency securities, facilitates the use of these assets for pledging purposes.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sources of liquidity also include investment securities in our AFS securities portfolio and our ability to sell loans in the secondary market. Our core deposits have historically provided us with a long-term source of stable and relatively low-cost source of funding. Additional funding is also available through the issuance of long-term debt or equity.</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market and economic conditions will impact our ability to borrow funds from external sources, as well as the cost of such borrowing both in terms of rate, as well as haircuts on collateral pledged to support such borrowings. Although a significant portion of our investment securities were in an unrealized loss position as of March 31, 2025, we believe we have sufficient access to various forms of liquidity that would alleviate the need to liquidate these investment securities and realize the losses.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continued our focus on maintaining a strong liquidity position. As of March 31, 2025, cash and cash equivalents were $0.9 billion, the carrying value of our AFS investment securities was $2.9 billion, and total deposits were $21.0 billion. As of March 31, 2025, our AFS investment securities portfolio was comprised of securities with an average base duration of approximately 3.00 years.</w:t>
      </w:r>
    </w:p>
    <w:p>
      <w:pPr>
        <w:sectPr>
          <w:pgSz w:w="11900" w:h="16838" w:orient="portrait"/>
          <w:cols w:equalWidth="0" w:num="1">
            <w:col w:w="11240"/>
          </w:cols>
          <w:pgMar w:left="320" w:top="117"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20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and the Bank are each subject to regulatory capital requirements administered by the federal banking agencies and the Division of Financial Institutions, an agency of the State of Hawai‘i Department of Commerce and Consumer Affairs.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March 31, 2025, the Company’s capital levels remained characterized as “well-capitalized.” There have been no conditions or events since March 31, 2025, that management believes have changed either the Company’s or the Bank’s capital classifications. The Company’s regulatory capital ratios are presented in Table 18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18 presents our regulatory capital and ratios as of March 31,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Regulatory Capital and Ratios</w:t>
            </w:r>
          </w:p>
        </w:tc>
        <w:tc>
          <w:tcPr>
            <w:tcW w:w="2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Table 18</w:t>
            </w:r>
          </w:p>
        </w:tc>
      </w:tr>
      <w:tr>
        <w:trPr>
          <w:trHeight w:val="202"/>
        </w:trPr>
        <w:tc>
          <w:tcPr>
            <w:tcW w:w="5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14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7"/>
                <w:szCs w:val="17"/>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Regulatory Capital </w:t>
            </w:r>
            <w:r>
              <w:rPr>
                <w:rFonts w:ascii="Times New Roman" w:cs="Times New Roman" w:eastAsia="Times New Roman" w:hAnsi="Times New Roman"/>
                <w:sz w:val="21"/>
                <w:szCs w:val="21"/>
                <w:color w:val="auto"/>
                <w:vertAlign w:val="superscript"/>
              </w:rPr>
              <w:t>1</w:t>
            </w:r>
          </w:p>
        </w:tc>
        <w:tc>
          <w:tcPr>
            <w:tcW w:w="21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2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1,359,935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1,322,774</w:t>
            </w:r>
          </w:p>
        </w:tc>
        <w:tc>
          <w:tcPr>
            <w:tcW w:w="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 CECL Transitional Amount</w:t>
            </w:r>
          </w:p>
        </w:tc>
        <w:tc>
          <w:tcPr>
            <w:tcW w:w="2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2,375</w:t>
            </w:r>
          </w:p>
        </w:tc>
        <w:tc>
          <w:tcPr>
            <w:tcW w:w="20" w:type="dxa"/>
            <w:vAlign w:val="bottom"/>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Less: Goodwill, Net of Deferred Tax Liabilities</w:t>
            </w:r>
          </w:p>
        </w:tc>
        <w:tc>
          <w:tcPr>
            <w:tcW w:w="2140" w:type="dxa"/>
            <w:vAlign w:val="bottom"/>
          </w:tcPr>
          <w:p>
            <w:pPr>
              <w:spacing w:after="0"/>
              <w:rPr>
                <w:sz w:val="17"/>
                <w:szCs w:val="17"/>
                <w:color w:val="auto"/>
              </w:rPr>
            </w:pPr>
          </w:p>
        </w:tc>
        <w:tc>
          <w:tcPr>
            <w:tcW w:w="1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28,746</w:t>
            </w:r>
          </w:p>
        </w:tc>
        <w:tc>
          <w:tcPr>
            <w:tcW w:w="220" w:type="dxa"/>
            <w:vAlign w:val="bottom"/>
          </w:tcPr>
          <w:p>
            <w:pPr>
              <w:spacing w:after="0"/>
              <w:rPr>
                <w:sz w:val="17"/>
                <w:szCs w:val="17"/>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28,746</w:t>
            </w:r>
          </w:p>
        </w:tc>
        <w:tc>
          <w:tcPr>
            <w:tcW w:w="20" w:type="dxa"/>
            <w:vAlign w:val="bottom"/>
          </w:tcPr>
          <w:p>
            <w:pPr>
              <w:spacing w:after="0"/>
              <w:rPr>
                <w:sz w:val="17"/>
                <w:szCs w:val="17"/>
                <w:color w:val="auto"/>
              </w:rPr>
            </w:pPr>
          </w:p>
        </w:tc>
      </w:tr>
      <w:tr>
        <w:trPr>
          <w:trHeight w:val="203"/>
        </w:trPr>
        <w:tc>
          <w:tcPr>
            <w:tcW w:w="5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Postretirement Benefit Liability Adjustments</w:t>
            </w:r>
          </w:p>
        </w:tc>
        <w:tc>
          <w:tcPr>
            <w:tcW w:w="2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(23,164)</w:t>
            </w: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(23,396)</w:t>
            </w:r>
          </w:p>
        </w:tc>
        <w:tc>
          <w:tcPr>
            <w:tcW w:w="20" w:type="dxa"/>
            <w:vAlign w:val="bottom"/>
          </w:tcPr>
          <w:p>
            <w:pPr>
              <w:spacing w:after="0"/>
              <w:rPr>
                <w:sz w:val="17"/>
                <w:szCs w:val="17"/>
                <w:color w:val="auto"/>
              </w:rPr>
            </w:pPr>
          </w:p>
        </w:tc>
      </w:tr>
      <w:tr>
        <w:trPr>
          <w:trHeight w:val="202"/>
        </w:trPr>
        <w:tc>
          <w:tcPr>
            <w:tcW w:w="5380" w:type="dxa"/>
            <w:vAlign w:val="bottom"/>
          </w:tcPr>
          <w:p>
            <w:pPr>
              <w:ind w:left="280"/>
              <w:spacing w:after="0" w:line="203" w:lineRule="exact"/>
              <w:rPr>
                <w:sz w:val="20"/>
                <w:szCs w:val="20"/>
                <w:color w:val="auto"/>
              </w:rPr>
            </w:pPr>
            <w:r>
              <w:rPr>
                <w:rFonts w:ascii="Times New Roman" w:cs="Times New Roman" w:eastAsia="Times New Roman" w:hAnsi="Times New Roman"/>
                <w:sz w:val="16"/>
                <w:szCs w:val="16"/>
                <w:color w:val="auto"/>
              </w:rPr>
              <w:t xml:space="preserve">Net Unrealized Losses on Investment Securities </w:t>
            </w:r>
            <w:r>
              <w:rPr>
                <w:rFonts w:ascii="Times New Roman" w:cs="Times New Roman" w:eastAsia="Times New Roman" w:hAnsi="Times New Roman"/>
                <w:sz w:val="21"/>
                <w:szCs w:val="21"/>
                <w:color w:val="auto"/>
                <w:vertAlign w:val="superscript"/>
              </w:rPr>
              <w:t>2</w:t>
            </w:r>
          </w:p>
        </w:tc>
        <w:tc>
          <w:tcPr>
            <w:tcW w:w="2140" w:type="dxa"/>
            <w:vAlign w:val="bottom"/>
          </w:tcPr>
          <w:p>
            <w:pPr>
              <w:spacing w:after="0"/>
              <w:rPr>
                <w:sz w:val="17"/>
                <w:szCs w:val="17"/>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(295,233)</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(319,993)</w:t>
            </w:r>
          </w:p>
        </w:tc>
        <w:tc>
          <w:tcPr>
            <w:tcW w:w="20" w:type="dxa"/>
            <w:vAlign w:val="bottom"/>
          </w:tcPr>
          <w:p>
            <w:pPr>
              <w:spacing w:after="0"/>
              <w:rPr>
                <w:sz w:val="17"/>
                <w:szCs w:val="17"/>
                <w:color w:val="auto"/>
              </w:rPr>
            </w:pPr>
          </w:p>
        </w:tc>
      </w:tr>
      <w:tr>
        <w:trPr>
          <w:trHeight w:val="203"/>
        </w:trPr>
        <w:tc>
          <w:tcPr>
            <w:tcW w:w="538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14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(9,097)</w:t>
            </w:r>
          </w:p>
        </w:tc>
        <w:tc>
          <w:tcPr>
            <w:tcW w:w="22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(9,097)</w:t>
            </w:r>
          </w:p>
        </w:tc>
        <w:tc>
          <w:tcPr>
            <w:tcW w:w="20" w:type="dxa"/>
            <w:vAlign w:val="bottom"/>
          </w:tcPr>
          <w:p>
            <w:pPr>
              <w:spacing w:after="0"/>
              <w:rPr>
                <w:sz w:val="17"/>
                <w:szCs w:val="17"/>
                <w:color w:val="auto"/>
              </w:rPr>
            </w:pPr>
          </w:p>
        </w:tc>
      </w:tr>
      <w:tr>
        <w:trPr>
          <w:trHeight w:val="196"/>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2140" w:type="dxa"/>
            <w:vAlign w:val="bottom"/>
          </w:tcPr>
          <w:p>
            <w:pPr>
              <w:spacing w:after="0"/>
              <w:rPr>
                <w:sz w:val="17"/>
                <w:szCs w:val="17"/>
                <w:color w:val="auto"/>
              </w:rPr>
            </w:pPr>
          </w:p>
        </w:tc>
        <w:tc>
          <w:tcPr>
            <w:tcW w:w="1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1,658,683</w:t>
            </w:r>
          </w:p>
        </w:tc>
        <w:tc>
          <w:tcPr>
            <w:tcW w:w="220" w:type="dxa"/>
            <w:vAlign w:val="bottom"/>
          </w:tcPr>
          <w:p>
            <w:pPr>
              <w:spacing w:after="0"/>
              <w:rPr>
                <w:sz w:val="17"/>
                <w:szCs w:val="17"/>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1,648,889</w:t>
            </w:r>
          </w:p>
        </w:tc>
        <w:tc>
          <w:tcPr>
            <w:tcW w:w="20" w:type="dxa"/>
            <w:vAlign w:val="bottom"/>
          </w:tcPr>
          <w:p>
            <w:pPr>
              <w:spacing w:after="0"/>
              <w:rPr>
                <w:sz w:val="17"/>
                <w:szCs w:val="17"/>
                <w:color w:val="auto"/>
              </w:rPr>
            </w:pPr>
          </w:p>
        </w:tc>
      </w:tr>
      <w:tr>
        <w:trPr>
          <w:trHeight w:val="203"/>
        </w:trPr>
        <w:tc>
          <w:tcPr>
            <w:tcW w:w="5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 Net of Issuance Cost</w:t>
            </w:r>
          </w:p>
        </w:tc>
        <w:tc>
          <w:tcPr>
            <w:tcW w:w="214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336,101</w:t>
            </w:r>
          </w:p>
        </w:tc>
        <w:tc>
          <w:tcPr>
            <w:tcW w:w="22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336,101</w:t>
            </w:r>
          </w:p>
        </w:tc>
        <w:tc>
          <w:tcPr>
            <w:tcW w:w="20" w:type="dxa"/>
            <w:vAlign w:val="bottom"/>
          </w:tcPr>
          <w:p>
            <w:pPr>
              <w:spacing w:after="0"/>
              <w:rPr>
                <w:sz w:val="17"/>
                <w:szCs w:val="17"/>
                <w:color w:val="auto"/>
              </w:rPr>
            </w:pPr>
          </w:p>
        </w:tc>
      </w:tr>
      <w:tr>
        <w:trPr>
          <w:trHeight w:val="196"/>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Tier 1 Capital</w:t>
            </w:r>
          </w:p>
        </w:tc>
        <w:tc>
          <w:tcPr>
            <w:tcW w:w="2140" w:type="dxa"/>
            <w:vAlign w:val="bottom"/>
          </w:tcPr>
          <w:p>
            <w:pPr>
              <w:spacing w:after="0"/>
              <w:rPr>
                <w:sz w:val="17"/>
                <w:szCs w:val="17"/>
                <w:color w:val="auto"/>
              </w:rPr>
            </w:pPr>
          </w:p>
        </w:tc>
        <w:tc>
          <w:tcPr>
            <w:tcW w:w="1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1,994,784</w:t>
            </w:r>
          </w:p>
        </w:tc>
        <w:tc>
          <w:tcPr>
            <w:tcW w:w="220" w:type="dxa"/>
            <w:vAlign w:val="bottom"/>
          </w:tcPr>
          <w:p>
            <w:pPr>
              <w:spacing w:after="0"/>
              <w:rPr>
                <w:sz w:val="17"/>
                <w:szCs w:val="17"/>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1,984,990</w:t>
            </w:r>
          </w:p>
        </w:tc>
        <w:tc>
          <w:tcPr>
            <w:tcW w:w="20" w:type="dxa"/>
            <w:vAlign w:val="bottom"/>
          </w:tcPr>
          <w:p>
            <w:pPr>
              <w:spacing w:after="0"/>
              <w:rPr>
                <w:sz w:val="17"/>
                <w:szCs w:val="17"/>
                <w:color w:val="auto"/>
              </w:rPr>
            </w:pPr>
          </w:p>
        </w:tc>
      </w:tr>
      <w:tr>
        <w:trPr>
          <w:trHeight w:val="203"/>
        </w:trPr>
        <w:tc>
          <w:tcPr>
            <w:tcW w:w="5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Allowable Reserve for Credit Losses</w:t>
            </w:r>
          </w:p>
        </w:tc>
        <w:tc>
          <w:tcPr>
            <w:tcW w:w="214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149,496</w:t>
            </w:r>
          </w:p>
        </w:tc>
        <w:tc>
          <w:tcPr>
            <w:tcW w:w="22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148,634</w:t>
            </w:r>
          </w:p>
        </w:tc>
        <w:tc>
          <w:tcPr>
            <w:tcW w:w="20" w:type="dxa"/>
            <w:vAlign w:val="bottom"/>
          </w:tcPr>
          <w:p>
            <w:pPr>
              <w:spacing w:after="0"/>
              <w:rPr>
                <w:sz w:val="17"/>
                <w:szCs w:val="17"/>
                <w:color w:val="auto"/>
              </w:rPr>
            </w:pPr>
          </w:p>
        </w:tc>
      </w:tr>
      <w:tr>
        <w:trPr>
          <w:trHeight w:val="196"/>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Regulatory Capital</w:t>
            </w:r>
          </w:p>
        </w:tc>
        <w:tc>
          <w:tcPr>
            <w:tcW w:w="2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2,144,280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2,133,624</w:t>
            </w:r>
          </w:p>
        </w:tc>
        <w:tc>
          <w:tcPr>
            <w:tcW w:w="20" w:type="dxa"/>
            <w:vAlign w:val="bottom"/>
          </w:tcPr>
          <w:p>
            <w:pPr>
              <w:spacing w:after="0"/>
              <w:rPr>
                <w:sz w:val="17"/>
                <w:szCs w:val="17"/>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Risk-Weighted Assets</w:t>
            </w:r>
          </w:p>
        </w:tc>
        <w:tc>
          <w:tcPr>
            <w:tcW w:w="2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14,319,932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14,225,908</w:t>
            </w:r>
          </w:p>
        </w:tc>
        <w:tc>
          <w:tcPr>
            <w:tcW w:w="20" w:type="dxa"/>
            <w:vAlign w:val="bottom"/>
          </w:tcPr>
          <w:p>
            <w:pPr>
              <w:spacing w:after="0"/>
              <w:rPr>
                <w:sz w:val="19"/>
                <w:szCs w:val="19"/>
                <w:color w:val="auto"/>
              </w:rPr>
            </w:pPr>
          </w:p>
        </w:tc>
      </w:tr>
      <w:tr>
        <w:trPr>
          <w:trHeight w:val="183"/>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Key Regulatory Capital Ratios</w:t>
            </w:r>
          </w:p>
        </w:tc>
        <w:tc>
          <w:tcPr>
            <w:tcW w:w="2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2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20" w:type="dxa"/>
            <w:vAlign w:val="bottom"/>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Tier 1 Capital Ratio</w:t>
            </w:r>
          </w:p>
        </w:tc>
        <w:tc>
          <w:tcPr>
            <w:tcW w:w="2140" w:type="dxa"/>
            <w:vAlign w:val="bottom"/>
          </w:tcPr>
          <w:p>
            <w:pPr>
              <w:spacing w:after="0"/>
              <w:rPr>
                <w:sz w:val="17"/>
                <w:szCs w:val="17"/>
                <w:color w:val="auto"/>
              </w:rPr>
            </w:pPr>
          </w:p>
        </w:tc>
        <w:tc>
          <w:tcPr>
            <w:tcW w:w="1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13.93</w:t>
            </w:r>
          </w:p>
        </w:tc>
        <w:tc>
          <w:tcPr>
            <w:tcW w:w="220" w:type="dxa"/>
            <w:vAlign w:val="bottom"/>
          </w:tcPr>
          <w:p>
            <w:pPr>
              <w:spacing w:after="0"/>
              <w:rPr>
                <w:sz w:val="17"/>
                <w:szCs w:val="17"/>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13.95</w:t>
            </w:r>
          </w:p>
        </w:tc>
        <w:tc>
          <w:tcPr>
            <w:tcW w:w="20" w:type="dxa"/>
            <w:vAlign w:val="bottom"/>
          </w:tcPr>
          <w:p>
            <w:pPr>
              <w:spacing w:after="0"/>
              <w:rPr>
                <w:sz w:val="17"/>
                <w:szCs w:val="17"/>
                <w:color w:val="auto"/>
              </w:rPr>
            </w:pPr>
          </w:p>
        </w:tc>
      </w:tr>
      <w:tr>
        <w:trPr>
          <w:trHeight w:val="20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Capital Ratio</w:t>
            </w:r>
          </w:p>
        </w:tc>
        <w:tc>
          <w:tcPr>
            <w:tcW w:w="2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14.97</w:t>
            </w: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15.00</w:t>
            </w:r>
          </w:p>
        </w:tc>
        <w:tc>
          <w:tcPr>
            <w:tcW w:w="20" w:type="dxa"/>
            <w:vAlign w:val="bottom"/>
          </w:tcPr>
          <w:p>
            <w:pPr>
              <w:spacing w:after="0"/>
              <w:rPr>
                <w:sz w:val="17"/>
                <w:szCs w:val="17"/>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Tier 1 Leverage Ratio</w:t>
            </w:r>
          </w:p>
        </w:tc>
        <w:tc>
          <w:tcPr>
            <w:tcW w:w="2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8.36</w:t>
            </w:r>
          </w:p>
        </w:tc>
        <w:tc>
          <w:tcPr>
            <w:tcW w:w="22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8.31</w:t>
            </w:r>
          </w:p>
        </w:tc>
        <w:tc>
          <w:tcPr>
            <w:tcW w:w="20" w:type="dxa"/>
            <w:vAlign w:val="bottom"/>
          </w:tcPr>
          <w:p>
            <w:pPr>
              <w:spacing w:after="0"/>
              <w:rPr>
                <w:sz w:val="18"/>
                <w:szCs w:val="18"/>
                <w:color w:val="auto"/>
              </w:rPr>
            </w:pPr>
          </w:p>
        </w:tc>
      </w:tr>
    </w:tbl>
    <w:p>
      <w:pPr>
        <w:ind w:left="200" w:hanging="179"/>
        <w:spacing w:after="0" w:line="186" w:lineRule="auto"/>
        <w:tabs>
          <w:tab w:leader="none" w:pos="20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Regulatory capital ratios as of March 31, 2025 are preliminary.</w:t>
      </w:r>
    </w:p>
    <w:p>
      <w:pPr>
        <w:ind w:left="200" w:hanging="179"/>
        <w:spacing w:after="0" w:line="189" w:lineRule="auto"/>
        <w:tabs>
          <w:tab w:leader="none" w:pos="20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unrealized gains and losses related to the Company's reclassification of AFS investment securities to the HTM category.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Equity</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March 31, 2025, shareholders’ equity was $1.7 billion, an increase of $37.2 million or 2% from December 31, 2024. For the first three months of 2025, the increase was attributed to net income of $44.0 million, other comprehensive income of $25.0 million, share-based compensation of $3.7 million, and common stock issued under purchase and equity compensation plans of $1.3 million were offset by cash dividends declared of $28.2 million on common shares, cash dividends declared of $5.3 million on preferred shares, and common stock repurchases of $3.3 million related to taxes withheld for share-based compensation.</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shares of common stock were repurchased under the share repurchase program in the first quarter of 2025. From the beginning of our share repurchase program in July 2001 through March 31, 2025, we repurchased a total of 58.2 million shares of our common stock and returned a total of $2.4 billion to our shareholders at an average cost of $41.24 per share. Remaining buyback authority under our share repurchase program was $126.0 million as of March 31, 2025. The actual amount and timing of future share repurchases, if any, will depend on market and economic conditions, regulatory rules, applicable SEC rules, and various other factors.</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April 2025, the Parent’s Board of Directors declared quarterly dividend payments of its Fixed Rate Non-Cumulative Perpetual Preferred Stock, Series A, of $10.94 per share, equivalent to $0.2735 per depositary share and its Fixed Rate Non-Cumulative Perpetual Preferred Stock, Series B, of $20.00 per share, equivalent to $0.5000 per depositary share. Dividends will be payable on May 1, 2025, to shareholders of record of the preferred stock at the close of business on April 16, 2025.</w:t>
      </w:r>
    </w:p>
    <w:p>
      <w:pPr>
        <w:sectPr>
          <w:pgSz w:w="11900" w:h="16838" w:orient="portrait"/>
          <w:cols w:equalWidth="0" w:num="1">
            <w:col w:w="11240"/>
          </w:cols>
          <w:pgMar w:left="320" w:top="117"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April 2025, the Parent’s Board of Directors declared a quarterly cash dividend of $0.70 per share on the Parent’s outstanding common shares. The dividend will be payable on June 13, 2025, to shareholders of record of the common stock at the close of business on May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Operational Risk Committee (the “ORC”) provides oversight and assesses the most significant operational risks including cybersecurity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Committee of the Board of Directors.</w:t>
      </w:r>
    </w:p>
    <w:p>
      <w:pPr>
        <w:spacing w:after="0" w:line="1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31" w:lineRule="exact"/>
        <w:rPr>
          <w:sz w:val="20"/>
          <w:szCs w:val="20"/>
          <w:color w:val="auto"/>
        </w:rPr>
      </w:pPr>
    </w:p>
    <w:p>
      <w:pPr>
        <w:ind w:right="468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Off-Balance Sheet Arrangements, Credit Commitments, and Contractual Obligations </w:t>
      </w:r>
      <w:r>
        <w:rPr>
          <w:rFonts w:ascii="Times New Roman" w:cs="Times New Roman" w:eastAsia="Times New Roman" w:hAnsi="Times New Roman"/>
          <w:sz w:val="18"/>
          <w:szCs w:val="18"/>
          <w:i w:val="1"/>
          <w:iCs w:val="1"/>
          <w:color w:val="auto"/>
        </w:rPr>
        <w:t>Off-Balance Sheet Arrangements</w:t>
      </w:r>
    </w:p>
    <w:p>
      <w:pPr>
        <w:ind w:right="100"/>
        <w:spacing w:after="0" w:line="261"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Commitments and Contractual Obligations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credit commitments and contractual obligations have not changed materially since previously reported in our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“Market Risk” of this Management’s Discussion and Analysis of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March 31, 2025. Based on this evaluation, the Chief Executive Officer and Chief Financial Officer concluded that the Company’s disclosure controls and procedures were effective as of March 31,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March 31, 2025, that have materially affected, or are reasonably likely to materially affect, the Company’s internal control over financial reporting.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There are no pending legal proceedings against or involving the Company for which the outcome is likely to have a material adverse effect upon its financial position or results of operations. For additional information, see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Consolidated Financial Statements set forth in Item 1, Part I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Part I, Item 1A. “Risk Factors” in the Company’s Annual Report on Form 10-K for the year ended December 31, 2024 except as set forth below:</w:t>
      </w:r>
    </w:p>
    <w:p>
      <w:pPr>
        <w:spacing w:after="0" w:line="1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Significant changes to the size, structure, powers and operations of the federal government, changes to U.S. economic policies, and uncertainties regarding the potential for these changes may cause economic disruptions that could, in turn, adversely impact our business, results of operations and financial condition.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current U.S. administration has implemented significant changes in federal priorities and has taken steps to change the operations, structure, and policy focus of various federal agencies, as well as regulatory priorities, policy approaches and interpretations of existing laws by those federal agencies. For example, recent executive actions and proposed legislation has changed agency mandates, modified or reduced federal program funding, altered regulatory frameworks, or adjusted the size and composition of the federal workforce. Moreover, leadership transitions at key federal agencies have impacted or may impact rulemaking, supervision, enforcement, and examination priorities across the financial regulatory landscape. These developments in the federal government may have varying effects on the banking and financial services industry that are difficult to predict, which makes it difficult for us to anticipate and mitigate attendant risks. Compliance with changing federal and regulatory priorities could, among other things, increase the costs of operating our business, reduce the demand for our products and services, impact our ability to achieve our business goals, and increase our legal, operational and reputational risks, any or all of which could materially adversely affect our results of operations.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current U.S. administration also has implemented rapid shifts in macroeconomic policies, such as those relating to trade restrictions and tariffs, which have created significant uncertainties regarding U.S. economic growth, the potential for recession, and concerns over an increase in inflation. In particular, these economic policies have created significant instability in the trade relationship between the U.S. and Chinese economies, including tariff escalation, scrutiny of U.S. investment into Chinese companies, and potential limits on Chinese companies’ access to U.S. markets. In order to limit the impact of unpredictable U.S. actions, global companies and governments may reduce the use of the U.S. dollar in world trade and financial transactions, which could result in further volatility in the financial markets and U.S. economy. Slow economic growth, economic contraction or recession, or shifts in broader consumer and business trends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would significantly impact our ability to originate loans, the ability of borrowers to repay loans, and the value of the collateral securing loans.</w:t>
      </w:r>
    </w:p>
    <w:p>
      <w:pPr>
        <w:spacing w:after="0" w:line="19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political and economic events within the United States, including a contentious domestic political environment, changes in or disagreements over U.S. monetary policy and actions of the Federal Reserve, disagreements over long-term federal budget and deficit reduction plans, the threat of a U.S. government shutdown, disagreements over, or threats not to increase, the U.S. government’s borrowing limit (or “debt ceiling”), and risk of further downgrade of the ratings of U.S. government debt obligations, also may negatively impact financial markets and the U.S. economy, including the economy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w:t>
      </w:r>
    </w:p>
    <w:p>
      <w:pPr>
        <w:spacing w:after="0" w:line="148"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Further, the perception of the potential for additional, significant changes in federal regulatory or economic policy also has increased uncertainty and may exacerbate declines in investor and consumer confidence, which in turn may adversely impact financial markets and the broader economy of the U.S. and the economy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in particular, perhaps suddenly and to a significant degree.</w:t>
      </w:r>
    </w:p>
    <w:p>
      <w:pPr>
        <w:spacing w:after="0" w:line="13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Regional business and economic conditions are a major driver of our results of operations. Difficult conditions in the regional business and economic environment, including those caused by the lack of stability and predictability of U.S. policymaking, may materially adversely affect our operating expenses, the quality of our assets, credit losses, and the demand for our products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the Company’s stock during the quarter.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Parent’s repurchases of its common stock during the first quarter of 2025 were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3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40" w:type="dxa"/>
            <w:vAlign w:val="bottom"/>
          </w:tcPr>
          <w:p>
            <w:pPr>
              <w:spacing w:after="0"/>
              <w:rPr>
                <w:sz w:val="17"/>
                <w:szCs w:val="17"/>
                <w:color w:val="auto"/>
              </w:rPr>
            </w:pPr>
          </w:p>
        </w:tc>
        <w:tc>
          <w:tcPr>
            <w:tcW w:w="13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Dollar Value of</w:t>
            </w:r>
          </w:p>
        </w:tc>
      </w:tr>
      <w:tr>
        <w:trPr>
          <w:trHeight w:val="203"/>
        </w:trPr>
        <w:tc>
          <w:tcPr>
            <w:tcW w:w="3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240" w:type="dxa"/>
            <w:vAlign w:val="bottom"/>
          </w:tcPr>
          <w:p>
            <w:pPr>
              <w:spacing w:after="0"/>
              <w:rPr>
                <w:sz w:val="17"/>
                <w:szCs w:val="17"/>
                <w:color w:val="auto"/>
              </w:rPr>
            </w:pPr>
          </w:p>
        </w:tc>
        <w:tc>
          <w:tcPr>
            <w:tcW w:w="13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Shares that May</w:t>
            </w:r>
          </w:p>
        </w:tc>
      </w:tr>
      <w:tr>
        <w:trPr>
          <w:trHeight w:val="203"/>
        </w:trPr>
        <w:tc>
          <w:tcPr>
            <w:tcW w:w="3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w:t>
            </w:r>
          </w:p>
        </w:tc>
      </w:tr>
      <w:tr>
        <w:trPr>
          <w:trHeight w:val="175"/>
        </w:trPr>
        <w:tc>
          <w:tcPr>
            <w:tcW w:w="3140" w:type="dxa"/>
            <w:vAlign w:val="bottom"/>
          </w:tcPr>
          <w:p>
            <w:pPr>
              <w:spacing w:after="0"/>
              <w:rPr>
                <w:sz w:val="15"/>
                <w:szCs w:val="15"/>
                <w:color w:val="auto"/>
              </w:rPr>
            </w:pPr>
          </w:p>
        </w:tc>
        <w:tc>
          <w:tcPr>
            <w:tcW w:w="326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160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Average Price Paid</w:t>
            </w:r>
          </w:p>
        </w:tc>
        <w:tc>
          <w:tcPr>
            <w:tcW w:w="162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6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46"/>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 xml:space="preserve">Programs </w:t>
            </w:r>
            <w:r>
              <w:rPr>
                <w:rFonts w:ascii="Times New Roman" w:cs="Times New Roman" w:eastAsia="Times New Roman" w:hAnsi="Times New Roman"/>
                <w:sz w:val="21"/>
                <w:szCs w:val="21"/>
                <w:b w:val="1"/>
                <w:bCs w:val="1"/>
                <w:color w:val="auto"/>
                <w:w w:val="99"/>
                <w:vertAlign w:val="superscript"/>
              </w:rPr>
              <w:t>2</w:t>
            </w:r>
          </w:p>
        </w:tc>
      </w:tr>
      <w:tr>
        <w:trPr>
          <w:trHeight w:val="19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1 - 31, 2025</w:t>
            </w:r>
          </w:p>
        </w:tc>
        <w:tc>
          <w:tcPr>
            <w:tcW w:w="3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1,541</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67.39</w:t>
            </w: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126,038,927</w:t>
            </w: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February 1 - 28, 2025</w:t>
            </w:r>
          </w:p>
        </w:tc>
        <w:tc>
          <w:tcPr>
            <w:tcW w:w="3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44,906</w:t>
            </w: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71.49</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126,038,927</w:t>
            </w:r>
          </w:p>
        </w:tc>
      </w:tr>
      <w:tr>
        <w:trPr>
          <w:trHeight w:val="203"/>
        </w:trPr>
        <w:tc>
          <w:tcPr>
            <w:tcW w:w="3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1 - 31, 2025</w:t>
            </w:r>
          </w:p>
        </w:tc>
        <w:tc>
          <w:tcPr>
            <w:tcW w:w="3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126,038,927</w:t>
            </w:r>
          </w:p>
        </w:tc>
      </w:tr>
      <w:tr>
        <w:trPr>
          <w:trHeight w:val="196"/>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3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46,447</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71.36</w:t>
            </w:r>
          </w:p>
        </w:tc>
        <w:tc>
          <w:tcPr>
            <w:tcW w:w="1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-162560</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52" w:lineRule="exact"/>
        <w:rPr>
          <w:sz w:val="20"/>
          <w:szCs w:val="20"/>
          <w:color w:val="auto"/>
        </w:rPr>
      </w:pPr>
    </w:p>
    <w:p>
      <w:pPr>
        <w:ind w:left="200" w:right="60" w:hanging="192"/>
        <w:spacing w:after="0" w:line="186" w:lineRule="auto"/>
        <w:tabs>
          <w:tab w:leader="none" w:pos="20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During the first quarter of 2025, 46,447 shares were acquired from employees in connection with income tax withholdings related to the vesting of restricted stock. The shares were purchased at the closing price of the Parent’s common stock on the dates of purchase.</w:t>
      </w:r>
    </w:p>
    <w:p>
      <w:pPr>
        <w:spacing w:after="0" w:line="3" w:lineRule="exact"/>
        <w:rPr>
          <w:sz w:val="20"/>
          <w:szCs w:val="20"/>
          <w:color w:val="auto"/>
        </w:rPr>
      </w:pPr>
    </w:p>
    <w:p>
      <w:pPr>
        <w:ind w:left="200" w:right="80" w:hanging="192"/>
        <w:spacing w:after="0" w:line="202" w:lineRule="auto"/>
        <w:tabs>
          <w:tab w:leader="none" w:pos="20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share repurchase program was first announced in July 2001 with an initial authorization to repurchase $70 million in shares of common stock. The Board increased the share repurchase program, most recently in January 2019 by $130 million. The share repurchase program has no set expiration or termination date. The actual amount and timing of future share repurchases, if any, will depend on market and economic conditions, regulatory rules, applicable SEC rules, and various other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the Company’s directors or executive officers informed the Company of the adoption, modification, or termination of any contract, instruction or written plan for the purchase or sale of Company securities that was intended to satisfy the affirmative defense conditions of Rule 10b5-1(c) or any non-Rule 10b5-1 trading arrangement.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on the Exhibit Index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14"/>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Certificate of Incorporation of Bank of Hawaii Corporation (f/k/a Pacific Century Financial Corporation and Bancorp Hawaii, Inc.), as</w:t>
              </w:r>
            </w:hyperlink>
          </w:p>
        </w:tc>
      </w:tr>
      <w:tr>
        <w:trPr>
          <w:trHeight w:val="20"/>
        </w:trPr>
        <w:tc>
          <w:tcPr>
            <w:tcW w:w="10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amended (incorporated by reference to Exhibit 3.1 to Bank of Hawaii Corporation’s Annual Report on Form 10-K for its fiscal year ended</w:t>
              </w:r>
            </w:hyperlink>
          </w:p>
        </w:tc>
      </w:tr>
      <w:tr>
        <w:trPr>
          <w:trHeight w:val="20"/>
        </w:trPr>
        <w:tc>
          <w:tcPr>
            <w:tcW w:w="10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December 31, 2005 filed on February 28, 2006).</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14"/>
          </w:tcPr>
          <w:p>
            <w:pPr>
              <w:spacing w:after="0"/>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Certificate of Amendment of Certificate of Incorporation of Bank of Hawaii Corporation (incorporated by reference to Exhibit 3.1 to Bank of</w:t>
              </w:r>
            </w:hyperlink>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Hawaii Corporation’s Current Report on Form 8-K filed on April 30, 2008).</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200" w:type="dxa"/>
            <w:vAlign w:val="bottom"/>
            <w:gridSpan w:val="14"/>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Designations of 4.375% Fixed Rate Non-Cumulative Perpetual Preferred Stock, Series A (incorporated by reference to Exhibit</w:t>
              </w:r>
            </w:hyperlink>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Bank of Hawaii Corporation’s Current Report on Form 8-K filed on June 15, 2021).</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200" w:type="dxa"/>
            <w:vAlign w:val="bottom"/>
            <w:gridSpan w:val="14"/>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Certificate of Designations of 8.000% Fixed Rate Non-Cumulative Perpetual Preferred Stock, Series B (incorporated by reference to Exhibit</w:t>
              </w:r>
            </w:hyperlink>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Bank of Hawaii Corporation’s Current Report on Form 8-K filed on June 21,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200" w:type="dxa"/>
            <w:vAlign w:val="bottom"/>
            <w:gridSpan w:val="14"/>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By-laws of Bank of Hawaii Corporation (as amended November 20, 2020) (incorporated by reference to Exhibit 3.2</w:t>
              </w:r>
            </w:hyperlink>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to Bank of Hawaii Corporation’s Current Report on Form 8-K filed on November 23, 2020).</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14"/>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Deposit Agreement, dated June 15, 2021, by and among Bank of Hawaii Corporation, Computershare Inc. and Computershare Trust</w:t>
              </w:r>
            </w:hyperlink>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lef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Company, N.A., jointly as depositary, and the holders from time to time of the depositary receipts described therein (incorporated by</w:t>
              </w:r>
            </w:hyperlink>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left w:val="single" w:sz="8" w:color="0000FF"/>
            </w:tcBorders>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reference to Exhibit 4.1 to Bank of Hawaii Corporation’s Current Report on Form 8-K filed with the SEC on June 15, 2021)</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left w:val="single" w:sz="8" w:color="0000FF"/>
            </w:tcBorders>
            <w:gridSpan w:val="4"/>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14"/>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Depository Receipt - Series A (included in Exhibit 4.1)</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480" w:type="dxa"/>
            <w:vAlign w:val="bottom"/>
            <w:tcBorders>
              <w:left w:val="single" w:sz="8" w:color="0000EE"/>
            </w:tcBorders>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1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Deposit Agreement, dated June 21, 2024, by and among Bank of Hawaii Corporation, Computershare Inc. and Computershare Trust</w:t>
              </w:r>
            </w:hyperlink>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940" w:type="dxa"/>
            <w:vAlign w:val="bottom"/>
            <w:tcBorders>
              <w:left w:val="single" w:sz="8" w:color="0000FF"/>
            </w:tcBorders>
            <w:gridSpan w:val="5"/>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Company, N.A., jointly as depositary, and the holders from time to time of the depositary receipts described therein (incorporated by</w:t>
              </w:r>
            </w:hyperlink>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98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reference to Exhibit 4.1 to Bank of Hawaii Corporation’s Current Report on Form 8-K filed with the SEC on June 21,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left w:val="single" w:sz="8" w:color="0000FF"/>
            </w:tcBorders>
            <w:gridSpan w:val="4"/>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200" w:type="dxa"/>
            <w:vAlign w:val="bottom"/>
            <w:gridSpan w:val="1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Depository Receipt - Series B (included in Exhibit 4.3)</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2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Bank of Hawaii Corporation and its consolidated subsidiaries are not filed as</w:t>
            </w:r>
          </w:p>
        </w:tc>
      </w:tr>
      <w:tr>
        <w:trPr>
          <w:trHeight w:val="216"/>
        </w:trPr>
        <w:tc>
          <w:tcPr>
            <w:tcW w:w="1040" w:type="dxa"/>
            <w:vAlign w:val="bottom"/>
          </w:tcPr>
          <w:p>
            <w:pPr>
              <w:spacing w:after="0"/>
              <w:rPr>
                <w:sz w:val="18"/>
                <w:szCs w:val="18"/>
                <w:color w:val="auto"/>
              </w:rPr>
            </w:pPr>
          </w:p>
        </w:tc>
        <w:tc>
          <w:tcPr>
            <w:tcW w:w="102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exhibits because the amount of debt authorized under any such instruments does not exceed 10% of the total assets of Bank of Hawaii</w:t>
            </w:r>
          </w:p>
        </w:tc>
      </w:tr>
      <w:tr>
        <w:trPr>
          <w:trHeight w:val="216"/>
        </w:trPr>
        <w:tc>
          <w:tcPr>
            <w:tcW w:w="1040" w:type="dxa"/>
            <w:vAlign w:val="bottom"/>
          </w:tcPr>
          <w:p>
            <w:pPr>
              <w:spacing w:after="0"/>
              <w:rPr>
                <w:sz w:val="18"/>
                <w:szCs w:val="18"/>
                <w:color w:val="auto"/>
              </w:rPr>
            </w:pPr>
          </w:p>
        </w:tc>
        <w:tc>
          <w:tcPr>
            <w:tcW w:w="102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Corporation and its consolidated subsidiaries. Bank of Hawaii Corporation agrees to furnish a copy of any such instrument to the</w:t>
            </w:r>
          </w:p>
        </w:tc>
      </w:tr>
      <w:tr>
        <w:trPr>
          <w:trHeight w:val="234"/>
        </w:trPr>
        <w:tc>
          <w:tcPr>
            <w:tcW w:w="1040" w:type="dxa"/>
            <w:vAlign w:val="bottom"/>
          </w:tcPr>
          <w:p>
            <w:pPr>
              <w:spacing w:after="0"/>
              <w:rPr>
                <w:sz w:val="20"/>
                <w:szCs w:val="20"/>
                <w:color w:val="auto"/>
              </w:rPr>
            </w:pPr>
          </w:p>
        </w:tc>
        <w:tc>
          <w:tcPr>
            <w:tcW w:w="102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Commission upon request.</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of the Securities Exchange Act of 1934, as Amended, Adopted Pursuant</w:t>
            </w:r>
          </w:p>
        </w:tc>
      </w:tr>
      <w:tr>
        <w:trPr>
          <w:trHeight w:val="20"/>
        </w:trPr>
        <w:tc>
          <w:tcPr>
            <w:tcW w:w="1040" w:type="dxa"/>
            <w:vAlign w:val="bottom"/>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650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 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EE"/>
            </w:tcBorders>
            <w:gridSpan w:val="2"/>
            <w:shd w:val="clear" w:color="auto" w:fill="0000FF"/>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 Securities Exchange Act of 1934, as Amended, Adopted Pursuant</w:t>
            </w:r>
          </w:p>
        </w:tc>
      </w:tr>
      <w:tr>
        <w:trPr>
          <w:trHeight w:val="20"/>
        </w:trPr>
        <w:tc>
          <w:tcPr>
            <w:tcW w:w="1040" w:type="dxa"/>
            <w:vAlign w:val="bottom"/>
          </w:tcPr>
          <w:p>
            <w:pPr>
              <w:spacing w:after="0" w:line="20" w:lineRule="exact"/>
              <w:rPr>
                <w:sz w:val="1"/>
                <w:szCs w:val="1"/>
                <w:color w:val="auto"/>
              </w:rPr>
            </w:pPr>
          </w:p>
        </w:tc>
        <w:tc>
          <w:tcPr>
            <w:tcW w:w="10080" w:type="dxa"/>
            <w:vAlign w:val="bottom"/>
            <w:gridSpan w:val="1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 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20" w:right="40" w:hanging="101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-185420</wp:posOffset>
            </wp:positionV>
            <wp:extent cx="6489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-48260</wp:posOffset>
            </wp:positionV>
            <wp:extent cx="15957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59575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03" w:lineRule="exact"/>
        <w:rPr>
          <w:sz w:val="20"/>
          <w:szCs w:val="20"/>
          <w:color w:val="auto"/>
        </w:rPr>
      </w:pPr>
    </w:p>
    <w:p>
      <w:pPr>
        <w:ind w:left="5540" w:right="400" w:hanging="5532"/>
        <w:spacing w:after="0" w:line="736" w:lineRule="auto"/>
        <w:tabs>
          <w:tab w:leader="none" w:pos="10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the Form 10-Q has been formatted in Inline XBRL and contained in Exhibit 101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28, 2025</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of Hawaii Corporation</w:t>
            </w:r>
          </w:p>
        </w:tc>
      </w:tr>
      <w:tr>
        <w:trPr>
          <w:trHeight w:val="432"/>
        </w:trPr>
        <w:tc>
          <w:tcPr>
            <w:tcW w:w="600" w:type="dxa"/>
            <w:vAlign w:val="bottom"/>
          </w:tcPr>
          <w:p>
            <w:pPr>
              <w:spacing w:after="0"/>
              <w:rPr>
                <w:sz w:val="24"/>
                <w:szCs w:val="24"/>
                <w:color w:val="auto"/>
              </w:rPr>
            </w:pPr>
          </w:p>
        </w:tc>
        <w:tc>
          <w:tcPr>
            <w:tcW w:w="526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 Peter S. Ho</w:t>
            </w:r>
          </w:p>
        </w:tc>
      </w:tr>
      <w:tr>
        <w:trPr>
          <w:trHeight w:val="191"/>
        </w:trPr>
        <w:tc>
          <w:tcPr>
            <w:tcW w:w="6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38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Peter S. Ho</w:t>
            </w:r>
          </w:p>
        </w:tc>
      </w:tr>
      <w:tr>
        <w:trPr>
          <w:trHeight w:val="234"/>
        </w:trPr>
        <w:tc>
          <w:tcPr>
            <w:tcW w:w="6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864"/>
        </w:trPr>
        <w:tc>
          <w:tcPr>
            <w:tcW w:w="600" w:type="dxa"/>
            <w:vAlign w:val="bottom"/>
          </w:tcPr>
          <w:p>
            <w:pPr>
              <w:spacing w:after="0"/>
              <w:rPr>
                <w:sz w:val="24"/>
                <w:szCs w:val="24"/>
                <w:color w:val="auto"/>
              </w:rPr>
            </w:pPr>
          </w:p>
        </w:tc>
        <w:tc>
          <w:tcPr>
            <w:tcW w:w="526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 Dean Y. Shigemura</w:t>
            </w:r>
          </w:p>
        </w:tc>
      </w:tr>
      <w:tr>
        <w:trPr>
          <w:trHeight w:val="191"/>
        </w:trPr>
        <w:tc>
          <w:tcPr>
            <w:tcW w:w="6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38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Dean Y. Shigemura</w:t>
            </w:r>
          </w:p>
        </w:tc>
      </w:tr>
      <w:tr>
        <w:trPr>
          <w:trHeight w:val="234"/>
        </w:trPr>
        <w:tc>
          <w:tcPr>
            <w:tcW w:w="6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23"/>
        </w:trPr>
        <w:tc>
          <w:tcPr>
            <w:tcW w:w="600" w:type="dxa"/>
            <w:vAlign w:val="bottom"/>
          </w:tcPr>
          <w:p>
            <w:pPr>
              <w:spacing w:after="0"/>
              <w:rPr>
                <w:sz w:val="24"/>
                <w:szCs w:val="24"/>
                <w:color w:val="auto"/>
              </w:rPr>
            </w:pPr>
          </w:p>
        </w:tc>
        <w:tc>
          <w:tcPr>
            <w:tcW w:w="5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5380" w:type="dxa"/>
            <w:vAlign w:val="bottom"/>
          </w:tcPr>
          <w:p>
            <w:pPr>
              <w:spacing w:after="0"/>
              <w:rPr>
                <w:sz w:val="24"/>
                <w:szCs w:val="24"/>
                <w:color w:val="auto"/>
              </w:rPr>
            </w:pPr>
          </w:p>
        </w:tc>
      </w:tr>
      <w:tr>
        <w:trPr>
          <w:trHeight w:val="763"/>
        </w:trPr>
        <w:tc>
          <w:tcPr>
            <w:tcW w:w="6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Ho, certify that:</w:t>
      </w:r>
    </w:p>
    <w:p>
      <w:pPr>
        <w:spacing w:after="0" w:line="158"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4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0"/>
        <w:spacing w:after="0"/>
        <w:tabs>
          <w:tab w:leader="none" w:pos="720" w:val="left"/>
          <w:tab w:leader="none" w:pos="5680" w:val="left"/>
        </w:tabs>
        <w:rPr>
          <w:sz w:val="20"/>
          <w:szCs w:val="20"/>
          <w:color w:val="auto"/>
        </w:rPr>
      </w:pPr>
      <w:r>
        <w:rPr>
          <w:rFonts w:ascii="Times New Roman" w:cs="Times New Roman" w:eastAsia="Times New Roman" w:hAnsi="Times New Roman"/>
          <w:sz w:val="18"/>
          <w:szCs w:val="18"/>
          <w:color w:val="auto"/>
        </w:rPr>
        <w:t>Date:</w:t>
        <w:tab/>
        <w:t>April 28, 2025</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43180</wp:posOffset>
            </wp:positionV>
            <wp:extent cx="35572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8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Peter S. Ho</w:t>
      </w:r>
    </w:p>
    <w:p>
      <w:pPr>
        <w:spacing w:after="0" w:line="7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Y. Shigemura, certify that:</w:t>
      </w:r>
    </w:p>
    <w:p>
      <w:pPr>
        <w:spacing w:after="0" w:line="158"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4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9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0"/>
        <w:spacing w:after="0"/>
        <w:tabs>
          <w:tab w:leader="none" w:pos="720" w:val="left"/>
          <w:tab w:leader="none" w:pos="5680" w:val="left"/>
        </w:tabs>
        <w:rPr>
          <w:sz w:val="20"/>
          <w:szCs w:val="20"/>
          <w:color w:val="auto"/>
        </w:rPr>
      </w:pPr>
      <w:r>
        <w:rPr>
          <w:rFonts w:ascii="Times New Roman" w:cs="Times New Roman" w:eastAsia="Times New Roman" w:hAnsi="Times New Roman"/>
          <w:sz w:val="18"/>
          <w:szCs w:val="18"/>
          <w:color w:val="auto"/>
        </w:rPr>
        <w:t>Date:</w:t>
        <w:tab/>
        <w:t>April 28, 2025</w:t>
      </w:r>
      <w:r>
        <w:rPr>
          <w:sz w:val="20"/>
          <w:szCs w:val="20"/>
          <w:color w:val="auto"/>
        </w:rPr>
        <w:tab/>
      </w:r>
      <w:r>
        <w:rPr>
          <w:rFonts w:ascii="Times New Roman" w:cs="Times New Roman" w:eastAsia="Times New Roman" w:hAnsi="Times New Roman"/>
          <w:sz w:val="17"/>
          <w:szCs w:val="17"/>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43180</wp:posOffset>
            </wp:positionV>
            <wp:extent cx="35572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8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Dean Y. Shigemura</w:t>
      </w:r>
    </w:p>
    <w:p>
      <w:pPr>
        <w:spacing w:after="0" w:line="7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1316355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Peter S. Ho, Chief Executive Officer, and I, Dean Y. Shigemura, Chief Financial Officer, of Bank of Hawaii Corporation (the “Company”), hereby certify that the Company's Quarterly Report on Form 10-Q for the quarter ended March 31, 2025 (the “Report”):</w:t>
      </w:r>
    </w:p>
    <w:p>
      <w:pPr>
        <w:sectPr>
          <w:pgSz w:w="11900" w:h="16838" w:orient="portrait"/>
          <w:cols w:equalWidth="0" w:num="1">
            <w:col w:w="11240"/>
          </w:cols>
          <w:pgMar w:left="320" w:top="981" w:right="339" w:bottom="1440" w:gutter="0" w:footer="0" w:header="0"/>
        </w:sectPr>
      </w:pP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fully complies with the requirements of Section 13(a) or 15(d), as applicable, of the Securities Exchange Act of 1934, as amended; and</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April 28, 2025</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43180</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Peter S. Ho</w:t>
      </w:r>
    </w:p>
    <w:p>
      <w:pPr>
        <w:spacing w:after="0" w:line="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43180</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Dean Y. Shigemura</w:t>
      </w:r>
    </w:p>
    <w:p>
      <w:pPr>
        <w:spacing w:after="0" w:line="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1410335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0" w:space="240"/>
            <w:col w:w="10560"/>
          </w:cols>
          <w:pgMar w:left="320" w:top="981" w:right="339" w:bottom="1440" w:gutter="0" w:footer="0" w:header="0"/>
          <w:type w:val="continuous"/>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bullet"/>
      <w:start w:val="1"/>
    </w:lvl>
  </w:abstractNum>
  <w:abstractNum w:abstractNumId="13">
    <w:nsid w:val="75A2A8D4"/>
    <w:multiLevelType w:val="hybridMultilevel"/>
    <w:lvl w:ilvl="0">
      <w:lvlJc w:val="left"/>
      <w:lvlText w:val="2"/>
      <w:numFmt w:val="bullet"/>
      <w:start w:val="1"/>
    </w:lvl>
  </w:abstractNum>
  <w:abstractNum w:abstractNumId="14">
    <w:nsid w:val="8EDBDAB"/>
    <w:multiLevelType w:val="hybridMultilevel"/>
    <w:lvl w:ilvl="0">
      <w:lvlJc w:val="left"/>
      <w:lvlText w:val="1"/>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bullet"/>
      <w:start w:val="1"/>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2"/>
      <w:numFmt w:val="bullet"/>
      <w:start w:val="1"/>
    </w:lvl>
  </w:abstractNum>
  <w:abstractNum w:abstractNumId="25">
    <w:nsid w:val="8138641"/>
    <w:multiLevelType w:val="hybridMultilevel"/>
    <w:lvl w:ilvl="0">
      <w:lvlJc w:val="left"/>
      <w:lvlText w:val="1"/>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bullet"/>
      <w:start w:val="1"/>
    </w:lvl>
  </w:abstractNum>
  <w:abstractNum w:abstractNumId="29">
    <w:nsid w:val="6CEAF087"/>
    <w:multiLevelType w:val="hybridMultilevel"/>
    <w:lvl w:ilvl="0">
      <w:lvlJc w:val="left"/>
      <w:lvlText w:val="2"/>
      <w:numFmt w:val="bullet"/>
      <w:start w:val="1"/>
    </w:lvl>
  </w:abstractNum>
  <w:abstractNum w:abstractNumId="30">
    <w:nsid w:val="22221A70"/>
    <w:multiLevelType w:val="hybridMultilevel"/>
    <w:lvl w:ilvl="0">
      <w:lvlJc w:val="left"/>
      <w:lvlText w:val="%1"/>
      <w:numFmt w:val="decimal"/>
      <w:start w:val="32"/>
    </w:lvl>
  </w:abstractNum>
  <w:abstractNum w:abstractNumId="31">
    <w:nsid w:val="4516DDE9"/>
    <w:multiLevelType w:val="hybridMultilevel"/>
    <w:lvl w:ilvl="0">
      <w:lvlJc w:val="left"/>
      <w:lvlText w:val="%1"/>
      <w:numFmt w:val="decimal"/>
      <w:start w:val="104"/>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87" Type="http://schemas.openxmlformats.org/officeDocument/2006/relationships/hyperlink" Target="https://www.sec.gov/Archives/edgar/data/0000046195/000104746906002592/a2167652zex-3_1.htm" TargetMode="External"/><Relationship Id="rId88" Type="http://schemas.openxmlformats.org/officeDocument/2006/relationships/hyperlink" Target="https://www.sec.gov/Archives/edgar/data/0000046195/000110465908028414/a08-13016_1ex3d1.htm" TargetMode="External"/><Relationship Id="rId89" Type="http://schemas.openxmlformats.org/officeDocument/2006/relationships/hyperlink" Target="https://www.sec.gov/Archives/edgar/data/0000046195/000119312521191143/d184114dex31.htm" TargetMode="External"/><Relationship Id="rId90" Type="http://schemas.openxmlformats.org/officeDocument/2006/relationships/hyperlink" Target="https://www.sec.gov/Archives/edgar/data/46195/000119312524165835/d831633dex31.htm" TargetMode="External"/><Relationship Id="rId91" Type="http://schemas.openxmlformats.org/officeDocument/2006/relationships/hyperlink" Target="https://www.sec.gov/Archives/edgar/data/46195/000156459020054889/boh-ex32_6.htm" TargetMode="External"/><Relationship Id="rId92" Type="http://schemas.openxmlformats.org/officeDocument/2006/relationships/hyperlink" Target="https://www.sec.gov/Archives/edgar/data/0000046195/000119312521191143/d184114dex41.htm" TargetMode="External"/><Relationship Id="rId93" Type="http://schemas.openxmlformats.org/officeDocument/2006/relationships/hyperlink" Target="https://www.sec.gov/Archives/edgar/data/0000046195/000119312524165835/d83163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2025-04-29T05:22:53Z</dcterms:created>
  <dcterms:modified xsi:type="dcterms:W3CDTF">2025-04-29T05:22:53Z</dcterms:modified>
</cp:coreProperties>
</file>