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7"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130 Merchant Street, Honolulu, Hawaii</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Arial" w:cs="Arial" w:eastAsia="Arial" w:hAnsi="Arial"/>
                <w:sz w:val="18"/>
                <w:szCs w:val="18"/>
                <w:b w:val="1"/>
                <w:bCs w:val="1"/>
                <w:color w:val="auto"/>
              </w:rPr>
              <w:t>1-888-643-3888</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8" w:right="239" w:bottom="1440" w:gutter="0" w:footer="0" w:header="0"/>
          <w:type w:val="continuous"/>
        </w:sectPr>
      </w:pPr>
    </w:p>
    <w:p>
      <w:pPr>
        <w:spacing w:after="0" w:line="1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July 17, 2018, there were 42,031,229 shares of common stock outstanding.</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June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2018 and December 31,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and six months ended June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880" w:type="dxa"/>
            <w:vAlign w:val="bottom"/>
            <w:gridSpan w:val="3"/>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794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3.</w:t>
              </w:r>
            </w:hyperlink>
          </w:p>
        </w:tc>
        <w:tc>
          <w:tcPr>
            <w:tcW w:w="7940" w:type="dxa"/>
            <w:vAlign w:val="bottom"/>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3600" w:type="dxa"/>
            <w:vAlign w:val="bottom"/>
            <w:tcBorders>
              <w:left w:val="single" w:sz="8" w:color="0000EE"/>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4.</w:t>
              </w:r>
            </w:hyperlink>
          </w:p>
        </w:tc>
        <w:tc>
          <w:tcPr>
            <w:tcW w:w="7940" w:type="dxa"/>
            <w:vAlign w:val="bottom"/>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90">
              <w:r>
                <w:rPr>
                  <w:rFonts w:ascii="Arial" w:cs="Arial" w:eastAsia="Arial" w:hAnsi="Arial"/>
                  <w:sz w:val="18"/>
                  <w:szCs w:val="18"/>
                  <w:b w:val="1"/>
                  <w:bCs w:val="1"/>
                  <w:color w:val="0000EE"/>
                  <w:w w:val="96"/>
                </w:rPr>
                <w:t>Part II - Other Information</w:t>
              </w:r>
            </w:hyperlink>
          </w:p>
        </w:tc>
        <w:tc>
          <w:tcPr>
            <w:tcW w:w="728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6.</w:t>
              </w:r>
            </w:hyperlink>
          </w:p>
        </w:tc>
        <w:tc>
          <w:tcPr>
            <w:tcW w:w="794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85</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6"/>
          </w:tcPr>
          <w:p>
            <w:pPr>
              <w:ind w:left="4160"/>
              <w:spacing w:after="0"/>
              <w:rPr>
                <w:sz w:val="20"/>
                <w:szCs w:val="20"/>
                <w:color w:val="auto"/>
              </w:rPr>
            </w:pPr>
            <w:r>
              <w:rPr>
                <w:rFonts w:ascii="Arial" w:cs="Arial" w:eastAsia="Arial" w:hAnsi="Arial"/>
                <w:sz w:val="18"/>
                <w:szCs w:val="18"/>
                <w:color w:val="auto"/>
              </w:rPr>
              <w:t>1</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101,311</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90,909</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198,945</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178,846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12,380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11,835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24,521</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22,919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20,711</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42,007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39,624</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1,603</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341</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641</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135,585</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123,568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267,731</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243,420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9,459</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17,040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4,617</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5,079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9,181</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10,264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917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1,893</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15,089</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11,289</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28,279</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21,269</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120,496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239,452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222,151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3,500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4,250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7,625</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8,650</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116,996</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108,029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231,827</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213,501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11,356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22,537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2,179</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4,324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7,119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6,865</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13,994</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16,334</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14,400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28,733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27,297</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(1,702)</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(2,368)</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11,613</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1,847</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2,161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3,053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4,156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1,796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3,638</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4,557</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4,456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11,422</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8,311</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41,298</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45,236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85,333</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101,152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52,148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106,570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100,841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8,588</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17,122</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16,299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5,845</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11,372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4,563</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8,454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7,291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2,546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5,319</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2,182</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2,097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4,339</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4,306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14,919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31,999</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90,791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88,189</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185,175</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176,757</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67,503</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131,985</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137,896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12,785</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20,414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23,227</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42,058</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54,718</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44,662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108,758</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95,838</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2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1.31</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2.59</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2.57</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0.60</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1.12</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41,884,221</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42,353,976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41,960,743</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42,379,730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42,152,200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42,658,885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42,252,900</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42,704,010</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67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67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8"/>
                <w:szCs w:val="18"/>
                <w:color w:val="auto"/>
              </w:rPr>
            </w:pPr>
          </w:p>
        </w:tc>
      </w:tr>
      <w:tr>
        <w:trPr>
          <w:trHeight w:val="270"/>
        </w:trPr>
        <w:tc>
          <w:tcPr>
            <w:tcW w:w="5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54,718</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108,758</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95,838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(2,974)</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(12,095)</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216</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432</w:t>
            </w:r>
          </w:p>
        </w:tc>
        <w:tc>
          <w:tcPr>
            <w:tcW w:w="7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293</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(2,758)</w:t>
            </w:r>
          </w:p>
        </w:tc>
        <w:tc>
          <w:tcPr>
            <w:tcW w:w="8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(11,663)</w:t>
            </w:r>
          </w:p>
        </w:tc>
        <w:tc>
          <w:tcPr>
            <w:tcW w:w="7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51,960</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47,915</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97,095</w:t>
            </w:r>
          </w:p>
        </w:tc>
        <w:tc>
          <w:tcPr>
            <w:tcW w:w="7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104,131</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3,524</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3,421</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361,933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181,413</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2,092,870</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Held-to-Maturity (Fair Value of $3,500,497 and $3,894,121)</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3,595,891</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3,928,170</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16,025</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10,053,323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(108,188)</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(107,346)</w:t>
            </w:r>
          </w:p>
        </w:tc>
      </w:tr>
      <w:tr>
        <w:trPr>
          <w:trHeight w:val="231"/>
        </w:trPr>
        <w:tc>
          <w:tcPr>
            <w:tcW w:w="58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9,945,135</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9,689,601</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16,015,378</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16,054,815</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312,303</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263,017</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142,791</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Accrued Interest Receivable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50,594</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50,485</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Foreclosed Real Estate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24,583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24,622</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31,517</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281,018</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280,034</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263,052</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252,596</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17,124,162</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17,089,052</w:t>
            </w:r>
          </w:p>
        </w:tc>
      </w:tr>
      <w:tr>
        <w:trPr>
          <w:trHeight w:val="73"/>
        </w:trPr>
        <w:tc>
          <w:tcPr>
            <w:tcW w:w="5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64"/>
        </w:trPr>
        <w:tc>
          <w:tcPr>
            <w:tcW w:w="588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Noninterest-Bearing Demand</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4,729,203</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4,724,300</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Interest-Bearing Demand</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3,111,069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3,082,563</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Savings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5,389,763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5,389,013</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1,713,323</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1,688,092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Deposits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14,943,358</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330</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504,193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505,293</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235,681</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36,730</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37,312</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7,395</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15,136</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24,009</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133,622</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138,940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15,876,445</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15,857,184</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5880" w:type="dxa"/>
            <w:vAlign w:val="bottom"/>
          </w:tcPr>
          <w:p>
            <w:pPr>
              <w:ind w:left="40"/>
              <w:spacing w:after="0"/>
              <w:rPr>
                <w:sz w:val="20"/>
                <w:szCs w:val="20"/>
                <w:color w:val="auto"/>
              </w:rPr>
            </w:pPr>
            <w:r>
              <w:rPr>
                <w:rFonts w:ascii="Arial" w:cs="Arial" w:eastAsia="Arial" w:hAnsi="Arial"/>
                <w:sz w:val="16"/>
                <w:szCs w:val="16"/>
                <w:color w:val="auto"/>
              </w:rPr>
              <w:t>issued / outstanding: June 30, 2018 - 58,070,285 / 42,084,066</w:t>
            </w:r>
          </w:p>
        </w:tc>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2017 - 57,959,074 / 42,401,443)</w:t>
            </w:r>
          </w:p>
        </w:tc>
        <w:tc>
          <w:tcPr>
            <w:tcW w:w="222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577</w:t>
            </w:r>
          </w:p>
        </w:tc>
        <w:tc>
          <w:tcPr>
            <w:tcW w:w="5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566,436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561,161</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(53,855)</w:t>
            </w:r>
          </w:p>
        </w:tc>
        <w:tc>
          <w:tcPr>
            <w:tcW w:w="5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1,581,168</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1,512,218</w:t>
            </w: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Treasury Stock, at Cost (Shares: June 30, 2018 - 15,986,219</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2017 - 15,557,631)</w:t>
            </w:r>
          </w:p>
        </w:tc>
        <w:tc>
          <w:tcPr>
            <w:tcW w:w="222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(846,609)</w:t>
            </w: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(807,372)</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1,247,717</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1,231,868</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17,124,162</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17,089,052</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30" w:right="239" w:bottom="1440" w:gutter="0" w:footer="0" w:header="0"/>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679"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42,401,443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561,161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1,512,218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108,758</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108,758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(11,663)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(11,663)</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7,477</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4,055</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4,055</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under Purchase and Equity</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179,644</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1,220</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2,992</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4,379</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(497,021)</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(42,229)</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(42,229)</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Dividends Declared ($1.12 per share)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(47,451)</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(47,451)</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June 30, 2018</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42,084,066</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566,436</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(53,855)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1,581,168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(846,609)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1,247,717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42,635,978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551,628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(33,906)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1,415,440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(772,201)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1,161,537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95,838</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95,838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8,293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8,293</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3,726</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275,605</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(255,629)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(21,287)</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(21,287)</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($1.00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(42,788)</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(42,788)</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2017</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42,655,954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556,409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(25,613)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1,468,328</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(785,943)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1,213,757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Pr>
          <w:p>
            <w:pPr>
              <w:spacing w:after="0"/>
              <w:rPr>
                <w:sz w:val="18"/>
                <w:szCs w:val="18"/>
                <w:color w:val="auto"/>
              </w:rPr>
            </w:pPr>
          </w:p>
        </w:tc>
      </w:tr>
      <w:tr>
        <w:trPr>
          <w:trHeight w:val="257"/>
        </w:trPr>
        <w:tc>
          <w:tcPr>
            <w:tcW w:w="8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2"/>
                <w:szCs w:val="22"/>
                <w:color w:val="auto"/>
              </w:rPr>
            </w:pPr>
          </w:p>
        </w:tc>
      </w:tr>
      <w:tr>
        <w:trPr>
          <w:trHeight w:val="33"/>
        </w:trPr>
        <w:tc>
          <w:tcPr>
            <w:tcW w:w="8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7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spacing w:after="0"/>
              <w:rPr>
                <w:sz w:val="23"/>
                <w:szCs w:val="23"/>
                <w:color w:val="auto"/>
              </w:rPr>
            </w:pPr>
          </w:p>
        </w:tc>
        <w:tc>
          <w:tcPr>
            <w:tcW w:w="78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spacing w:after="0"/>
              <w:rPr>
                <w:sz w:val="23"/>
                <w:szCs w:val="23"/>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108,758</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95,838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7,625</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8,650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6,788</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6,565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(292)</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17,632</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20,027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4,055</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3,726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Benefit Plan Contributions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(798)</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(741)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(2,496)</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3,635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(1,070)</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(3,971)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2,368</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(11,613)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152,004</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146,478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(148,513)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(150,414)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949</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2,077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(18,529)</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(21,803)</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128,481</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97,919</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209,572</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203,177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(99,254)</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(320,170)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Investment Securities Held-to-Maturity:</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425,043</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406,904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(99,415)</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(365,498)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(264,304)</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(508,529)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Sales of Loans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112,357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Premises and Equipment, Net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(18,652)</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(12,629)</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152,990</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(484,388)</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Deposits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59,390</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464,409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Change in Short-Term Borrowings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(770)</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(27,702)</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4,498</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8,457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(42,229)</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(21,287)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Dividends Paid</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(47,451)</w:t>
            </w:r>
          </w:p>
        </w:tc>
        <w:tc>
          <w:tcPr>
            <w:tcW w:w="78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(42,788)</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(51,562)</w:t>
            </w: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381,089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82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229,909</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447,851</w:t>
            </w:r>
          </w:p>
        </w:tc>
        <w:tc>
          <w:tcPr>
            <w:tcW w:w="78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879,607</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677,760</w:t>
            </w:r>
          </w:p>
        </w:tc>
        <w:tc>
          <w:tcPr>
            <w:tcW w:w="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874,227</w:t>
            </w:r>
          </w:p>
        </w:tc>
      </w:tr>
      <w:tr>
        <w:trPr>
          <w:trHeight w:val="73"/>
        </w:trPr>
        <w:tc>
          <w:tcPr>
            <w:tcW w:w="8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31"/>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shd w:val="clear" w:color="auto" w:fill="BFE4FF"/>
          </w:tcPr>
          <w:p>
            <w:pPr>
              <w:spacing w:after="0"/>
              <w:rPr>
                <w:sz w:val="20"/>
                <w:szCs w:val="20"/>
                <w:color w:val="auto"/>
              </w:rPr>
            </w:pPr>
          </w:p>
        </w:tc>
        <w:tc>
          <w:tcPr>
            <w:tcW w:w="820" w:type="dxa"/>
            <w:vAlign w:val="bottom"/>
            <w:tcBorders>
              <w:bottom w:val="single" w:sz="8" w:color="BFE4FF"/>
            </w:tcBorders>
            <w:shd w:val="clear" w:color="auto" w:fill="BFE4FF"/>
          </w:tcPr>
          <w:p>
            <w:pPr>
              <w:spacing w:after="0"/>
              <w:rPr>
                <w:sz w:val="20"/>
                <w:szCs w:val="20"/>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27,830</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21,498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Paid for Income Taxes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24,487</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32,058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Non-Cash 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2,307</w:t>
            </w:r>
          </w:p>
        </w:tc>
        <w:tc>
          <w:tcPr>
            <w:tcW w:w="7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2,207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Transfers from Loans to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62,727</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462"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462"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$13.8 million and $17.5 million as of June 30, 2018 and December 31, 2017,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$82.9 million and $87.6 million as of June 30, 2018 and December 31, 2017,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Public law No. 115-97, known as the Tax Cuts and Jobs Act (the "Tax Act"), enacted on December 22, 2017, reduced the U.S. federal corporate tax rate from 35% to 21% effective January 1, 2018. Also on December 22, 2017, the Securities and Exchange Commission issued Staff Accounting Bulletin No. 118 (“SAB 118”), which provides guidance on accounting for tax effects of the Tax Act. SAB 118 provides a measurement period of up to one year from the enactment date to complete the accounting. Any adjustments during this measurement period will be included in net earnings from continuing operations as an adjustment to income tax expense in the reporting period when such adjustments are determined. Based on the information available and current interpretation of the rules, the Company estimated the impact of the reduction in the corporate tax rate and remeasurement of certain deferred tax assets and liabilities. The provisional amount recorded in the fourth quarter of 2017 related to the remeasurement of the Company's deferred tax balance resulted in additional income tax expense of $3.6 million. An additional $0.1 million was expensed in the first quarter of 2018 due to the remeasurement of the Company’s deferred tax balance. In addition, during the first quarter of 2018, the Company recorded a $2.0 million basis adjustment on its low income housing partnership investments, which consequently reduced income tax expense by the same amount. The final impact of the Tax Act may differ from these estimates as a result of changes in management’s interpretations and assumptions, as well as new guidance that may be issued by the Internal Revenue Service.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Subsequent to the issuance of ASU 2014-09, the FASB issued targeted updates to clarify specific implementation issues including ASU No. 2016-08, </w:t>
      </w:r>
      <w:r>
        <w:rPr>
          <w:rFonts w:ascii="Arial" w:cs="Arial" w:eastAsia="Arial" w:hAnsi="Arial"/>
          <w:sz w:val="17"/>
          <w:szCs w:val="17"/>
          <w:i w:val="1"/>
          <w:iCs w:val="1"/>
          <w:color w:val="auto"/>
        </w:rPr>
        <w:t>“Principal versus Agent Considerations (Reporting Revenue Gross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purposes, the standard allows for either full retrospective adoption, meaning the standard is applied to all of the periods presented, or modified retrospective adoption, meaning the standard is applied only to the most current period presented in the financial statements with the cumulative effect of initially applying the standard recognized at the date of initial application. Since the guidance does not apply to revenue associated with financial instruments, including loans and securities that are accounted for under other GAAP, the new guidance did not have a material impact on revenue most closely associated with financial instruments, including interest income and expense. The Company completed its overall assessment of revenue streams and review of related contracts potentially affected by the ASU, including trust and asset management fees, deposit related fees, interchange fees, merchant income, and annuity and insurance commissions. Based on this assessment, the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Company concluded that ASU 2014-09 did not materially change the method in which the Company currently recognizes revenue for these revenue streams. The Company also completed its evaluation of certain costs related to these revenue streams to determine whether such costs should be presented as expenses or contra-revenue (i.e., gross vs. net). Based on its evaluation, the Company determined that the classification of certain debit and credit card related costs should change (i.e., costs previously recorded as expense is now recorded as contra-revenue, and vice versa). These classification changes resulted in immaterial changes to both revenue and expense. The Company also determined that certain costs related to ATMs should be recorded as an expense rather than a reduction of revenue. This change did not have a material effect to noninterest income or expense. The Company adopted ASU 2014-09 and its related amendments on its required effective date of January 1, 2018 utilizing the modified retrospective approach. Since there was no net income impact upon adoption of the new guidance, a cumulative effect adjustment to opening retained earnings was not deemed necessary. Consistent with the modified retrospective approach, the Company did not adjust prior period amounts for the debit and credit card costs and the ATM costs reclassifications noted above. See Note 15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The Company’s adoption of ASU No. 2016-01 on January 1, 2018 did not have a material impact on the Company’s Consolidated Financial Statements. In accordance with (5) above, the Company measured the fair value of its loan portfolio as of June 30, 2018 using an exit price notion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w:t>
      </w:r>
    </w:p>
    <w:p>
      <w:pPr>
        <w:spacing w:after="0" w:line="1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At the time, GAAP was unclear or did not include specific guidance on how to classify certain transactions in the statement of cash flows. This ASU is intended to reduce diversity in practice in how eight particular transactions are classified in the statement of cash flows. ASU No. 2016-15 was effective for interim and annual reporting periods beginning after December 15, 2017. Entities were required to apply the guidance retrospectively. If it is impracticable to apply the guidance retrospectively for an issue, the amendments related to that issue would be applied prospectively. The Company adopted ASU No. 2016-15 on January 1, 2018. ASU No. 2016-15 did not have a material impact on the Company’s Consolidated Financial Statements.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Under the new guidance, employers are required to present the service cost component of the net periodic benefit cost in the same income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(e.g., Salaries and Benefits) as other employee compensation costs arising from services rendered during the period. In addition, only the service cost component will be eligible for capitalization in assets. Employers will present the other components of net periodic benefit cost separately (e.g., Other Noninterest Expense) from the line item that includes the service cost. ASU No. 2017-07 became effective for interim and annual reporting periods beginning after December 15, 2017.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adopted ASU No. 2017-07 on January 1, 2018 and utilized the ASU’s practical expedient allowing entities to estimate amounts for comparative periods using the information previously disclosed in their pension and other postretirement benefit plan footnote. ASU No. 2017-07 did not have a material impact on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This ASU allows a reclassification from accumulated other comprehensive income (“AOCI”) to retained earnings for certain income tax effects stranded in AOCI as a result of the Tax Act. Consequently, the reclassification eliminates the stranded tax effects resulting from the Tax Act and is intended to improve the usefulness of information reported to financial statement users. However, because the ASU only relates to the reclassification of the income tax effects of the Tax Act, the underlying guidance that requires the effect of a change in tax laws or rates to be included in income from continuing operations is not affected. ASU No. 2018-02 is effective for the Company's reporting period beginning on January 1, 2019; early adoption is permitted. The Company elected to early adopt ASU No. 2018-02 during the first quarter of 2018, and elected to reclassify the income tax effects of the Tax Act from AOCI to retained earnings. The reclassification decreased AOCI and increased retained earnings by $7.5 million, with zero net effect on total shareholders’ equity. The Company utilizes the individual securities approach when releasing income tax effects from AOCI for its investment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early adoption is permitted. All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has several lease agreements, such as branch locations, which are currently considered operating leases, and therefore, not recognized on the Company’s consolidated statements of condition. The Company expects the new guidance will require these lease agreements to be recognized on the consolidated statements of condition as a right-of-use asset and a corresponding lease liability. Therefore, the Company’s preliminary evaluation indicates the provisions of ASU No. 2016-02 are expected to impact the Company’s consolidated statements of condition, along with the Company’s regulatory capital ratios. However, the Company continues to evaluate the extent of potential impact the new guidance will have on the Company’s Consolidated Financial Statements. The Company is nearing completion of identifying a complete inventory of arrangements containing a lease and accumulating the lease data necessary to apply the amended guidance. In addition, the Company purchased new software to aid in the transition to the new leasing guidance, and the majority of the Company’s leases have been entered into this new leasing software program.</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key tasks to complete, and a general timeline to be followed. The team meets periodically to discuss the latest developments and ensure progress is being made. The team also keeps current on evolving interpretations and industry practices related to ASU 2016-13 via webcasts, publications, conferences, and peer bank meetings. The team is currently working with an advisory consultant in reviewing and validating the possible methodologies the Company can consider for CECL before determining the specific methodologies that will be utilized. The Company’s preliminary evaluation indicates the provisions of ASU No. 2016-13 are expected to impact the Company’s Consolidated Financial Statements, in particular the level of the reserve for credit losses. The Company is continuing to evaluate the extent of the potential impact.</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 does not utilize hedge accounting. However, the Company is currently evaluating this ASU to determine whether its provisions will enhance the Company’s ability to employ risk management strategies, while improving the transparency and understanding of those strategies for financial statement users.</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130" w:right="39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280" w:type="dxa"/>
            <w:vAlign w:val="bottom"/>
          </w:tcPr>
          <w:p>
            <w:pPr>
              <w:jc w:val="right"/>
              <w:ind w:right="54"/>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312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3,524</w:t>
            </w: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w:t>
            </w:r>
          </w:p>
        </w:tc>
      </w:tr>
      <w:tr>
        <w:trPr>
          <w:trHeight w:val="243"/>
        </w:trPr>
        <w:tc>
          <w:tcPr>
            <w:tcW w:w="538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12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361,933</w:t>
            </w:r>
          </w:p>
        </w:tc>
        <w:tc>
          <w:tcPr>
            <w:tcW w:w="4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181,413</w:t>
            </w:r>
          </w:p>
        </w:tc>
      </w:tr>
      <w:tr>
        <w:trPr>
          <w:trHeight w:val="27"/>
        </w:trPr>
        <w:tc>
          <w:tcPr>
            <w:tcW w:w="5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312,303</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263,017</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3120" w:type="dxa"/>
            <w:vAlign w:val="bottom"/>
            <w:tcBorders>
              <w:top w:val="single" w:sz="8" w:color="auto"/>
            </w:tcBorders>
          </w:tcPr>
          <w:p>
            <w:pPr>
              <w:ind w:left="266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6"/>
                <w:szCs w:val="16"/>
                <w:color w:val="auto"/>
              </w:rPr>
              <w:t>677,760</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447,851</w:t>
            </w:r>
          </w:p>
        </w:tc>
      </w:tr>
      <w:tr>
        <w:trPr>
          <w:trHeight w:val="33"/>
        </w:trPr>
        <w:tc>
          <w:tcPr>
            <w:tcW w:w="53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June 30, 2018 and December 31, 2017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446,766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444,712</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587,160</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6,655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(1,214)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592,601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224,997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223,777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209,624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2,180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210,696</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579,602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383</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(20,117)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559,868</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65,565</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(4,349)</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61,216</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854,791</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2,563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(25,574)</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831,780</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2,113,714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9,875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(30,719)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2,092,870</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364,604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362,781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236,567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7,400</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243,967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104,955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101,978</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2,003,782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4,976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(70,085)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1,938,673</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701,326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273</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(26,872)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674,727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184,657</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(6,331)</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178,371</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2,889,765</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5,294</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(103,288)</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2,791,771</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3,595,891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12,695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(108,089)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3,500,497</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424,912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2,053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425,930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618,167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9,894</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(1,042)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627,019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268,003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233,268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3,129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235,360</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619,795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(10,403)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609,812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71,999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68,747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925,062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3,549</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(14,692)</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913,919</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2,236,144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15,695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(18,860)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375,074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373,641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238,504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9,125</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247,629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119,635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118,167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2,229,985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9,975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(37,047)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2,202,913</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763,312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(11,255)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752,968</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201,660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(3,654)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198,803</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3,194,957</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11,683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(51,956)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3,154,684</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3,928,170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20,949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(54,998)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3,894,121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June 30, 2018.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46,250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46,201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628,271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628,659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115,193</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118,197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22,994</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23,856</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812,708</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816,913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446,215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444,177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209,624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210,696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579,602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559,868</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65,565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61,216</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854,791</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831,780</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2,113,714</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2,092,870</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244,843</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244,173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209,721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210,339</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234,444</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236,128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17,118</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18,086</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706,126</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708,726</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2,003,782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1,938,673</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701,326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674,727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184,657</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178,371</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2,889,765</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2,791,771</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3,595,891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3,500,497</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securities with carrying values of $2.3 billion and $2.4 billion as of June 30, 2018 and December 31, 2017,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three and six months ended June 30,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Pr>
          <w:p>
            <w:pPr>
              <w:spacing w:after="0"/>
              <w:rPr>
                <w:sz w:val="17"/>
                <w:szCs w:val="17"/>
                <w:color w:val="auto"/>
              </w:rPr>
            </w:pPr>
          </w:p>
        </w:tc>
      </w:tr>
      <w:tr>
        <w:trPr>
          <w:trHeight w:val="210"/>
        </w:trPr>
        <w:tc>
          <w:tcPr>
            <w:tcW w:w="5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12,467</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(1,702)</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(2,368)</w:t>
            </w:r>
          </w:p>
        </w:tc>
        <w:tc>
          <w:tcPr>
            <w:tcW w:w="7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(854)</w:t>
            </w:r>
          </w:p>
        </w:tc>
      </w:tr>
      <w:tr>
        <w:trPr>
          <w:trHeight w:val="33"/>
        </w:trPr>
        <w:tc>
          <w:tcPr>
            <w:tcW w:w="5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(1,702)</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(2,368)</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11,613</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losses during the three and six months ended June 30, 2018 were due to fees paid to the counterparties of the Company’s prior Visa Class B share sale transactions combined with a $1.0 million liability related to a change in the Visa Class B conversion ratio. The losses during the three and six months ended June 30, 2017 were due to fees paid to the counterparties of the Company’s prior Visa Class B share sale transactions.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230,073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142,480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372,553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199,140</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677</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199,817</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24,725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163,972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188,697</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8,510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18,042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26,552</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344,981</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(10,255)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191,811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536,792</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(20,117)</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61,216</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61,216</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353,491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271,069</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624,560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807,429</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(13,175)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578,198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1,385,627</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273,578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69,214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342,792</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54,449</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47,529</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101,978</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988,147</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(31,731)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684,927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1,673,074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(70,085)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364,248</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304,212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668,460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95,460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76,595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172,055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1,447,855</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(44,583)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1,065,734</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(58,705)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2,513,589</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(103,288)</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1,775,882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(46,409)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1,182,477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(61,680)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2,958,359</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103,842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132,071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235,913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172,343</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173,077</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12,985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192,927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205,912</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11,035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10,618</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21,653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429,342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150,887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580,229</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68,747</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68,747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440,377</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(5,724)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230,252</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670,629</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(14,692)</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729,547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(7,370)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555,984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1,285,531</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254,283</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89,391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343,674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25,490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58,869</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84,359</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1,030,472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704,545</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1,735,017</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(37,047)</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293,530</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339,232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632,762</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82,288</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82,785</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1,324,499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1,126,065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2,450,564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1,604,272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(16,015)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1,274,325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2,878,597</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does not believe that the investment securities that were in an unrealized loss position as of June 30, 2018, which were comprised of 468 securities, represent an other-than-temporary impairment. Total gross unrealized losses were primarily attributable to changes in interest rates, relative to when the investment securities were purchased, and not due to the credit quality of the investment securities. As of June 30, 2018 and December 31, 2017,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from taxable and non-taxable investment securities for the three and six months ended June 30, 2018 and 2017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28,405</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26,741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57,076</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52,508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4,686</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5,012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9,452</w:t>
            </w:r>
          </w:p>
        </w:tc>
        <w:tc>
          <w:tcPr>
            <w:tcW w:w="8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10,035</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33,091</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66,528</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62,543</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2018, included in the Company’s investment securities portfolio were debt securities issued by political subdivisions within the State of Hawaii of $478.1 million, representing 57% of the total fair value of the Company’s municipal debt securities. Of the entire Hawaii municipal bond portfolio, 94% were credit-rated Aa2 or better by Moody’s while the remaining Hawaii municipal bonds were credit-rated A1 or better by at least one nationally recognized statistical rating organization. Of the Company’s total Hawaii municipal bond holdings, 78% were general obligation issuances. As of June 30, 2018, there were no other holdings of municipal debt securities that were issued by a single state or political subdivision which comprised more than 10% of the total fair value of the Company’s municipal debt securities.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2018 and December 31, 2017,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5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20,796</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20,645</w:t>
            </w:r>
          </w:p>
        </w:tc>
      </w:tr>
      <w:tr>
        <w:trPr>
          <w:trHeight w:val="33"/>
        </w:trPr>
        <w:tc>
          <w:tcPr>
            <w:tcW w:w="5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39,796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June 30, 2018, the conversion ratio was 1.6298. See Note 12 </w:t>
      </w: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(135,296 Class A equivalents) that the Company owns as of June 30, 2018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June 30,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1,282,967</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2,169,357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185,350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178,598</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3,816,272</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3,548,444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1,622,314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592,705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473,588</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6,237,051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10,053,323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Net gains related to sales of residential mortgage loans, recorded as a component of mortgage banking income were $0.5 million and $1.8 million for the three months ended June 30, 2018 and 2017, respectively, and $0.8 million and $3.2 million for the six months ended June 30, 2018 and 2017,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and six months ended June 30, 2018 and 2017. The following also presents by portfolio segment, the balance in the Allowance disaggregated on the basis of the Company’s impairment measurement method and the related recorded investment in loans and leases as of June 30, 2018 and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June 30,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43,828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107,938</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(485)</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(5,176)</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2,045</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2,411</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(119)</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(3,131)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(3,250)</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(279)</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3,779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108,188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Six Months Ended June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(691)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(10,958)</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(11,649)</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4,172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4,866</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(6,786)</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(6,783)</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(2,113)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9,738</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108,188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 of June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3,827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63,612</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40,649</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104,261</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12,184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41,981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54,165</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3,804,088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6,195,070</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9,999,158</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3,816,272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6,237,051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10,053,323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66,893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38,171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105,064</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(5,363)</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(5,487)</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266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2,260</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142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(3,103)</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5,103</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40,171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106,353</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65,680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38,593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(10,893)</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(11,191)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602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4,621</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304</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(6,874)</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(6,570)</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8,452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40,171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106,353</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2017</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3,792</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3,837</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66,137</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36,379</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102,516</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40,171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106,353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20,197</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38,528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58,725</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3,684,715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5,644,173</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9,328,888</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3,704,912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5,682,701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9,387,613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368" w:right="1440"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30" w:right="25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June 30,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 2018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1,239,719</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2,116,370</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177,800</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3,715,981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31,290</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37,903</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69,666</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11,958</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3,258</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30,625</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1,282,967</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2,169,357</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185,350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178,598</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3,816,272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3,541,722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1,617,621</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592,030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472,918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6,224,291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6,722</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4,693</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675</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670</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12,760</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3,548,444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1,622,314</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592,705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473,588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6,237,051</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10,053,323</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December 31, 2017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1,234,738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2,046,745</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198,926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180,522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3,660,931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15,394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35,762</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51,173</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29,215</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21,460</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54,394</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1,279,347</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2,103,967</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202,253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180,931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3,457,531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1,580,917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527,587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449,008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6,015,043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9,242</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4,538</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887</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739</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3,466,773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1,585,455</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528,474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449,747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6,030,449</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June 30, 2018 and December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As of June 30, 2018</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1,280,801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1,282,967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5,680</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6,830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2,162,527</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2,169,357</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184,643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185,350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178,598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178,598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1,749</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696</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5,682</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9,703</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3,806,569</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3,816,272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2,028</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2,281</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14,261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3,534,183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3,548,444</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4,240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1,141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3,016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3,933</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12,330</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1,609,984</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1,622,314</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13,459</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579,246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592,705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467,733</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473,588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19,871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7,748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7,631</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45,905</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6,191,146</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6,237,051</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21,620</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8,444</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13,313</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12,231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55,608</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9,997,715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10,053,323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4,196</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5,285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1,274,062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1,279,347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1,989</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2,101,978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2,103,967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3,759,224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3,766,498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7,815</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2,703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9,243</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21,769</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3,445,004</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3,466,773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10,883</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1,574,572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1,585,455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11,728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2,232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886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14,846</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513,628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528,474</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1,639</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6,580</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443,167</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449,747</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8,615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13,234</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5,976,371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6,030,449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29,465</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9,660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15,080</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61,352</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9,735,595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9,796,947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June 30,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2018</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6,097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9,639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3,203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6,703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1,373</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1,373</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10,673</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17,715</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10,673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17,715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1,288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1,511</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2,123</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20,619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25,362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16,010</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16,010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2,864</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2,864</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41,981</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46,724</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43,492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48,847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12,184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19,838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41,981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46,724</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54,165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66,562</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8,094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8,696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12,196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21,581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26,324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43,013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47,756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20,216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31,369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61,218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77,114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5" w:name="page26"/>
    <w:bookmarkEnd w:id="25"/>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6" w:right="1440" w:bottom="1440" w:gutter="0" w:footer="0" w:header="0"/>
        </w:sectPr>
      </w:pPr>
    </w:p>
    <w:bookmarkStart w:id="26" w:name="page27"/>
    <w:bookmarkEnd w:id="26"/>
    <w:p>
      <w:pPr>
        <w:spacing w:after="0" w:line="20"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and six months ended June 30,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2018</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2017</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7,540</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8,717</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6,351</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9,369</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77</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1,386</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15,277</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19,563</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15,277</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19,563</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1,128</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657</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1,364</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988</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20,509</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23,148</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2,221</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1,621</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15,819</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11,547</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2,806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2,663</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41,355</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38,979</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42,719</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39,967</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16,641</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20,551</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41,355</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38,979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57,996</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59,530</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r>
      <w:tr>
        <w:trPr>
          <w:trHeight w:val="35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2018</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2017</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7,724</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8,996</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7,132</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9,370</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16,252</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19,855</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16,252</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19,855</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1,022</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693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557</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342</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1,579</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20,866</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23,974</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426</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2,135</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1,586</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15,483</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10,918</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364</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2,752</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2,550</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41,236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39,028</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937</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42,815</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1,151</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40,063</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17,831</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20,890</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380</w:t>
            </w: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41,236</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1,125</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39,028</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937</w:t>
            </w:r>
          </w:p>
        </w:tc>
      </w:tr>
      <w:tr>
        <w:trPr>
          <w:trHeight w:val="190"/>
        </w:trPr>
        <w:tc>
          <w:tcPr>
            <w:tcW w:w="4700" w:type="dxa"/>
            <w:vAlign w:val="bottom"/>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59,067</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1,509</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59,918</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1,317</w:t>
            </w:r>
          </w:p>
        </w:tc>
      </w:tr>
    </w:tbl>
    <w:p>
      <w:pPr>
        <w:sectPr>
          <w:pgSz w:w="11900" w:h="16858" w:orient="portrait"/>
          <w:cols w:equalWidth="0" w:num="1">
            <w:col w:w="11420"/>
          </w:cols>
          <w:pgMar w:left="240" w:top="130" w:right="239" w:bottom="0" w:gutter="0" w:footer="0" w:header="0"/>
        </w:sectPr>
      </w:pPr>
    </w:p>
    <w:bookmarkStart w:id="27" w:name="page28"/>
    <w:bookmarkEnd w:id="27"/>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Comprised of other revolving credit and installment financing.</w:t>
      </w: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296" w:right="1440"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six months ended June 30, 2018 and 2017, the amounts of interest income recognized by the Company within the periods that the loans were impaired were primarily related to loans modified in a troubled debt restructuring that remained on accrual status. For the three and six months ended June 30, 2018 and 2017,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$52.6 million and $60.1 million as of June 30, 2018 and December 31, 2017, respectively. There were $0.3 million and $1.5 million commitments to lend additional funds on loans modified in a TDR as of June 30, 2018 and December 31, 2017, respectively.</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30" w:right="2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class, information related to loans modified in a TDR during the three and six months ended June 30, 2018 and 2017.</w:t>
      </w:r>
    </w:p>
    <w:p>
      <w:pPr>
        <w:sectPr>
          <w:pgSz w:w="11900" w:h="16838" w:orient="portrait"/>
          <w:cols w:equalWidth="0" w:num="1">
            <w:col w:w="11420"/>
          </w:cols>
          <w:pgMar w:left="240" w:top="130" w:right="239" w:bottom="1440" w:gutter="0" w:footer="0" w:header="0"/>
        </w:sectPr>
      </w:pPr>
    </w:p>
    <w:p>
      <w:pPr>
        <w:spacing w:after="0" w:line="195" w:lineRule="exact"/>
        <w:rPr>
          <w:sz w:val="20"/>
          <w:szCs w:val="20"/>
          <w:color w:val="auto"/>
        </w:rPr>
      </w:pPr>
    </w:p>
    <w:p>
      <w:pPr>
        <w:jc w:val="center"/>
        <w:ind w:left="2640"/>
        <w:spacing w:after="0"/>
        <w:rPr>
          <w:sz w:val="20"/>
          <w:szCs w:val="20"/>
          <w:color w:val="auto"/>
        </w:rPr>
      </w:pPr>
      <w:r>
        <w:rPr>
          <w:rFonts w:ascii="Arial" w:cs="Arial" w:eastAsia="Arial" w:hAnsi="Arial"/>
          <w:sz w:val="16"/>
          <w:szCs w:val="16"/>
          <w:b w:val="1"/>
          <w:bCs w:val="1"/>
          <w:color w:val="auto"/>
        </w:rPr>
        <w:t>Loans Modified as a TDR for the</w:t>
      </w:r>
    </w:p>
    <w:p>
      <w:pPr>
        <w:spacing w:after="0" w:line="26"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47625</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840"/>
        <w:spacing w:after="0"/>
        <w:rPr>
          <w:sz w:val="20"/>
          <w:szCs w:val="20"/>
          <w:color w:val="auto"/>
        </w:rPr>
      </w:pPr>
      <w:r>
        <w:rPr>
          <w:rFonts w:ascii="Arial" w:cs="Arial" w:eastAsia="Arial" w:hAnsi="Arial"/>
          <w:sz w:val="15"/>
          <w:szCs w:val="15"/>
          <w:b w:val="1"/>
          <w:bCs w:val="1"/>
          <w:color w:val="auto"/>
        </w:rPr>
        <w:t>Loans Modified as a TDR for the</w:t>
      </w:r>
    </w:p>
    <w:p>
      <w:pPr>
        <w:spacing w:after="0" w:line="38"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47625</wp:posOffset>
            </wp:positionV>
            <wp:extent cx="2632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420" w:space="720"/>
            <w:col w:w="328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 in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712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48</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4,191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700</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712</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48</w:t>
            </w: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4,891</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30</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1,521</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31</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2,115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3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304</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r>
      <w:tr>
        <w:trPr>
          <w:trHeight w:val="231"/>
        </w:trPr>
        <w:tc>
          <w:tcPr>
            <w:tcW w:w="262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2,989</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75</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2,423</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61</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3,701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123</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5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47625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47625</wp:posOffset>
            </wp:positionV>
            <wp:extent cx="2632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500" w:space="720"/>
            <w:col w:w="320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 in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1,233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48</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7,235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1,096</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1,233</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48</w:t>
            </w: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8,331</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30</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170</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3,654</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75</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4,315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99</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967</w:t>
            </w:r>
          </w:p>
        </w:tc>
        <w:tc>
          <w:tcPr>
            <w:tcW w:w="3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28</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114</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891</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r>
      <w:tr>
        <w:trPr>
          <w:trHeight w:val="231"/>
        </w:trPr>
        <w:tc>
          <w:tcPr>
            <w:tcW w:w="262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313</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5,621</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133</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324</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5,445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127</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6,854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181</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13,776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presents by class, all loans modified in a TDR that defaulted during the three and six months ended June 30, 2018 and 2017, and within twelve months of their modification date. A TDR is considered to be in default once it becomes 60 days or more past due following a modification.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2018</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12</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456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Six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2018</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606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1,137</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54</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$3.9 million as of June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Company’s portfolio of residential mortgage loans serviced for third parties was $2.9 billion as of June 30, 2018 and December 31, 2017.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 xml:space="preserve"> for more information). Changes to the balance of mortgage servicing rights are recorded in mortgage banking income in the Company’s consolidated statements of income.</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June 30, 2018 and 2017, and $3.6 million and $3.5 million for the six months ended June 30, 2018 and 2017, respectively. Servicing income is recorded in mortgage banking income in the Company’s consolidated statements of income. The Company’s residential mortgage investor loan servicing portfolio is primarily comprised of fixed rate loans concentrated in Hawaii.</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2018 and 2017,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1,404</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three and six months ended June 30, 2018 and 2017,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23,089</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23,168</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775</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1,396</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2,276</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(647)</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(1,347)</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23,217</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23,217</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22,923</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28,600</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25,946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26,716</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29,746</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25,479</w:t>
            </w:r>
          </w:p>
        </w:tc>
        <w:tc>
          <w:tcPr>
            <w:tcW w:w="2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29,746</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25,479</w:t>
            </w:r>
          </w:p>
        </w:tc>
      </w:tr>
    </w:tbl>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June 30, 2018 and December 31, 2017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040" w:type="dxa"/>
            <w:vAlign w:val="bottom"/>
          </w:tcPr>
          <w:p>
            <w:pPr>
              <w:spacing w:after="0"/>
              <w:rPr>
                <w:sz w:val="18"/>
                <w:szCs w:val="18"/>
                <w:color w:val="auto"/>
              </w:rPr>
            </w:pPr>
          </w:p>
        </w:tc>
        <w:tc>
          <w:tcPr>
            <w:tcW w:w="4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60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6.45%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000" w:type="dxa"/>
            <w:vAlign w:val="bottom"/>
          </w:tcPr>
          <w:p>
            <w:pPr>
              <w:jc w:val="right"/>
              <w:ind w:right="319"/>
              <w:spacing w:after="0"/>
              <w:rPr>
                <w:sz w:val="20"/>
                <w:szCs w:val="20"/>
                <w:color w:val="auto"/>
              </w:rPr>
            </w:pPr>
            <w:r>
              <w:rPr>
                <w:rFonts w:ascii="Arial" w:cs="Arial" w:eastAsia="Arial" w:hAnsi="Arial"/>
                <w:sz w:val="16"/>
                <w:szCs w:val="16"/>
                <w:color w:val="auto"/>
              </w:rPr>
              <w:t>8.13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7.09</w:t>
            </w:r>
          </w:p>
        </w:tc>
      </w:tr>
      <w:tr>
        <w:trPr>
          <w:trHeight w:val="33"/>
        </w:trPr>
        <w:tc>
          <w:tcPr>
            <w:tcW w:w="6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311"/>
        </w:trPr>
        <w:tc>
          <w:tcPr>
            <w:tcW w:w="604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000" w:type="dxa"/>
            <w:vAlign w:val="bottom"/>
          </w:tcPr>
          <w:p>
            <w:pPr>
              <w:jc w:val="right"/>
              <w:ind w:right="179"/>
              <w:spacing w:after="0"/>
              <w:rPr>
                <w:sz w:val="20"/>
                <w:szCs w:val="20"/>
                <w:color w:val="auto"/>
              </w:rPr>
            </w:pPr>
            <w:r>
              <w:rPr>
                <w:rFonts w:ascii="Arial" w:cs="Arial" w:eastAsia="Arial" w:hAnsi="Arial"/>
                <w:sz w:val="16"/>
                <w:szCs w:val="16"/>
                <w:color w:val="auto"/>
              </w:rPr>
              <w:t>9.76%</w:t>
            </w:r>
          </w:p>
        </w:tc>
        <w:tc>
          <w:tcPr>
            <w:tcW w:w="1380" w:type="dxa"/>
            <w:vAlign w:val="bottom"/>
          </w:tcPr>
          <w:p>
            <w:pPr>
              <w:jc w:val="right"/>
              <w:spacing w:after="0"/>
              <w:rPr>
                <w:sz w:val="20"/>
                <w:szCs w:val="20"/>
                <w:color w:val="auto"/>
              </w:rPr>
            </w:pPr>
            <w:r>
              <w:rPr>
                <w:rFonts w:ascii="Arial" w:cs="Arial" w:eastAsia="Arial" w:hAnsi="Arial"/>
                <w:sz w:val="16"/>
                <w:szCs w:val="16"/>
                <w:color w:val="auto"/>
              </w:rPr>
              <w:t>8.87%</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June 30, 2018 and December 31, 2017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3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(380)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(332)</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(658)</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7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$68.9 million and $71.7 million as of June 30, 2018 and December 31, 2017, respectively, and are included in other assets in the consolidated statements of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8,802</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4,126</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680</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13,794</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six months ended June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7"/>
                <w:szCs w:val="17"/>
                <w:color w:val="auto"/>
              </w:rPr>
            </w:pPr>
          </w:p>
        </w:tc>
      </w:tr>
      <w:tr>
        <w:trPr>
          <w:trHeight w:val="210"/>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7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3,380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3,439</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6,812</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6,869</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2,078</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2,137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4,155</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4,298</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820</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666</w:t>
            </w: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There were no impairment losses related to LIHTC investments during the six months ended June 30, 2018 and 2017. During the first quarter of 2018, the Company recorded a $2.0 million adjustment to increase its LIHTC investments. This adjustment resulted in a decrease to provision for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$0.1 million and $3.2 million as of June 30, 2018 and December 31, 2017, respectively. See Note 12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June 30, 2018 and December 31, 2017,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677</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677</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1,000</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1,690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913</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3,603</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203,361</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200,707</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404,068</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826</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70,726</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24,293</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95,845</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3,193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504,193</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110,392</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202,484</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312,876</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1,200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1,503</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18,793</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80,960</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101,256</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20,815</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66,556</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87,371</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2,703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350,000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505,293</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June 30, 2018 and December 31, 2017.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(iii) = (i)-(ii)</w:t>
            </w:r>
          </w:p>
        </w:tc>
        <w:tc>
          <w:tcPr>
            <w:tcW w:w="16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21"/>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Net Amounts</w:t>
            </w: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7"/>
                <w:szCs w:val="7"/>
                <w:color w:val="auto"/>
              </w:rPr>
            </w:pPr>
          </w:p>
        </w:tc>
        <w:tc>
          <w:tcPr>
            <w:tcW w:w="14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Pledged/Received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7"/>
                <w:szCs w:val="7"/>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1,391</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1,522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9,656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1,391</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504,193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505,293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line="277" w:lineRule="auto"/>
        <w:tabs>
          <w:tab w:leader="none" w:pos="66" w:val="left"/>
        </w:tabs>
        <w:numPr>
          <w:ilvl w:val="0"/>
          <w:numId w:val="13"/>
        </w:numPr>
        <w:rPr>
          <w:rFonts w:ascii="Arial" w:cs="Arial" w:eastAsia="Arial" w:hAnsi="Arial"/>
          <w:sz w:val="8"/>
          <w:szCs w:val="8"/>
          <w:color w:val="auto"/>
        </w:rPr>
      </w:pPr>
      <w:r>
        <w:rPr>
          <w:rFonts w:ascii="Arial" w:cs="Arial" w:eastAsia="Arial" w:hAnsi="Arial"/>
          <w:sz w:val="13"/>
          <w:szCs w:val="13"/>
          <w:color w:val="auto"/>
        </w:rPr>
        <w:t>The application of collateral cannot reduce the net amount below zero. Therefore, excess collateral is not reflected in this table. For swap agreements with institutional counterparties, there was no collateral pledged to institutional counterparties as of June 30, 2018. The fair value of investment securities pledged to the institutional counterparties was $3.5 million as of December 31, 2017. For repurchase agreements with private institutions, the fair value of investment securities pledged was $539.4 million and $563.3 million as of June 30, 2018 and December 31, 2017, respectively. For repurchase agreements with government entities, the fair value of investment securities pledged was $6.9 million as of June 30, 2018 and December 31, 2017.</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and six months ended June 30,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578</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(4,044)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(1,070)</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5,133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3,106</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(13,004)</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1,237</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328</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(16,442)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872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232</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12,222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13,217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5,217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8,000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645</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5,408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w:t>
            </w:r>
          </w:p>
        </w:tc>
      </w:tr>
      <w:tr>
        <w:trPr>
          <w:trHeight w:val="20"/>
        </w:trPr>
        <w:tc>
          <w:tcPr>
            <w:tcW w:w="7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80" w:right="400" w:hanging="72"/>
        <w:spacing w:after="0" w:line="273"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231"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231"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six months ended June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(33,468)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(51,097)</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641</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(53,855)</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(28,746)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(28,866)</w:t>
            </w: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2,809</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2,809</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2,809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297</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147</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3,253</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8,668</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(28,599)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(25,613)</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(13,004)</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909</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432</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1,341</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20"/>
        </w:trPr>
        <w:tc>
          <w:tcPr>
            <w:tcW w:w="486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40"/>
              <w:spacing w:after="0"/>
              <w:rPr>
                <w:sz w:val="20"/>
                <w:szCs w:val="20"/>
                <w:color w:val="auto"/>
              </w:rPr>
            </w:pPr>
            <w:r>
              <w:rPr>
                <w:rFonts w:ascii="Arial" w:cs="Arial" w:eastAsia="Arial" w:hAnsi="Arial"/>
                <w:sz w:val="16"/>
                <w:szCs w:val="16"/>
                <w:color w:val="auto"/>
              </w:rPr>
              <w:t>Tax Cuts and Jobs Act from AOCI</w:t>
            </w:r>
          </w:p>
        </w:tc>
        <w:tc>
          <w:tcPr>
            <w:tcW w:w="8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(53,855)</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(28,892)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7,398</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602</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7,398</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8,668</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(28,599)</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(25,613)</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six months ended June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1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r>
      <w:tr>
        <w:trPr>
          <w:trHeight w:val="257"/>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1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(588)</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(484)</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six months ended June 30, 2018 and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380" w:type="dxa"/>
            <w:vAlign w:val="bottom"/>
          </w:tcPr>
          <w:p>
            <w:pPr>
              <w:spacing w:after="0"/>
              <w:rPr>
                <w:sz w:val="18"/>
                <w:szCs w:val="18"/>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8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41,884,221</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42,353,976</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41,960,743</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42,379,730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880" w:type="dxa"/>
            <w:vAlign w:val="bottom"/>
          </w:tcPr>
          <w:p>
            <w:pPr>
              <w:jc w:val="right"/>
              <w:ind w:right="539"/>
              <w:spacing w:after="0"/>
              <w:rPr>
                <w:sz w:val="20"/>
                <w:szCs w:val="20"/>
                <w:color w:val="auto"/>
              </w:rPr>
            </w:pPr>
            <w:r>
              <w:rPr>
                <w:rFonts w:ascii="Arial" w:cs="Arial" w:eastAsia="Arial" w:hAnsi="Arial"/>
                <w:sz w:val="16"/>
                <w:szCs w:val="16"/>
                <w:color w:val="auto"/>
              </w:rPr>
              <w:t>267,979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304,909</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292,157</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324,280</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42,152,200</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42,658,885</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42,252,900</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42,704,010</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1,293</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7,127</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1,293</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the Company’s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the Company’s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some types of consumer insurance products. Products and services from Retail Banking are delivered to customers through 69 branch locations and 385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and six months ended June 30, 2018 and 2017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65,683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44,010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10,526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120,496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3,445</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62,238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44,204</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10,526</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116,996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19,598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5,512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14,745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41,298</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(51,939)</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(19,858)</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(16,400)</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(2,594)</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(90,791)</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29,897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29,858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8,871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67,503</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(7,473)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(6,740)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(2,338)</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3,766</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(12,785)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23,118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54,718</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6,142,457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3,799,535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342,464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6,839,706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17,124,162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66,348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112,279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3,099</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1,289</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4,250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63,249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41,869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6,720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108,029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21,920</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5,876</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15,247</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2,193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45,236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(52,018)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(18,407)</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(88,189)</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33,151</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29,338</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6,672</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(4,085)</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65,076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(11,741)</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(20,414)</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21,410</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19,013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4,203</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44,662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June 30, 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5,626,767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3,658,867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307,529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7,388,129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16,981,292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130,080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86,908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20,413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2,051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239,452</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7,188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122,892</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87,253</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20,473</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1,209</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231,827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38,851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11,154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28,415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6,913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85,333</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(106,538)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(40,190)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(32,607)</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(5,840)</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(185,175)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55,205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58,217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16,281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2,282</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131,985</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(13,764)</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(13,564)</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(4,292)</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8,393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(23,227)</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41,441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44,653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11,989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10,675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108,758</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6,142,457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3,799,535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342,464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6,839,706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17,124,162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131,505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83,668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13,364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222,151</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6,900</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2,081</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8,650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124,605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83,988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13,375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213,501</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42,845</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11,314</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29,796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17,197</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101,152</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(36,762)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(30,766)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(176,757)</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63,172</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58,540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12,405</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3,779</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137,896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(22,415)</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(20,581)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5,528</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(42,058)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40,757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37,959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7,815</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9,307</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95,838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June 30, 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5,626,767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3,658,867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307,529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7,388,129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16,981,292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six months ended June 30, 2018 and 2017.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115</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123</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1,041</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236</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(1,282)</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(142)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498</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(62)</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257</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355</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147</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205</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230</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2,082</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2,322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471</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544</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(2,564)</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(284)</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996</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865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(124)</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514</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711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293</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409</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and six months ended June 30, 2018, the Company contributed $0.1 million and $0.2 million, respectively, to the pension plans and $0.3 million and $0.5 million, respectively, to the postretirement benefit plan. The Company expects to contribute a total of $0.5 million to the pension plans and $0.9 million to the postretirement benefit plan for the year ending December 31,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June 30, 2018 and December 31, 2017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June 30, 2018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2017</w:t>
            </w:r>
          </w:p>
        </w:tc>
        <w:tc>
          <w:tcPr>
            <w:tcW w:w="8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Notional Amount</w:t>
            </w: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4"/>
              </w:rPr>
              <w:t>Fair Value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31,298</w:t>
            </w:r>
          </w:p>
        </w:tc>
        <w:tc>
          <w:tcPr>
            <w:tcW w:w="6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35,422</w:t>
            </w:r>
          </w:p>
        </w:tc>
        <w:tc>
          <w:tcPr>
            <w:tcW w:w="7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33,336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45,143</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453,275</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(11,494)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374,670</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453,275</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374,670</w:t>
            </w:r>
          </w:p>
        </w:tc>
        <w:tc>
          <w:tcPr>
            <w:tcW w:w="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48,305</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54,332</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81,058</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70,571</w:t>
            </w: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June 30,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5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708</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789</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14,422</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9,583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15,212</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16,177</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10,518</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9,693</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six months ended June 30,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23"/>
                <w:szCs w:val="23"/>
                <w:color w:val="auto"/>
              </w:rPr>
            </w:pP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7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23"/>
                <w:szCs w:val="23"/>
                <w:color w:val="auto"/>
              </w:rPr>
            </w:pP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968</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1,655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1,498</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2,922</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240</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925</w:t>
            </w: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632</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750</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995</w:t>
            </w:r>
          </w:p>
        </w:tc>
        <w:tc>
          <w:tcPr>
            <w:tcW w:w="8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1,959</w:t>
            </w:r>
          </w:p>
        </w:tc>
        <w:tc>
          <w:tcPr>
            <w:tcW w:w="7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1,846</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0"/>
        </w:trPr>
        <w:tc>
          <w:tcPr>
            <w:tcW w:w="358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Investment Securities Gains</w:t>
            </w: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(Losses), Net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8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7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1,835</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2,511</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4,132</w:t>
            </w:r>
          </w:p>
        </w:tc>
        <w:tc>
          <w:tcPr>
            <w:tcW w:w="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4,559</w:t>
            </w:r>
          </w:p>
        </w:tc>
      </w:tr>
      <w:tr>
        <w:trPr>
          <w:trHeight w:val="33"/>
        </w:trPr>
        <w:tc>
          <w:tcPr>
            <w:tcW w:w="35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2018 and December 31, 2017,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During the second quarter of 2017, the Company executed its first swap agreements cleared through one of the clearinghouses. Going forward, the Company expects most of the swap agreements executed with third party financial institutions will be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The conversion rate swap agreement was valued at zero (i.e., no contingent liability recorded) as further reductions to the conversion ratio were deemed neither probable nor reasonably estimable by management. However, in June 2018, Visa announced a reduction of the conversion ratio from 1.6483 to 1.6298 effective June 28, 2018. As a result, the Company recorded a $1.0 million liability in June 2018 which represents the amount due to the buyers of the Visa Class B shares in July 2018. Further reductions to the conversion ratio were deemed neither probable nor reasonably estimable by management. See Note 3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for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June 30, 2018 and December 31, 2017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16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2,869,256</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2,780,724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1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64,857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60,519</w:t>
            </w:r>
          </w:p>
        </w:tc>
      </w:tr>
      <w:tr>
        <w:trPr>
          <w:trHeight w:val="33"/>
        </w:trPr>
        <w:tc>
          <w:tcPr>
            <w:tcW w:w="55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31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13,058</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18,036</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1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2,947,171</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2,859,279</w:t>
            </w:r>
          </w:p>
        </w:tc>
      </w:tr>
      <w:tr>
        <w:trPr>
          <w:trHeight w:val="33"/>
        </w:trPr>
        <w:tc>
          <w:tcPr>
            <w:tcW w:w="55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subject to various pending and threatened legal proceedings arising within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June 30, 2018,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six months ended June 30, 2018, there were five residential mortgage loans repurchased with an aggregate unpaid principal balance of $1.2 million as a result of the representation and warranty provisions contained in these contracts. Four of the loans were delinquent in payment of principal and interest at the time of repurchase, however no material losses were incurred related to these repurchases. As of June 30, 2018, there were no pending repurchase requests related to representation and warranty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six months ended June 30, 2018, there were no loans repurchased related to loan servicing activities. As of June 30, 2018, there were no pending repurchase requests related to loan servicing activities.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June 30, 2018, management believes that this exposure is not material due to the historical level of repurchase requests and loss trends and thus has not established a liability for losses related to mortgage loan repurchases. As of June 30, 2018,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Management maximizes the use of observable inputs and minimizes the use of unobservable inputs when determining fair value measurements. Management reviews and updates the fair value hierarchy classifications of the Company’s assets and liabilities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June 30, 2018 and December 31, 2017,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us to submit inquiries regarding quoted prices. Periodically, the Company will challenge the quoted prices provided by our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2018 and December 31, 2017, the conversion rate swap agreements were valued at $1.0 million and zero, respectively. This conversion rate swap agreement is classified as a Level 2 measurement.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balances of assets and liabilities measured at fair value on a recurring basis as of June 30, 2018 and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Quoted Prices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in Active</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Markets for</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Identical Assets</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or Liabilities</w:t>
            </w:r>
          </w:p>
        </w:tc>
        <w:tc>
          <w:tcPr>
            <w:tcW w:w="4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47"/>
        </w:trPr>
        <w:tc>
          <w:tcPr>
            <w:tcW w:w="4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444,177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444,712</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592,601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592,601</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223,777</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223,777</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210,696</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210,696</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559,868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559,868</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61,216</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61,216</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831,780</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831,780</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535</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2,092,335</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2,092,870</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16,025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16,025</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1,366</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1,366</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32,400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32,400</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15,130</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15,212</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June 30,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32,935</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2,108,442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16,496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2,157,873</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14,739</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16,177</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June 30,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14,739</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16,177</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425,392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425,930</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627,019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627,019</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266,111</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266,111</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235,360</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235,360</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609,812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609,812</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68,747</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68,747</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913,919</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913,919</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2,232,441</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2,232,979</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19,231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1,454</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29,230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29,230</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146</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10,372</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10,518</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29,768</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2,251,818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11,826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2,293,412</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9,693</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15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5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and six months ended June 30, 2018 and 2017,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April 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1,404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April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1,548</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Six Months Ended June 30, 2018</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1,548</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20"/>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June 30, 2018 and December 31, 2017,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June 30,</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2017</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6.45%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31,112</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28,170</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9.76%</w:t>
            </w:r>
          </w:p>
        </w:tc>
        <w:tc>
          <w:tcPr>
            <w:tcW w:w="9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91.95%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707</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789</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0.02%</w:t>
            </w: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
              <w:spacing w:after="0"/>
              <w:rPr>
                <w:sz w:val="20"/>
                <w:szCs w:val="20"/>
                <w:color w:val="auto"/>
              </w:rPr>
            </w:pPr>
            <w:r>
              <w:rPr>
                <w:rFonts w:ascii="Arial" w:cs="Arial" w:eastAsia="Arial" w:hAnsi="Arial"/>
                <w:sz w:val="14"/>
                <w:szCs w:val="14"/>
                <w:color w:val="auto"/>
              </w:rPr>
              <w:t>(316)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105</w:t>
            </w:r>
          </w:p>
        </w:tc>
      </w:tr>
    </w:tbl>
    <w:p>
      <w:pPr>
        <w:spacing w:after="0" w:line="101"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June 30, 2018 and December 31, 2017,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June 30, 2018 and December 31,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Less Aggregate</w:t>
            </w: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Unpaid Principal</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2018</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16,025</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15,669</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19,231</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18,854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six months ended June 30, 2018 and 2017,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presents the carrying amount, fair value, and placement in the fair value hierarchy of the Company’s financial instruments not recorded at fair value on a recurring basis as of June 30, 2018 and December 31, 2017.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3,595,891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3,500,497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362,782</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3,137,715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9,688,883</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9,577,141</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9,577,141</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1,713,323</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1,699,097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1,699,097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504,193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504,167</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504,167</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225,000</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223,424</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223,424</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3,928,170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3,894,121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373,640</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3,520,481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9,436,506</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9,519,369</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9,519,369</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1,688,092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1,679,684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1,679,684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505,293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505,278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505,278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248,520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248,520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8"/>
          <w:szCs w:val="8"/>
          <w:color w:val="auto"/>
        </w:rPr>
      </w:pPr>
      <w:r>
        <w:rPr>
          <w:rFonts w:ascii="Arial" w:cs="Arial" w:eastAsia="Arial" w:hAnsi="Arial"/>
          <w:sz w:val="13"/>
          <w:szCs w:val="13"/>
          <w:color w:val="auto"/>
        </w:rPr>
        <w:t>Carrying amount is net of unearned income and the Allowance. In accordance with the prospective adoption of ASU No. 2016-01, the fair value of loans as of June 30, 2018 was measured using</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 exit price notion. The fair value of loans as of December 31, 2017 was measured using an entry price notion.</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all subsequent ASUs that modified Topic 606. As stated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the Company’s historic accounting under Topic 605.</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30"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six months ended June 30, 2018 and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1"/>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Trust and Asset Management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11,356</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22,537</w:t>
            </w:r>
          </w:p>
        </w:tc>
        <w:tc>
          <w:tcPr>
            <w:tcW w:w="7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23,275</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3,214</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3,823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6,788</w:t>
            </w:r>
          </w:p>
        </w:tc>
        <w:tc>
          <w:tcPr>
            <w:tcW w:w="7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7,856</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11,457</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23,050</w:t>
            </w:r>
          </w:p>
        </w:tc>
        <w:tc>
          <w:tcPr>
            <w:tcW w:w="7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22,034</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1,758</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1,999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2,901</w:t>
            </w:r>
          </w:p>
        </w:tc>
        <w:tc>
          <w:tcPr>
            <w:tcW w:w="7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3,890</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2,532</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2,449</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4,810</w:t>
            </w:r>
          </w:p>
        </w:tc>
        <w:tc>
          <w:tcPr>
            <w:tcW w:w="7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4,544</w:t>
            </w:r>
          </w:p>
        </w:tc>
      </w:tr>
      <w:tr>
        <w:trPr>
          <w:trHeight w:val="231"/>
        </w:trPr>
        <w:tc>
          <w:tcPr>
            <w:tcW w:w="52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30,317</w:t>
            </w: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31,346</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60,086</w:t>
            </w:r>
          </w:p>
        </w:tc>
        <w:tc>
          <w:tcPr>
            <w:tcW w:w="7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61,599</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10,981</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13,890</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25,247</w:t>
            </w:r>
          </w:p>
        </w:tc>
        <w:tc>
          <w:tcPr>
            <w:tcW w:w="7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39,553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41,298</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45,236</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85,333</w:t>
            </w:r>
          </w:p>
        </w:tc>
        <w:tc>
          <w:tcPr>
            <w:tcW w:w="7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101,152</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June 30, 2018 and December 31, 2017,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changes to such initiatives, such as the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w:t>
      </w:r>
    </w:p>
    <w:p>
      <w:pPr>
        <w:spacing w:after="0" w:line="12" w:lineRule="exact"/>
        <w:rPr>
          <w:sz w:val="20"/>
          <w:szCs w:val="20"/>
          <w:color w:val="auto"/>
        </w:rPr>
      </w:pPr>
    </w:p>
    <w:p>
      <w:pPr>
        <w:ind w:right="20" w:firstLine="8"/>
        <w:spacing w:after="0" w:line="268" w:lineRule="auto"/>
        <w:tabs>
          <w:tab w:leader="none" w:pos="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2017,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30"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General economic conditions in Hawaii remained positive during the second quarter of 2018 due to a continuation of the strong tourism market, active construction industry, low unemployment, and robust real estate market. For the first five months of 2018, total visitor arrivals increased 8.4% while total visitor spending increased 10.9% compared to the same period in 2017. The Hawaii statewide seasonally-adjusted unemployment rate was 2.1% in June 2018 compared to 4.0% nationally. For the first six months of 2018, the volume of single-family home sales on Oahu decreased 1.6%, while the volume of condominium sales on Oahu increased 1.3% compared with the same period in 2017. The median price of single-family home sales and condominium sales on Oahu increased 3.9% and 6.5%, respectively, for the first six months of 2018 compared to the same period in 2017. As of June 30, 2018, months of inventory of single-family homes and condominiums on Oahu remained low at 2.7 months and 3.0 months,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income for the second quarter of 2018 was $54.7 million, an increase of $10.1 million or 23% compared to the same period in 2017. Diluted earnings per share was $1.30 for the second quarter of 2018, an increase of $0.25 or 24%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second quarter of 2018 were primarily due to the following:</w:t>
      </w:r>
    </w:p>
    <w:p>
      <w:pPr>
        <w:spacing w:after="0" w:line="225" w:lineRule="exact"/>
        <w:rPr>
          <w:sz w:val="20"/>
          <w:szCs w:val="20"/>
          <w:color w:val="auto"/>
        </w:rPr>
      </w:pPr>
    </w:p>
    <w:p>
      <w:pPr>
        <w:ind w:left="340" w:right="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 for income taxes for the second quarter of 2018 was $12.8 million, a decrease of $7.6 million or 37% compared to the same period in 2017 primarily due to the federal corporate tax rate changing from 35% to 21% as a result of the Tax Cuts and Jobs Act. The effective tax rate for the second quarter of 2018 was 18.94%, down from 31.37% for the same period in 2017.</w:t>
      </w:r>
    </w:p>
    <w:p>
      <w:pPr>
        <w:spacing w:after="0" w:line="100"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interest income for the second quarter of 2018 was $120.5 million, an increase of $8.2 million or 7% compared to the same period in 2017. This increase was primarily due to a higher level of earning assets, including growth in both our commercial and consumer lending portfolios, combined with a higher net interest margin. The higher level of earning assets was primarily funded by higher deposit balances. The Company’s net interest margin was 3.04% in the second quarter of 2018, an increase of 12 basis points compared to the same period in 2017. The higher margin in 2018 was primarily due to our loans, which generally have higher yields than our investment securities, comprising a larger percentage of our earning assets compared to 2017. In addition, yields on our commercial loans, home equity loans, and investments portfolio increased. This increase was partially offset by an increase in rates offered on our deposit products and a decrease in automobile loan rates due to higher rate payoff activity and the addition of lower rate automobile loans to our portfolio.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44" w:lineRule="exact"/>
        <w:rPr>
          <w:sz w:val="20"/>
          <w:szCs w:val="20"/>
          <w:color w:val="auto"/>
        </w:rPr>
      </w:pPr>
    </w:p>
    <w:p>
      <w:pPr>
        <w:ind w:left="340" w:right="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Salaries and benefits for the second quarter of 2018 were $52.1 million, an increase of $2.5 million or 5% compared to the same period in 2017 primarily due to merit and minimum wage increases.</w:t>
      </w:r>
    </w:p>
    <w:p>
      <w:pPr>
        <w:spacing w:after="0" w:line="89"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 banking income for the second quarter of 2018 was $2.2 million, a decrease of $1.6 million or 43% compared to the same period in 2017 primarily due to lower loan sales.</w:t>
      </w:r>
    </w:p>
    <w:p>
      <w:pPr>
        <w:spacing w:after="0" w:line="89"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securities gains (losses), net totaled $(1.7) million in the second quarter of 2018 compared to $(0.5) million during the same period in 2017. In June 2018, Visa announced a reduction of the conversion ratio on its Class B shares from 1.6483 to 1.6298 effective June 28, 2018. As a result, the Company recorded a $1.0 million liability in June 2018, which represents the amount that will become payable to the buyers of our Visa Class B shares in July 2018.</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for the first six months of 2018 was $108.8 million, an increase of $12.9 million or 13% compared to the same period in 2017. Diluted earnings per share was $2.57 for the first six months of 2018, an increase of $0.33 or 15%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six months of 2018 were primarily due to the following:</w:t>
      </w:r>
    </w:p>
    <w:p>
      <w:pPr>
        <w:spacing w:after="0" w:line="144" w:lineRule="exact"/>
        <w:rPr>
          <w:sz w:val="20"/>
          <w:szCs w:val="20"/>
          <w:color w:val="auto"/>
        </w:rPr>
      </w:pPr>
    </w:p>
    <w:p>
      <w:pPr>
        <w:ind w:left="340" w:right="2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 for income taxes for the first six months of 2018 was $23.2 million, a decrease of $18.8 million or 45% compared to the same period in 2017 primarily due to the federal corporate tax rate changing from 35% to 21% as a result of the Tax Cuts and Jobs Act. The effective tax rate for the first six months of 2018 was 17.60%, down from 30.50% for the same period in 2017. The tax rate was also favorably impacted by a $2.0 million basis adjustment to the Company’s low income housing investments in the first quarter of 2018.</w:t>
      </w:r>
    </w:p>
    <w:p>
      <w:pPr>
        <w:spacing w:after="0" w:line="105"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interest income for the first six months of 2018 was $239.5 million, an increase of $17.3 million or 8% compared to the same period in 2017.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3.02% in the first six months of 2018, an increase of 12 basis points compared to the same period in 2017. The higher margin in 2018 was primarily due to our loans, which generally have higher yields than our investment securities, comprising a larger percentage of our earning assets compared to 2017. In addition, yields on our commercial loans, home equity loans, and investments portfolio increased. This increase was partially offset by an increase in rates offered on our deposit products and a decrease in automobile loan rates due to higher rate payoff activity and the addition of lower rate automobile loans to our portfolio.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jc w:val="both"/>
        <w:ind w:left="340" w:right="2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securities gains (losses), net totaled $(2.4) million for the first six months of 2018 compared to $11.6 million during the same period in 2017. The net losses in the first six months of 2018 were due to fees paid to the counterparties of our prior Visa Class B share sale transactions combined with a $1.0 million liability related to a change in the Visa Class B share conversion ratio. The net gain in the first six months of 2017 was primarily due the sale of 90,000 Visa Class B shares.</w:t>
      </w:r>
    </w:p>
    <w:p>
      <w:pPr>
        <w:spacing w:after="0" w:line="10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 banking income for the first six months of 2018 was $4.3 million a decrease of $2.8 million or 39% compared to the same period in 2017. This decrease was primarily due to reduced sales of conforming saleable loans from our mortgage loan portfolio.</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maintained a strong balance sheet during the second quarter of 2018, with what we believe are adequate reserves for credit losses and high levels of liquidity and capital.</w:t>
      </w:r>
    </w:p>
    <w:p>
      <w:pPr>
        <w:spacing w:after="0" w:line="89" w:lineRule="exact"/>
        <w:rPr>
          <w:sz w:val="20"/>
          <w:szCs w:val="20"/>
          <w:color w:val="auto"/>
        </w:rPr>
      </w:pPr>
    </w:p>
    <w:p>
      <w:pPr>
        <w:ind w:left="340" w:right="2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loans and leases were $10.1 billion as of June 30, 2018, an increase of $256.4 million or 3% from December 31, 2017 primarily due to growth in our commercial and consumer lending portfolio.</w:t>
      </w:r>
    </w:p>
    <w:p>
      <w:pPr>
        <w:spacing w:after="0" w:line="89"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$108.2 million as of June 30, 2018, an increase of $0.8 million or 1% from December 31, 2017. The Allowance represents 1.08% of total loans and leases outstanding as of June 30, 2018 and 1.10% of total loans and leases outstanding as of December 31, 2017.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80" w:hanging="332"/>
        <w:spacing w:after="0" w:line="279"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June 30, 2018, the total carrying value of our investment securities portfolio was $5.7 billion, a decrease of $472.4 million or 8% compared to December 31, 2017. During the first six months of 2018, we reduced our positions in mortgage-backed securities issued by Ginnie Mae and Fannie Mae. We re-invested these proceeds primarily into higher yielding loan products. In addition, we increased our holdings in Small Business Administration securities. Ginnie Mae mortgage-backed securities continue to be our largest concentration in our portfolio.</w:t>
      </w:r>
    </w:p>
    <w:p>
      <w:pPr>
        <w:spacing w:after="0" w:line="90"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deposits were $14.9 billion as of June 30, 2018, an increase of $59.4 million or less than 1% from December 31, 2017 primarily due to an increase in consumer deposits offset by a decrease in commercial, public and other deposits.</w:t>
      </w:r>
    </w:p>
    <w:p>
      <w:pPr>
        <w:spacing w:after="0" w:line="89" w:lineRule="exact"/>
        <w:rPr>
          <w:rFonts w:ascii="Arial" w:cs="Arial" w:eastAsia="Arial" w:hAnsi="Arial"/>
          <w:sz w:val="18"/>
          <w:szCs w:val="18"/>
          <w:color w:val="auto"/>
        </w:rPr>
      </w:pPr>
    </w:p>
    <w:p>
      <w:pPr>
        <w:ind w:left="340" w:right="180" w:hanging="332"/>
        <w:spacing w:after="0" w:line="29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shareholders’ equity was $1.2 billion as of June 30, 2018, an increase of $15.8 million or 1% from December 31, 2017. We continued to return capital to our shareholders in the form of share repurchases and dividends. During the first six months of 2018, we acquired 497,021 shares of our common stock at a total cost of $42.2 million under our share repurchase program and from shares obtained from employees and/or directors in connection with income tax withholdings related to the vesting of restricted stock, shares purchased for a deferred compensation plan, and stock swaps, less shares distributed from the deferred compensation plan. We also paid cash dividends of $47.5 million during the first six months of 2018.</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66"/>
        </w:trPr>
        <w:tc>
          <w:tcPr>
            <w:tcW w:w="516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3"/>
        </w:trPr>
        <w:tc>
          <w:tcPr>
            <w:tcW w:w="516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60" w:type="dxa"/>
            <w:vAlign w:val="bottom"/>
            <w:gridSpan w:val="4"/>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22"/>
                <w:szCs w:val="22"/>
                <w:color w:val="auto"/>
              </w:rPr>
            </w:pPr>
          </w:p>
        </w:tc>
        <w:tc>
          <w:tcPr>
            <w:tcW w:w="2640" w:type="dxa"/>
            <w:vAlign w:val="bottom"/>
            <w:gridSpan w:val="3"/>
          </w:tcPr>
          <w:p>
            <w:pPr>
              <w:jc w:val="right"/>
              <w:ind w:right="808"/>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86"/>
              </w:rPr>
              <w:t>June 30,</w:t>
            </w:r>
          </w:p>
        </w:tc>
        <w:tc>
          <w:tcPr>
            <w:tcW w:w="10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rPr>
              <w:t>June 30,</w:t>
            </w:r>
          </w:p>
        </w:tc>
        <w:tc>
          <w:tcPr>
            <w:tcW w:w="112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2017</w:t>
            </w:r>
          </w:p>
        </w:tc>
      </w:tr>
      <w:tr>
        <w:trPr>
          <w:trHeight w:val="22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120,496</w:t>
            </w:r>
          </w:p>
        </w:tc>
        <w:tc>
          <w:tcPr>
            <w:tcW w:w="76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112,279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239,452</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222,151</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3,500</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4,250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7,625</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8,650</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41,298</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45,236</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85,333</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101,152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90,791</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88,189</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185,175</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176,757</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54,718</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44,662</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108,758</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95,838</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2.59</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2.26</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0.60</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0.50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1.12</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67"/>
              <w:spacing w:after="0"/>
              <w:rPr>
                <w:sz w:val="20"/>
                <w:szCs w:val="20"/>
                <w:color w:val="auto"/>
              </w:rPr>
            </w:pPr>
            <w:r>
              <w:rPr>
                <w:rFonts w:ascii="Arial" w:cs="Arial" w:eastAsia="Arial" w:hAnsi="Arial"/>
                <w:sz w:val="14"/>
                <w:szCs w:val="14"/>
                <w:color w:val="auto"/>
              </w:rPr>
              <w:t>1.30%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17.68</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14.87</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17.71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16.22</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55.99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57.01</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54.67</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2.92</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2.90</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47.62</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43.24</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44.25</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7.34</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7.30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7.31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7.23</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9,962,860</w:t>
            </w:r>
          </w:p>
        </w:tc>
        <w:tc>
          <w:tcPr>
            <w:tcW w:w="76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9,217,779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9,883,746</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9,119,610</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16,921,820</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16,495,925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16,939,527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16,465,435</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14,709,299</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14,253,149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14,714,752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14,236,112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1,241,672</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1,204,837</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1,238,628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1,191,157</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76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82.97</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83.42</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82.97</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88.92</w:t>
            </w:r>
          </w:p>
        </w:tc>
        <w:tc>
          <w:tcPr>
            <w:tcW w:w="7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84.99</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89.09</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90.80</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75.92</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78.40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75.92</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08"/>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2017</w:t>
            </w:r>
          </w:p>
        </w:tc>
      </w:tr>
      <w:tr>
        <w:trPr>
          <w:trHeight w:val="229"/>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10,053,323</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9,796,947</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17,124,162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17,089,052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14,943,358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14,883,968</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235,681</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260,716</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1,247,717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1,231,868</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15,157</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16,120</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108,188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107,346</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13.27%</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13.27</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14.47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14.46</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7.53</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7.29</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7.21</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12.68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12.84</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2,173</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2,132</w:t>
            </w:r>
          </w:p>
        </w:tc>
      </w:tr>
    </w:tbl>
    <w:p>
      <w:pPr>
        <w:sectPr>
          <w:pgSz w:w="11900" w:h="16838" w:orient="portrait"/>
          <w:cols w:equalWidth="0" w:num="1">
            <w:col w:w="11360"/>
          </w:cols>
          <w:pgMar w:left="240" w:top="118" w:right="29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ind w:left="40"/>
              <w:spacing w:after="0"/>
              <w:rPr>
                <w:sz w:val="20"/>
                <w:szCs w:val="20"/>
                <w:color w:val="auto"/>
              </w:rPr>
            </w:pPr>
            <w:r>
              <w:rPr>
                <w:rFonts w:ascii="Arial" w:cs="Arial" w:eastAsia="Arial" w:hAnsi="Arial"/>
                <w:sz w:val="14"/>
                <w:szCs w:val="14"/>
                <w:color w:val="auto"/>
              </w:rPr>
              <w:t>Branches</w:t>
            </w:r>
          </w:p>
        </w:tc>
        <w:tc>
          <w:tcPr>
            <w:tcW w:w="5320" w:type="dxa"/>
            <w:vAlign w:val="bottom"/>
          </w:tcPr>
          <w:p>
            <w:pPr>
              <w:jc w:val="right"/>
              <w:ind w:right="608"/>
              <w:spacing w:after="0"/>
              <w:rPr>
                <w:sz w:val="20"/>
                <w:szCs w:val="20"/>
                <w:color w:val="auto"/>
              </w:rPr>
            </w:pPr>
            <w:r>
              <w:rPr>
                <w:rFonts w:ascii="Arial" w:cs="Arial" w:eastAsia="Arial" w:hAnsi="Arial"/>
                <w:sz w:val="14"/>
                <w:szCs w:val="14"/>
                <w:color w:val="auto"/>
              </w:rPr>
              <w:t>69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80"/>
        </w:trPr>
        <w:tc>
          <w:tcPr>
            <w:tcW w:w="498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3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385</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r>
    </w:tbl>
    <w:p>
      <w:pPr>
        <w:spacing w:after="0" w:line="116"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260" w:hanging="172"/>
        <w:spacing w:after="0" w:line="255" w:lineRule="auto"/>
        <w:tabs>
          <w:tab w:leader="none" w:pos="180" w:val="left"/>
        </w:tabs>
        <w:numPr>
          <w:ilvl w:val="0"/>
          <w:numId w:val="34"/>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2" w:right="29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1,247,717</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1,231,868</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1,216,200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1,200,351</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17,124,162</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17,089,052</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17,092,645</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17,057,535</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9,593,242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9,348,296</w:t>
            </w:r>
          </w:p>
        </w:tc>
      </w:tr>
      <w:tr>
        <w:trPr>
          <w:trHeight w:val="73"/>
        </w:trPr>
        <w:tc>
          <w:tcPr>
            <w:tcW w:w="70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52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7.29%</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33"/>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5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7.12%</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7.04%</w:t>
            </w:r>
          </w:p>
        </w:tc>
      </w:tr>
      <w:tr>
        <w:trPr>
          <w:trHeight w:val="264"/>
        </w:trPr>
        <w:tc>
          <w:tcPr>
            <w:tcW w:w="70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5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13.27%</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12.68%</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11"/>
          </w:tcPr>
          <w:p>
            <w:pPr>
              <w:ind w:left="40"/>
              <w:spacing w:after="0"/>
              <w:rPr>
                <w:sz w:val="20"/>
                <w:szCs w:val="20"/>
                <w:color w:val="auto"/>
              </w:rPr>
            </w:pPr>
            <w:r>
              <w:rPr>
                <w:rFonts w:ascii="Arial" w:cs="Arial" w:eastAsia="Arial" w:hAnsi="Arial"/>
                <w:sz w:val="16"/>
                <w:szCs w:val="16"/>
                <w:b w:val="1"/>
                <w:bCs w:val="1"/>
                <w:color w:val="auto"/>
                <w:w w:val="90"/>
              </w:rPr>
              <w:t>Average Balances and Interest Rates - Taxable-Equivalent Basis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6"/>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6"/>
          </w:tcPr>
          <w:p>
            <w:pPr>
              <w:jc w:val="center"/>
              <w:ind w:left="281"/>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6"/>
          </w:tcPr>
          <w:p>
            <w:pPr>
              <w:jc w:val="center"/>
              <w:ind w:left="161"/>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left="301"/>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June 30, 2017</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 2018</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June 30, 2017</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Income/</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9"/>
              </w:rPr>
              <w:t>Yield/</w:t>
            </w: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88"/>
              </w:rPr>
              <w:t>Average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Yield/</w:t>
            </w: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Income/</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72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2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Balance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4"/>
              </w:rPr>
              <w:t>Expense</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1"/>
              </w:rPr>
              <w:t>Balance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Expense</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w w:val="97"/>
              </w:rPr>
              <w:t>Expense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1"/>
              </w:rPr>
              <w:t>Interest-Bearing Deposits in Other</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Banks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(0.52)%</w:t>
            </w:r>
          </w:p>
        </w:tc>
        <w:tc>
          <w:tcPr>
            <w:tcW w:w="120" w:type="dxa"/>
            <w:vAlign w:val="bottom"/>
          </w:tcPr>
          <w:p>
            <w:pPr>
              <w:spacing w:after="0"/>
              <w:rPr>
                <w:sz w:val="12"/>
                <w:szCs w:val="12"/>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3.6</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40" w:type="dxa"/>
            <w:vAlign w:val="bottom"/>
          </w:tcPr>
          <w:p>
            <w:pPr>
              <w:ind w:left="100"/>
              <w:spacing w:after="0"/>
              <w:rPr>
                <w:sz w:val="20"/>
                <w:szCs w:val="20"/>
                <w:color w:val="auto"/>
              </w:rPr>
            </w:pPr>
            <w:r>
              <w:rPr>
                <w:rFonts w:ascii="Arial" w:cs="Arial" w:eastAsia="Arial" w:hAnsi="Arial"/>
                <w:sz w:val="12"/>
                <w:szCs w:val="12"/>
                <w:color w:val="auto"/>
                <w:w w:val="93"/>
              </w:rPr>
              <w:t>0.29%</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tcPr>
          <w:p>
            <w:pPr>
              <w:ind w:left="160"/>
              <w:spacing w:after="0"/>
              <w:rPr>
                <w:sz w:val="20"/>
                <w:szCs w:val="20"/>
                <w:color w:val="auto"/>
              </w:rPr>
            </w:pPr>
            <w:r>
              <w:rPr>
                <w:rFonts w:ascii="Arial" w:cs="Arial" w:eastAsia="Arial" w:hAnsi="Arial"/>
                <w:sz w:val="12"/>
                <w:szCs w:val="12"/>
                <w:color w:val="auto"/>
                <w:w w:val="93"/>
              </w:rPr>
              <w:t>0.94%</w:t>
            </w:r>
          </w:p>
        </w:tc>
        <w:tc>
          <w:tcPr>
            <w:tcW w:w="120" w:type="dxa"/>
            <w:vAlign w:val="bottom"/>
          </w:tcPr>
          <w:p>
            <w:pPr>
              <w:spacing w:after="0"/>
              <w:rPr>
                <w:sz w:val="12"/>
                <w:szCs w:val="12"/>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3.5</w:t>
            </w:r>
          </w:p>
        </w:tc>
        <w:tc>
          <w:tcPr>
            <w:tcW w:w="3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tcPr>
          <w:p>
            <w:pPr>
              <w:ind w:left="340"/>
              <w:spacing w:after="0"/>
              <w:rPr>
                <w:sz w:val="20"/>
                <w:szCs w:val="20"/>
                <w:color w:val="auto"/>
              </w:rPr>
            </w:pPr>
            <w:r>
              <w:rPr>
                <w:rFonts w:ascii="Arial" w:cs="Arial" w:eastAsia="Arial" w:hAnsi="Arial"/>
                <w:sz w:val="12"/>
                <w:szCs w:val="12"/>
                <w:color w:val="auto"/>
                <w:w w:val="93"/>
              </w:rPr>
              <w:t>0.42%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0.8</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194.9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448.3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60"/>
              <w:spacing w:after="0"/>
              <w:rPr>
                <w:sz w:val="20"/>
                <w:szCs w:val="20"/>
                <w:color w:val="auto"/>
              </w:rPr>
            </w:pPr>
            <w:r>
              <w:rPr>
                <w:rFonts w:ascii="Arial" w:cs="Arial" w:eastAsia="Arial" w:hAnsi="Arial"/>
                <w:sz w:val="12"/>
                <w:szCs w:val="12"/>
                <w:color w:val="auto"/>
              </w:rPr>
              <w:t>Taxable</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1,564.5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9.2</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1,683.4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8.4</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1,579.7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18.0</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1,654.6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15.9</w:t>
            </w:r>
          </w:p>
        </w:tc>
        <w:tc>
          <w:tcPr>
            <w:tcW w:w="680" w:type="dxa"/>
            <w:vAlign w:val="bottom"/>
          </w:tcPr>
          <w:p>
            <w:pPr>
              <w:ind w:left="340"/>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583.6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658.9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5.4</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594.1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659.8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3,471.7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19.2</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3,596.1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18.4</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3,551.0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39.0</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3,592.9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36.6</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2.04</w:t>
            </w:r>
          </w:p>
        </w:tc>
        <w:tc>
          <w:tcPr>
            <w:tcW w:w="0" w:type="dxa"/>
            <w:vAlign w:val="bottom"/>
          </w:tcPr>
          <w:p>
            <w:pPr>
              <w:spacing w:after="0"/>
              <w:rPr>
                <w:sz w:val="1"/>
                <w:szCs w:val="1"/>
                <w:color w:val="auto"/>
              </w:rPr>
            </w:pPr>
          </w:p>
        </w:tc>
      </w:tr>
      <w:tr>
        <w:trPr>
          <w:trHeight w:val="250"/>
        </w:trPr>
        <w:tc>
          <w:tcPr>
            <w:tcW w:w="172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237.1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240.9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237.6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3.8</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680" w:type="dxa"/>
            <w:vAlign w:val="bottom"/>
          </w:tcPr>
          <w:p>
            <w:pPr>
              <w:ind w:left="34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5,856.9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34.3</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6,179.3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34.5</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5,962.4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69.0</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6,148.7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67.9</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14.8</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0.2</w:t>
            </w:r>
          </w:p>
        </w:tc>
        <w:tc>
          <w:tcPr>
            <w:tcW w:w="2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4.44</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23.8</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4.04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14.5</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0.3</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80"/>
              <w:spacing w:after="0"/>
              <w:rPr>
                <w:sz w:val="20"/>
                <w:szCs w:val="20"/>
                <w:color w:val="auto"/>
              </w:rPr>
            </w:pPr>
            <w:r>
              <w:rPr>
                <w:rFonts w:ascii="Arial" w:cs="Arial" w:eastAsia="Arial" w:hAnsi="Arial"/>
                <w:sz w:val="12"/>
                <w:szCs w:val="12"/>
                <w:color w:val="auto"/>
              </w:rPr>
              <w:t>4.11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0.6</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1,307.6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12.8</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1,251.2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10.9</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1,294.3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24.6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1,257.4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21.5</w:t>
            </w:r>
          </w:p>
        </w:tc>
        <w:tc>
          <w:tcPr>
            <w:tcW w:w="680" w:type="dxa"/>
            <w:vAlign w:val="bottom"/>
          </w:tcPr>
          <w:p>
            <w:pPr>
              <w:ind w:left="340"/>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2,123.5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21.9</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18.4</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2,110.0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42.4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1,914.1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35.9</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183.4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240.0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2.8</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186.4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4.3</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5.7</w:t>
            </w:r>
          </w:p>
        </w:tc>
        <w:tc>
          <w:tcPr>
            <w:tcW w:w="680" w:type="dxa"/>
            <w:vAlign w:val="bottom"/>
          </w:tcPr>
          <w:p>
            <w:pPr>
              <w:ind w:left="34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6"/>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179.5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3,526.9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33.6</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3.81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3,272.7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31.1</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3,502.6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66.9</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3,237.4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62.0</w:t>
            </w:r>
          </w:p>
        </w:tc>
        <w:tc>
          <w:tcPr>
            <w:tcW w:w="680" w:type="dxa"/>
            <w:vAlign w:val="bottom"/>
          </w:tcPr>
          <w:p>
            <w:pPr>
              <w:ind w:left="340"/>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1,612.7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15.1</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1,604.1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29.7</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1,406.8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573.6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5.7</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557.7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11.3</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11.6</w:t>
            </w:r>
          </w:p>
        </w:tc>
        <w:tc>
          <w:tcPr>
            <w:tcW w:w="680" w:type="dxa"/>
            <w:vAlign w:val="bottom"/>
          </w:tcPr>
          <w:p>
            <w:pPr>
              <w:ind w:left="340"/>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455.8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8.9</w:t>
            </w:r>
          </w:p>
        </w:tc>
        <w:tc>
          <w:tcPr>
            <w:tcW w:w="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7.86</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379.7</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7.6</w:t>
            </w:r>
          </w:p>
        </w:tc>
        <w:tc>
          <w:tcPr>
            <w:tcW w:w="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8.06</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449.1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17.6</w:t>
            </w: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7.88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15.0</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7.98</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9,962.9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101.2</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9,217.8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91.0</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9,883.7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198.8</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9,119.6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179.0</w:t>
            </w:r>
          </w:p>
        </w:tc>
        <w:tc>
          <w:tcPr>
            <w:tcW w:w="680" w:type="dxa"/>
            <w:vAlign w:val="bottom"/>
          </w:tcPr>
          <w:p>
            <w:pPr>
              <w:ind w:left="340"/>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39.8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0.4</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40.3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0.4</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264"/>
        </w:trPr>
        <w:tc>
          <w:tcPr>
            <w:tcW w:w="1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16,062.5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136.9</w:t>
            </w:r>
          </w:p>
        </w:tc>
        <w:tc>
          <w:tcPr>
            <w:tcW w:w="2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3.41</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15,819.0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126.6</w:t>
            </w:r>
          </w:p>
        </w:tc>
        <w:tc>
          <w:tcPr>
            <w:tcW w:w="2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3.21</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16,098.7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270.4</w:t>
            </w: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3.37</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15,787.7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249.5</w:t>
            </w:r>
          </w:p>
        </w:tc>
        <w:tc>
          <w:tcPr>
            <w:tcW w:w="6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251.0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239.9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608.3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556.1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600.9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16,921.8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16,495.9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16,939.5</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16,465.4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2,969.8</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2,862.7</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93"/>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2,974.0</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2,864.6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0.8</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0.06%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Savings</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5,392.2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21"/>
                <w:szCs w:val="21"/>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5,376.9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5,379.3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5.3</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5,391.4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2.9</w:t>
            </w:r>
          </w:p>
        </w:tc>
        <w:tc>
          <w:tcPr>
            <w:tcW w:w="680" w:type="dxa"/>
            <w:vAlign w:val="bottom"/>
          </w:tcPr>
          <w:p>
            <w:pPr>
              <w:ind w:left="34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1,705.7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5.2</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1,480.5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2.9</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1,709.6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9.8</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1,397.5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0.72</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10,067.7</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9.5</w:t>
            </w:r>
          </w:p>
        </w:tc>
        <w:tc>
          <w:tcPr>
            <w:tcW w:w="2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0.38</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9,720.1</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5.0</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0.21</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10,062.9</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17.0</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0.34</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9,653.5</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8.7</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0.91</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0"/>
              </w:rPr>
              <w:t>Securities Sold Under Agreements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to Repurchase</w:t>
            </w:r>
          </w:p>
        </w:tc>
        <w:tc>
          <w:tcPr>
            <w:tcW w:w="20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505.1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4.6</w:t>
            </w:r>
          </w:p>
        </w:tc>
        <w:tc>
          <w:tcPr>
            <w:tcW w:w="240" w:type="dxa"/>
            <w:vAlign w:val="bottom"/>
          </w:tcPr>
          <w:p>
            <w:pPr>
              <w:spacing w:after="0"/>
              <w:rPr>
                <w:sz w:val="12"/>
                <w:szCs w:val="12"/>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505.3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5.1</w:t>
            </w:r>
          </w:p>
        </w:tc>
        <w:tc>
          <w:tcPr>
            <w:tcW w:w="26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505.2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9.2</w:t>
            </w:r>
          </w:p>
        </w:tc>
        <w:tc>
          <w:tcPr>
            <w:tcW w:w="180" w:type="dxa"/>
            <w:vAlign w:val="bottom"/>
          </w:tcPr>
          <w:p>
            <w:pPr>
              <w:spacing w:after="0"/>
              <w:rPr>
                <w:sz w:val="12"/>
                <w:szCs w:val="12"/>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10.2</w:t>
            </w:r>
          </w:p>
        </w:tc>
        <w:tc>
          <w:tcPr>
            <w:tcW w:w="680" w:type="dxa"/>
            <w:vAlign w:val="bottom"/>
          </w:tcPr>
          <w:p>
            <w:pPr>
              <w:ind w:left="34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235.7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0.9</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267.9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246.3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267.9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0"/>
              </w:rPr>
              <w:t>Total Interest-Bearing Liabilities</w:t>
            </w:r>
          </w:p>
        </w:tc>
        <w:tc>
          <w:tcPr>
            <w:tcW w:w="2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10,829.5</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15.1</w:t>
            </w:r>
          </w:p>
        </w:tc>
        <w:tc>
          <w:tcPr>
            <w:tcW w:w="2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0.56</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10,529.8</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11.3</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0.43</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10,834.4</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28.3</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0.52</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10,453.3</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21.2</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121.8</w:t>
            </w: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115.3</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242.1</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228.3</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2.85 %</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2"/>
                <w:szCs w:val="12"/>
                <w:color w:val="auto"/>
                <w:w w:val="93"/>
              </w:rPr>
              <w:t>2.78%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w w:val="93"/>
              </w:rPr>
              <w:t>2.85%</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2"/>
                <w:szCs w:val="12"/>
                <w:color w:val="auto"/>
                <w:w w:val="93"/>
              </w:rPr>
              <w:t>2.76%</w:t>
            </w:r>
          </w:p>
        </w:tc>
        <w:tc>
          <w:tcPr>
            <w:tcW w:w="0" w:type="dxa"/>
            <w:vAlign w:val="bottom"/>
          </w:tcPr>
          <w:p>
            <w:pPr>
              <w:spacing w:after="0" w:line="20" w:lineRule="exact"/>
              <w:rPr>
                <w:sz w:val="1"/>
                <w:szCs w:val="1"/>
                <w:color w:val="auto"/>
              </w:rPr>
            </w:pPr>
          </w:p>
        </w:tc>
      </w:tr>
      <w:tr>
        <w:trPr>
          <w:trHeight w:val="234"/>
        </w:trPr>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93"/>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2.90%</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Deposits</w:t>
            </w:r>
          </w:p>
        </w:tc>
        <w:tc>
          <w:tcPr>
            <w:tcW w:w="20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4,641.6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4,533.0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4,651.9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4,582.6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214.6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1,241.7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1,204.8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1,238.6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2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rPr>
              <w:t>Total Liabilities and</w:t>
            </w: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16,921.8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16,495.9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16,939.5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16,465.4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Shareholders’ 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140" w:hanging="172"/>
        <w:spacing w:after="0" w:line="239" w:lineRule="auto"/>
        <w:tabs>
          <w:tab w:leader="none" w:pos="180" w:val="left"/>
        </w:tabs>
        <w:numPr>
          <w:ilvl w:val="0"/>
          <w:numId w:val="37"/>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for 2018 and 35% for 2017, of $1.3 million and $3.1 million for the three and six months ended June 30, 2018, and of $3.1 million and $6.1 million for the three and six months ended June 30, 2017, respectively.</w:t>
      </w:r>
    </w:p>
    <w:p>
      <w:pPr>
        <w:sectPr>
          <w:pgSz w:w="11900" w:h="16838" w:orient="portrait"/>
          <w:cols w:equalWidth="0" w:num="1">
            <w:col w:w="11420"/>
          </w:cols>
          <w:pgMar w:left="240" w:top="130" w:right="239" w:bottom="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30" w:right="239" w:bottom="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 2018</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0"/>
              </w:rPr>
              <w:t>Compared to June 30, 2017</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(0.8)</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3.4</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0.3</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8.7</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7.0</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6.1</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0"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Net interest income was $120.5 million for the second quarter of 2018, an increase of $8.2 million or 7% compared to the same period in 2017. On a taxable-equivalent basis, net interest income was $121.8 million for the second quarter of 2018, an increase of $6.5 million or 6% compared to the same period in 2017. Net interest income was $239.5 million for the first six months of 2018, an increase of $17.3 million or 8% compared to the same period in 2017. On a taxable-equivalent basis, net interest income was $242.1 million for the first six months of 2018, an increase of $13.8 million or 6% compared to the same period in 2017.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3.04% for the second quarter of 2018, an increase of 12 basis points compared to the same period in 2017. Net interest margin was 3.02% for the first six months of 2018, an increase of 12 basis points compared to the same period in 2017. The higher margin in 2018 was primarily due to our loans, which generally have higher yields than our investment securities, comprising a larger percentage of our earning assets compared to 2017.</w:t>
      </w:r>
    </w:p>
    <w:p>
      <w:pPr>
        <w:spacing w:after="0" w:line="16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Yields on our earning assets increased by 20 basis points in both the second quarter and the first six months of 2018 compared to the same periods in 2017 primarily due to the aforementioned shift in the mix of our earning assets from investment securities to loans, which generally have higher yields. Yield increases in our commercial and industrial, commercial mortgage, and home equity loans are primarily due to higher yields on floating rate loans. Yields on our commercial and industrial loans increased by 41 basis points in the second quarter of 2018 and by 39 basis points in the first six months of 2018 compared to the same periods in 2017. Yields on our commercial mortgage loans increased by 33 basis points in the second quarter of 2018 and by 28 basis points in the first six months of 2018 compared to the same periods in 2017. In addition, yields on our home equity loans also increased by 14 basis points in both the second quarter of 2018 and the first six months of 2018 compared to the same periods in 2017. Yields on our investment securities portfolio increased by 12 basis points in the second quarter of 2018 and by 11 basis points in the first six months of 2018 compared to the same periods in 2017 primarily due to the higher interest rate environment and lower premium amortization. These yield increases were partially offset by a 100 basis point decrease in our automobile loan portfolios in the second quarter of 2018 and by 93 basis points in the first six months of 2018 compared to the same periods in 2017.</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Interest rates paid on our interest-bearing liabilities increased by 13 basis points in the second quarter of 2018, and 11 basis points in the first six months of 2018 compared to the same periods in 2017. Increases to our funding costs are primarily due to higher rates paid on our interest-bearing deposits. Interest rates paid on our time deposits increased by 43 basis points in the second quarter of 2018 and by 44 basis points in the first six months of 2018 compared to the same periods in 2017, a reflection of the higher interest rate environment. The average balances of core deposits increased by $122.4 million in the second quarter of 2018 and by $97.2 million in the first six months of 2018 compared to the same periods 2017. The higher funding costs were partially offset by the lower rates paid on our securities sold under agreements to repurchase. Interest rates paid on our repurchase agreements decreased by 36 basis points in the second quarter of 2018 and by 40 basis points in the first six months of 2018 compared to the same periods in 2017 primarily due to the restructuring of three repurchase agreements with private institutions with an aggregate total of $200.0 million. These repurchase agreements had a weighted-average interest rate of 3.94%. The restructuring of the agreements lowered the weighted-average interest rate to 2.70% effective June 2017.</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Average balances of our earning assets increased by $243.5 million or 2% in the second quarter of 2018 and by $311.0 million or 2% in the first six months of 2018 compared to the same periods in 2017 primarily due to loan growth as the average balances of our loan and lease portfolio increased by $745.1 million in the second quarter of 2018 and by $764.1 million in the first six months of 2018 compared to the same periods in 2017. The average balance of our residential mortgage portfolio increased by $254.2 million in the second quarter of 2018 and by $265.2 million in the first six months of 2018 compared to the same periods in 2017 primarily due to a relatively constant level of loan originations combined with a slowdown in payoff activity. The average balance of our home equity portfolio increased by $166.9 million in the second quarter of 2018 and by $197.3 million in the first six months of 2018 compared to the same periods in 2017 due in large part to the continued loan demand in light of a healthy Hawaii economy and stable real estate market conditions. In addition, utilization on new and existing home equity lines remained steady during 2018. The average balance of our commercial mortgage portfolio increased by $177.2 million in the second quarter of 2018 and by $195.9 million in the first six months of 2018 compared to the same periods in 2017 as a result of continued demand from new and existing customers as a result of a healthy Hawaii economy. Partially offsetting the increase in the average balances of our loans and leases portfolio was a $322.4 million decrease in the average balance of our total investment securities portfolio in the second quarter of</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2018 and a $186.3 million decrease in the first six months of 2018 compared to the same periods in 2017 primarily due to the shift in the mix of our earning assets from investment securities to loans.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Average balances of our interest-bearing liabilities increased by $299.7 million or 3% in the second quarter of 2018 and by $381.1 million or 4% in the first six months of 2018 compared to the same periods in 2017 primarily due to growth in our time deposits, along with continued growth in our relationship checking products. Additionally, average balances of our time deposits increased by $225.2 million in the second quarter of 2018 and by $312.1 million in the first six months of 2018, while interest-bearing demand accounts increased by $107.1 million for the second quarter of 2018 and by $109.4 million in the first six months of 2018 compared to the same periods in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$3.5 million in the second quarter of 2018 compared to a $4.3 million provision in the same period in 2017.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Noninterest income decreased by $3.9 million or 9% in the second quarter of 2018 and by $15.8 million or 16% for the first six months of 2018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Change</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11,356</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11,796</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(440)</w:t>
            </w:r>
          </w:p>
        </w:tc>
        <w:tc>
          <w:tcPr>
            <w:tcW w:w="2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22,537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23,275</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2,179</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3,819</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4,324</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7,119</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6,865</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8,009</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13,994</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16,334</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(2,340)</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14,400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13,965</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28,733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27,297</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(1,702)</w:t>
            </w:r>
          </w:p>
        </w:tc>
        <w:tc>
          <w:tcPr>
            <w:tcW w:w="4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(520)</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(2,368)</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11,613</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(13,981)</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1,847</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2,161</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3,053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4,156</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1,796</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1,550</w:t>
            </w:r>
          </w:p>
        </w:tc>
        <w:tc>
          <w:tcPr>
            <w:tcW w:w="4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3,638</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3,047</w:t>
            </w:r>
          </w:p>
        </w:tc>
        <w:tc>
          <w:tcPr>
            <w:tcW w:w="4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591</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4,557</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4,456</w:t>
            </w:r>
          </w:p>
        </w:tc>
        <w:tc>
          <w:tcPr>
            <w:tcW w:w="4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11,422</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8,311</w:t>
            </w: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41,298</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45,236</w:t>
            </w:r>
          </w:p>
        </w:tc>
        <w:tc>
          <w:tcPr>
            <w:tcW w:w="4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(3,938)</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85,333</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101,152</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(15,819)</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$9.3 billion and $9.0 billion as of June 30, 2018 and 2017, respectively. Trust and asset management income decreased by $0.4 million or 4% in the second quarter of 2018 and by $0.7 million or 3% for the first six months of 2018 compared to the same periods in 2017 due to a decrease in termination, transfer, and real estate service fees.</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decreased by $1.6 million or 43% in the second quarter of 2018 and by $2.8 million or 39% for the first six months of 2018 compared to the same periods in 2017. This decrease was primarily due to reduced sales of conforming saleable loans from our mortgage loan portfolio.</w:t>
      </w:r>
    </w:p>
    <w:p>
      <w:pPr>
        <w:spacing w:after="0" w:line="18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Service charges on deposit accounts decreased by $1.1 million or 14% in the second quarter of 2018 compared to the same period in 2017. This decrease was primarily due to a $0.7 million decrease in account analysis fees and a $0.5 million decrease in overdraft fees. Service charges on deposit accounts decreased by $2.3 million or 14% for the first six months of 2018 compared to the same periods in 2017 primarily due to a $1.3 million decrease in overdraft and a $1.2 million decrease in account analysis fees partially offset by an increase in other service and monthly fees.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service charges. Fees, exchange, and other service charges increased by $0.4 million or 3% in the second quarter of 2018 and by $1.4 million or 5% for the first six months of 2018 compared to the same periods in 2017. This year-to-date increase was primarily due to $1.2 million in merchant income, which was recorded as a reduction of other noninterest expense in 2017. This accounting change was related to the 2018 adoption of the new revenue recognition accounting guidance.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Investment securities gains (losses), net totaled $(1.7) million in the second quarter of 2018 compared to $(0.5) million during the same period in 2017. In June 2018, Visa announced a reduction of the conversion ratio of its Class B shares from 1.6483 to 1.6298 effective June 28, 2018. As a result, the Company recorded a $1.0 million liability in June 2018, which represents the amount due to the buyers of our Visa Class B shares in July 2018. Investment securities gains (losses), net totaled $(2.4) million in the first six months of 2018 compared to net gains on sales of investment securities of $11.6 million during the same period in 2017. The net loss in 2018 was primarily due to fees paid to the counterparties of our prior Visa Class B share sale transactions combined with the aforementioned Visa Class B conversion ratio liability. The net gain in 2017 was primarily due to a gain on the sale of 90,000 Visa Class B shares.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(135,296 Class A equivalents) that we own are carried at a zero cost basis. We also contributed 3,600 Visa Class B shares to the Bank of Hawaii Foundation in the second quarter of 2018.</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Annuity and insurance income decreased by $0.3 million or 15% in the second quarter of 2018 and by $1.1 million or 27% for the first six months of 2018 compared to the same periods in 2017. This decrease was primarily due to lower sales of our annuity products.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Bank-owned life insurance increased by $0.2 million or 16% in the second quarter of 2018 and by $0.6 million or 19% for the first six months of 2018 compared to the same periods in 2017. This increase was primarily due to death benefits received.</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Other noninterest income remained relatively unchanged in the second quarter of 2018 compared to the same period in 2017. Other noninterest income increased by $3.1 million or 37% for the first six months of 2018 compared to the same period in 2017 primarily due to a distribution received in the first quarter of 2018 from a low-income housing investment sale totaling $2.8 million.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30" w:right="29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Noninterest expense increased by $2.6 million or 3% in the second quarter of 2018 and by $8.4 million or 5% for the first six months of 2018 compared to the same periods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33,269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65,973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59,978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4,416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5,125</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9,594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10,899</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2,423</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5,182</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1,791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2,226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3,627</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4,178</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2,427</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6,740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6,371</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3,820</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202</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1,233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52,148</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49,676</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106,570</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100,841</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5,729</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8,588</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8,131</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17,122</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16,299</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5,845</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11,207</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4,563</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3,881</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8,454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7,291</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1,163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2,546</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5,371</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2,182</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2,097</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4,339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2,132</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2,207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4,540</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1,210</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2,335</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1,196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1,099</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2,036</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1,253</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2,551</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916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848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1,832</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1,696</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8,214</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9,473</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18,371</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18,284</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14,919</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16,106</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31,999</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31,442</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90,791</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185,175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176,757</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8,418</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Total salaries and benefits expense increased by $2.5 million or 5% in the second quarter of 2018 compared to the same period in 2017 primarily due to merit and minimum wage increases. In addition, medical expenses increased by $0.7 million. These increases were partially offset by a $0.7 million decrease in incentive compensation. Total salaries and benefits expense increased by $5.7 million or 6% for the first six months of 2018 compared to the same period in 2017. This increase was primarily due to merit and minimum wage increases. In addition, separation expense increased by $1.2 million. These increases were partially offset by a $1.4 million decrease in commission expense due to a decrease in loan origination and refinancing activity coupled with lower sales of annuity products. In addition, incentive compensation decreased by $1.3 million.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occupancy increased by $0.5 million or 6% in the second quarter of 2018 and by $0.8 million or 5% for the first six months of 2018 compared to the same periods in 2017. Net occupancy increased by $0.3 million in the second quarter of 2018 and by $0.5 million for the first six months of 2018 due to ATM lease space rental costs. These costs were recorded as a reduction of ATM fee income in 2017. This accounting change was related to the 2018 adoption of the new revenue recognition accounting guidance.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Data processing increased by $0.7 million or 18% in the second quarter of 2018 and by $1.2 million or 16% for the first six months of 2018 compared to the same periods in 2017 due to ongoing information technology projects.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Total other expense decreased by $1.2 million or 7% in the second quarter of 2018 compared to the same period in 2017 due to decreases in the provision for unfunded commitments ($0.3 million), business travel ($0.3 million), and temporary services ($0.3 million). Total other expense increased by $0.6 million or 2% for the first six months of 2018 compared to the same periods in 2017 primarily due to a $2.0 million legal reserve recorded in first quarter 2018 partially offset by decreases in temporary services ($0.4 million) and business travel ($0.3 million).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12,785</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20,414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23,227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42,058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18.94%</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17.60%</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30.50%</w:t>
            </w:r>
          </w:p>
        </w:tc>
      </w:tr>
    </w:tbl>
    <w:p>
      <w:pPr>
        <w:spacing w:after="0" w:line="23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effective tax rate for the second quarter of 2018 was 18.94%, down from 31.37% for the same period in 2017. The lower effective rate in the second quarter of 2018 was primarily due to the federal corporate tax rate changing from 35% to 21% as a result of the Tax Cuts and Jobs Act. Also favorably impacting our effective tax rate in 2018 was a $0.5 million tax benefit from the exercise of stock options and the vesting of restricted stock. The other significant transaction that favorably impacted our effective tax rate was an early buyout of our equity interest in a leveraged lease, which resulted in a $0.5 million credit. These were partially offset by the reduced tax benefit from municipal bonds due to the lower corporate tax rate.</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effective tax rate for the first six months of 2018 was 17.60%, down from 30.50% for the same period in 2017. The effective tax rate for the first six months of 2018 was favorably impacted by the aforementioned reduction in the federal corporate tax rate. The tax rate was also favorably impacted by a $2.0 million basis adjustment to the company’s low income housing investments in the first quarter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carrying value of our investment securities portfolio was $5.7 billion as of June 30, 2018, a decrease of $472.4 million or 8% compared to December 31, 2017. As of June 30, 2018, our investment securities portfolio was comprised of securities with an average base duration of approximately 3.6 years.</w:t>
      </w:r>
    </w:p>
    <w:p>
      <w:pPr>
        <w:spacing w:after="0" w:line="12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six months of 2018, we reduced our positions in mortgage-backed securities issued by Ginnie Mae and Fannie Mae. We re-invested these proceeds primarily into higher yielding loan products. In addition, we increased our holdings in Small Business Administration securities. Ginnie Mae mortgage-backed securities continue to be the largest concentration in our portfolio. As of June 30, 2018, our portfolio of Ginnie Mae mortgage-backed securities was primarily comprised of securities issued in 2008 or later. As of June 30, 2018, these mortgage-backed securities were all AAA-rated, with a low probability of a change in their credit ratings in the near future. As of June 30, 2018, our available-for-sale investment securities portfolio was comprised of securities with an average base duration of approximately 2.4 years.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unrealized gains in our investment securities portfolio were $22.6 million as of June 30, 2018 and $36.6 million as of December 31, 2017. Gross unrealized losses on our temporarily impaired investment securities were $138.8 million as of June 30, 2018 and $73.9 million as of December 31, 2017. The higher unrealized losses were primarily caused by the higher interest rate environment.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30, 2018, included in our investment securities portfolio were debt securities issued by political subdivisions within the State of Hawaii of $478.1 million, representing 57% of the total fair value of the Company’s municipal debt securities. Of the entire Hawaii municipal bond portfolio, 94% were credit-rated Aa2 or better by Moody’s while the remaining Hawaii municipal bonds were credit-rated A1 or better by at least one nationally recognized statistical rating organization. Approximately 78% of our Hawaii municipal bond holdings were general obligation issuances. As of June 30, 2018, there were no other holdings of municipal debt securities that were issued by a single state or political subdivision which comprised more than 10% of the total fair value of our municipal debt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1,282,967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2,169,357</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185,350</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178,598</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3,816,272</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3,548,444</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1,622,314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592,705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473,588</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6,237,051</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10,053,323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loans and leases as of June 30, 2018 increased by $256.4 million or 3% from December 31, 2017 primarily due to growth in our consumer lending portfolio.</w:t>
      </w:r>
    </w:p>
    <w:p>
      <w:pPr>
        <w:spacing w:after="0" w:line="170"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Commercial loans and leases as of June 30, 2018 increased by $49.8 million or 1% from December 31, 2017. Commercial and industrial loans remained relatively unchanged from December 31, 2017. Commercial mortgage loans increased by $65.4 million or 3% from December 31, 2017 primarily due to continued demand from new and existing customers as the Hawaii economy continues to be strong. Construction loans decreased by $16.9 million or 8% from December 31, 2017 primarily due to paydowns and successful completion of construction projects such as condominiums and low-income housing, partially offset by increased activity in our portfolio. Lease financing remained relatively unchanged from December 31, 2017.</w:t>
      </w:r>
    </w:p>
    <w:p>
      <w:pPr>
        <w:spacing w:after="0" w:line="1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Consumer loans and leases as of June 30, 2018 increased by $206.6 million or 3% from December 31, 2017. Residential mortgage loans increased by $81.7 million or 2% from December 31, 2017 primarily due to a relatively constant level of loan originations combined with a slowdown in payoff activity. Home equity lines and loans increased by $36.9 million or 2% from December 31, 2017 as a result of continued loan demand in light of a healthy Hawaii economy and stable real estate market conditions. Additionally, utilization on new and existing home equity lines remained steady during 2018. Automobile loans increased by $64.2 million or 12% from December 31, 2017 primarily driven by healthy automobile loan demand and competitive loan programs. Other consumer loans increased by $23.8 million or 5% from December 31, 2017, primarily due to growth in our automobile leasing and installment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1,114,342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82,585</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1,282,967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1,849,188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56,323</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263,369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2,169,357</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185,350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185,350</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55,662</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118,571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3,457</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178,598</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3,204,542</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257,479</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348,821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4,318</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3,816,272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3,467,736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79,092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3,548,444</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1,584,809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35,638</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1,242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1,622,314</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468,233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117,500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6,972</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592,705</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394,276</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50,443</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28,869</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473,588</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5,915,054</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625</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282,673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38,699</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6,237,051</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9,119,596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258,104</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631,494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39,811</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4,318</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10,053,323</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1,119,348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99,099</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59,233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1,837,831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57,331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208,805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189,401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12,852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53,329</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123,619</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3,199,909</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280,049</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269,109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13,614</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3,817</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3,382,961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82,026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1,547,619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423,364</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101,680</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373,941</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46,703</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29,103</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5,727,885</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266,127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35,570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8,927,794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280,916</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535,236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49,184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8"/>
          <w:szCs w:val="8"/>
          <w:color w:val="auto"/>
        </w:rPr>
      </w:pPr>
      <w:r>
        <w:rPr>
          <w:rFonts w:ascii="Arial" w:cs="Arial" w:eastAsia="Arial" w:hAnsi="Arial"/>
          <w:sz w:val="13"/>
          <w:szCs w:val="13"/>
          <w:color w:val="auto"/>
        </w:rPr>
        <w:t>For secured loans and leases, classification as U.S. Mainland is made based on where the collateral is located. For unsecured loans and leases, classification as U.S. Mainland is made based 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$191.8 million or 2% from December 31, 2017,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39,796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15,212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10,518</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82,940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32,400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11,305</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38,318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43,195</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43,081</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33,432</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6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263,052</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252,596</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Total other assets increased by $10.5 million or 4% from December 31, 2017. The increase was primarily due to a $5.9 million increase in principal receivables mainly related to matured securities in the second quarter of 2018. In addition, derivative financial instruments increased $4.7 million primarily due to the fair value increase of our interest rate swap agreement assets, which is affected by prevailing interest rates. Due to our risk mitigating strategies in structuring these agreements, fair value changes to our swap agreement assets are offset with similar fair value changes to our swap agreement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8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7,672,435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7,478,228</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5,921,414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5,973,763</w:t>
            </w:r>
          </w:p>
        </w:tc>
      </w:tr>
      <w:tr>
        <w:trPr>
          <w:trHeight w:val="33"/>
        </w:trPr>
        <w:tc>
          <w:tcPr>
            <w:tcW w:w="4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8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1,349,509</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1,431,977</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8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14,943,358</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Total deposits were $14.9 billion as of June 30, 2018, an increase of $59.4 million or less than 1% from December 31, 2017. Consumer deposits increased by $194.2 million primarily due to $190.7 million increase in time deposits. This increase was partially offset by an $82.5 million decrease in public and other deposits. In addition, commercial deposits decreased by $52.3 million primarily resulting from a decline in analyzed business checking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1,835,984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1,827,090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74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3,553,779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3,561,923</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5,389,763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5,389,013</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6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4,193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5,293</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504,193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sold under agreements to repurchase was $504.2 million and $505.3 million as of June 30, 2018 and December 31, 2017, respectively. As of June 30, 2018, the weighted-average maturity was 152 days for our repurchase agreements with government entities and 3.1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2.5 years. As of June 30, 2018, the weighted-average interest rate for outstanding agreements with government entities and private institutions was 0.88% and 3.64%, respectively, with all rates being fixed. Each of our repurchase agreements is accounted for as a collateralized financing arrangement (i.e., a secured borrowing) and not as a sale and subsequent repurchase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40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10,681</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10,716</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235,681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Other debt was $235.7 million as of June 30, 2018, a decrease of $25.0 million or 10% from December 31, 2017. This decrease was primarily due to a $25.0 million FHLB advance which matured during the first quarter of 2018. As of June 30, 2018, our FHLB advances had a weighted-average interest rate of</w:t>
      </w:r>
    </w:p>
    <w:p>
      <w:pPr>
        <w:ind w:right="420"/>
        <w:spacing w:after="0" w:line="261" w:lineRule="auto"/>
        <w:rPr>
          <w:sz w:val="20"/>
          <w:szCs w:val="20"/>
          <w:color w:val="auto"/>
        </w:rPr>
      </w:pPr>
      <w:r>
        <w:rPr>
          <w:rFonts w:ascii="Arial" w:cs="Arial" w:eastAsia="Arial" w:hAnsi="Arial"/>
          <w:sz w:val="18"/>
          <w:szCs w:val="18"/>
          <w:color w:val="auto"/>
        </w:rPr>
        <w:t>1.28% with maturity dates ranging from 2018 to 2020. These advances were primarily for asset/liability management purposes. As of June 30, 2018, our remaining unused line of credit with the FHLB was $2.1 billion.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22,424</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21,410</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41,441</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40,757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23,118</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19,013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44,653</w:t>
            </w:r>
          </w:p>
        </w:tc>
        <w:tc>
          <w:tcPr>
            <w:tcW w:w="1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37,959</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6,533</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4,203</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7,815</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52,075</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44,626</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98,083</w:t>
            </w:r>
          </w:p>
        </w:tc>
        <w:tc>
          <w:tcPr>
            <w:tcW w:w="1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86,531</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2,643</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9,307</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54,718</w:t>
            </w:r>
          </w:p>
        </w:tc>
        <w:tc>
          <w:tcPr>
            <w:tcW w:w="10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44,662</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108,758</w:t>
            </w: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95,838</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income increased by $1.0 million or 5% in the second quarter of 2018 compared to the same period in 2017 primarily due to a decrease in the effective income tax rate used to allocate the provision for income taxes. This was partially offset by decreases in noninterest income and net interest income, and an increase in the Provision. Noninterest income decreased primarily due to reduced sales of conforming saleable loans from our mortgage portfolio and lower margins on those sales. In addition, overdraft fees decreased in the second quarter of 2018 compared to the same period in 2017. The decrease in net interest income was primarily due to lower average rates in the segment’s loan portfolio and lower average balances in the segment’s deposit portfolio, the latter primarily due to the transfer of deposits to the Investment Services and Private Banking segment. This was partially offset by higher average rates in the segment’s deposit portfolio and higher average balances in the segment’s loan portfolio. The increase in the Provision was primarily due to higher net charge-offs in the segment’s small business, personal credit line, and home equity loan portfolios, partially offset by lower net charge-offs in the segment’s mortgage loan and auto loan portfolios.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income increased by $0.7 million or 2% in the first half of 2018 compared to the same period in 2017 primarily due to a decrease in the effective income tax rate used to allocate the provision for income taxes. This was partially offset by decreases in noninterest income and net interest income and an increase in noninterest expense. In addition, the Provision increased. The decrease in noninterest income was primarily due to reduced sales of conforming saleable loans from our mortgage portfolio and lower margins on those sales. In addition, overdraft fees decreased in the first half of 2018 compared to the same period in 2017. The decrease in net interest income was primarily due to lower average rates in the segment’s loan portfolio and lower average balances in the segment’s deposit portfolio, the latter primarily due to the transfer of deposits to the Investment Services and Private Banking segment. This was partially offset by higher average rates in the segment’s deposit portfolio and higher average balances in the segment’s loan portfolio. Noninterest expense increased primarily due to a $2.0 million increase in legal reserves recorded in the first quarter of 2018 and higher allocated technology expense and allocated finance expense. This was partially offset by the reclassification in the first half of 2018 of certain ATM and debit transaction processing fees as contra revenue, and a decrease in professional fees. The increase in the Provision was primarily due to higher net charge-offs in the segment’s small business, credit card and installment loan portfolios, partially offset by lower net charge-offs in the segment’s mortgage loan and home equity portfolios.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income increased by $4.1 million or 22% in the second quarter of 2018 compared to the same period in 2017 primarily due to an increase in net interest income and to a decrease in the provision for income taxes. This was partially offset by a decrease in noninterest income and to an increase in noninterest expense. The increase in net interest income was primarily due to higher earnings credits on the segment’s deposit portfolio, and partially due to growth in the segment’s loan portfolio. The decrease in noninterest income was due to lower account analysis fees as a result of higher earnings credit rates on customer accounts, and to lower net gains on sale of equipment leases. The increase in noninterest expense was primarily due to higher salaries, operating and allocated expenses. The decrease in the provision for income taxes was due to the lower effective tax rate allocated to the segment.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increased by $6.7 million or 18% for the first six months of 2018 compared to the same period in 2017 primarily to an increase in net interest income and to a decrease in the provision for income taxes. This was partially offset by an increase in noninterest expense. The increase in net interest income was primarily due to higher earnings credits on the segment’s deposit portfolio, and partially due to growth in the segment’s loan portfolio. The increase in noninterest expense was primarily due to higher salaries, operating and allocated expenses. The decrease in the provision for income taxes was due to the lower effective tax rate allocated to the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increased by $2.3 million or 55% in the second quarter of 2018 compared to the same period in 2017 primarily due to an increase in net interest income which was partially offset by higher noninterest expense and lower noninterest income. The increase in net interest income was primarily driven by the transfer of deposits and loans from the Retail Banking segment and growth of the segment’s deposit portfolio. The increase in noninterest expense was primarily due to higher salaries and benefits expense and higher allocated expenses. The decrease in noninterest income was primarily driven by a decrease in trust service fees.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increased by $4.2 million or 53% for the first six months of 2018 compared to the same period in 2017 primarily due to an increase in net interest income offset by an increase in noninterest expense and a decrease in noninterest income. The increase in net interest income was primarily driven by the transfer of deposits and loans from the Retail Banking segment and growth of the segment’s deposit portfolio. The increase in noninterest expense was primarily due to higher salaries and benefits expense and higher allocated expenses. The decrease in noninterest income was driven by lower annuity sales and lower trust service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increased to $2.6 million in the second quarter of 2018 from less than $0.1 million in the same period in 2017 primarily due to an increase in net interest income and a reduction in the Provision partially offset by lower non-interest income. The reduction in non-interest income was primarily due to a $1.0 million liability related to a change in the Visa Class B conversion ratio.</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income increased by $1.4 million or 15% for the first six months of 2018 compared to the same period in 2017 primarily due to an increase in net interest income and a decrease in the Provision. This was partially offset by a decrease in noninterest income. The increase in net interest income was primarily due to an increase in funding income related to lending activities and interest income from investment securities resulting from an increase in associated yields. This was partially offset by higher deposit funding costs. The Provision in this business segment represents the residual provision for credit losses to arrive at the total Provision for the Company. The decrease in noninterest income was primarily due to the sale of 90,000 Visa Class B shares in the first quarter of 2017. Partially offsetting this was a $2.8 million distribution from a low-income housing investment sale in the first quarter of 2018.</w:t>
      </w:r>
    </w:p>
    <w:p>
      <w:pPr>
        <w:spacing w:after="0" w:line="16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As of June 30, 2018, our overall credit risk profile reflects a healthy Hawaii economy as our levels of non-performing assets and credit losses remain well controlled. The underlying risk profile of our lending portfolio continued to remain strong during the first six months of 2018.</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917</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448</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659</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1,398</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1,576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1,846</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6,722</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9,243</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3,933</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10,655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13,234</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12,231</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15,080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2,926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1,040</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15,157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16,120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5,680</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5,682</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2,281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2,703</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3,016</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1,624</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r>
      <w:tr>
        <w:trPr>
          <w:trHeight w:val="264"/>
        </w:trPr>
        <w:tc>
          <w:tcPr>
            <w:tcW w:w="72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1,660</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1,934</w:t>
            </w: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7,631</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7,147</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13,313</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7,147</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50,212</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55,672</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10,053,323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9,796,947</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16,120</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4,281</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(3,098)</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Sales of Foreclosed Real Estate</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Charge-offs/Write-downs</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Reductions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(5,244)</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15,157</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906"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30" w:right="239" w:bottom="906"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NPAs were $15.2 million as of June 30, 2018, a decrease of $1.0 million or 6% from December 31, 2017. The ratio of our NPAs to total loans and leases and foreclosed real estate was 0.15% as of June 30, 2018 and 0.16% as of December 31, 2017.</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Commercial and industrial non-accrual loans increased by $0.5 million or 105% from December 31, 2017 primarily due to the addition of one borrower. We have evaluated this borrower for impairment and recorded no partial charge-offs in the first six months of 2018.</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Commercial mortgage non-accrual loans were $0.7 million as of June 30, 2018, a decrease of $0.7 million or 53% from December 31, 2017 due to payoff of two loans. We have evaluated the remaining commercial mortgage non-accrual loans for impairment and recorded no charge-offs.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largest component of our NPAs continues to be residential mortgage loans. Residential mortgage non-accrual loans decreased by $2.5 million or 27% from December 31, 2017 primarily due to transfers to foreclosed real estate and from loans returning to accrual status. Residential mortgage non-accrual loans remain at elevated levels due mainly to the lengthy judicial foreclosure process as well as residential mortgage loan modifications the Bank entered into to assist borrowers wishing to remain in their residences despite having financial challenges. As of June 30, 2018, our residential mortgage non-accrual loans were comprised of 25 loans with a weighted average current loan-to-value ratio of 56%.</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$1.9 million or 181% from December 31, 2017 due to the addition of four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$13.3 million as of June 30, 2018, a $6.2 million or 86% increase from December 31, 2017. The increase was primarily due to one commercial mortgage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$54.2 million as of June 30, 2018 and $61.2 million as of December 31, 2017, and had a related Allowance of $3.9 million as of June 30, 2018 and December 31, 2017. As of June 30, 2018, we have recorded cumulative charge-offs of $12.4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6,467</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8,486</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2,768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9,205</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1,374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1,416</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7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10,609</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7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20,619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21,581</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2,488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16,010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14,811</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2,864</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2,645</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7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41,981</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52,590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60,109</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Loans modified in a TDR decreased by $7.5 million or 13% from December 31, 2017. The decrease was primarily due to the full repayments of commercial mortgage loans during the second quarter of 2018. Residential mortgage loans remain our largest TDR loan class.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0"/>
                <w:szCs w:val="20"/>
                <w:color w:val="auto"/>
              </w:rPr>
            </w:pPr>
          </w:p>
        </w:tc>
        <w:tc>
          <w:tcPr>
            <w:tcW w:w="252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23"/>
                <w:szCs w:val="23"/>
                <w:color w:val="auto"/>
              </w:rPr>
            </w:pPr>
          </w:p>
        </w:tc>
      </w:tr>
      <w:tr>
        <w:trPr>
          <w:trHeight w:val="3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114,760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111,636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114,168</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110,845</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(485)</w:t>
            </w:r>
          </w:p>
        </w:tc>
        <w:tc>
          <w:tcPr>
            <w:tcW w:w="4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(691)</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(689)</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(1,515)</w:t>
            </w:r>
          </w:p>
        </w:tc>
        <w:tc>
          <w:tcPr>
            <w:tcW w:w="4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(3,769)</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(3,802)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(3,614)</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(3,063)</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(6,954)</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(5,757)</w:t>
            </w:r>
          </w:p>
        </w:tc>
      </w:tr>
      <w:tr>
        <w:trPr>
          <w:trHeight w:val="232"/>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(5,661)</w:t>
            </w:r>
          </w:p>
        </w:tc>
        <w:tc>
          <w:tcPr>
            <w:tcW w:w="4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(5,487)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(11,649)</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(11,191)</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Lease Financing</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214</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434</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368</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451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1,076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1,346</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738</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607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1,337</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1,227</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642</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551</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1,325</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1,078</w:t>
            </w:r>
          </w:p>
        </w:tc>
      </w:tr>
      <w:tr>
        <w:trPr>
          <w:trHeight w:val="232"/>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2,411</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2,526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4,866</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4,621</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(3,250)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(6,783)</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3,500</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7,625</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8,650</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Unfunded Commitments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r>
      <w:tr>
        <w:trPr>
          <w:trHeight w:val="297"/>
        </w:trPr>
        <w:tc>
          <w:tcPr>
            <w:tcW w:w="5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115,010</w:t>
            </w:r>
          </w:p>
        </w:tc>
        <w:tc>
          <w:tcPr>
            <w:tcW w:w="4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113,175</w:t>
            </w:r>
          </w:p>
        </w:tc>
        <w:tc>
          <w:tcPr>
            <w:tcW w:w="2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115,010</w:t>
            </w:r>
          </w:p>
        </w:tc>
        <w:tc>
          <w:tcPr>
            <w:tcW w:w="4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113,175</w:t>
            </w:r>
          </w:p>
        </w:tc>
      </w:tr>
      <w:tr>
        <w:trPr>
          <w:trHeight w:val="122"/>
        </w:trPr>
        <w:tc>
          <w:tcPr>
            <w:tcW w:w="5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108,188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108,188</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106,353</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6,822</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6,822</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6,822</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115,010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113,175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115,010</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113,175</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9,962,860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9,217,779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9,883,746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9,119,610</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2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0.13%</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0.14%</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20"/>
        </w:trPr>
        <w:tc>
          <w:tcPr>
            <w:tcW w:w="558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5580" w:type="dxa"/>
            <w:vAlign w:val="bottom"/>
          </w:tcPr>
          <w:p>
            <w:pPr>
              <w:ind w:left="160"/>
              <w:spacing w:after="0"/>
              <w:rPr>
                <w:sz w:val="20"/>
                <w:szCs w:val="20"/>
                <w:color w:val="auto"/>
              </w:rPr>
            </w:pPr>
            <w:r>
              <w:rPr>
                <w:rFonts w:ascii="Arial" w:cs="Arial" w:eastAsia="Arial" w:hAnsi="Arial"/>
                <w:sz w:val="16"/>
                <w:szCs w:val="16"/>
                <w:color w:val="auto"/>
              </w:rPr>
              <w:t>Loans and Leases Outstanding</w:t>
            </w:r>
          </w:p>
        </w:tc>
        <w:tc>
          <w:tcPr>
            <w:tcW w:w="3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r>
    </w:tbl>
    <w:p>
      <w:pPr>
        <w:spacing w:after="0" w:line="68" w:lineRule="exact"/>
        <w:rPr>
          <w:sz w:val="20"/>
          <w:szCs w:val="20"/>
          <w:color w:val="auto"/>
        </w:rPr>
      </w:pPr>
    </w:p>
    <w:p>
      <w:pPr>
        <w:ind w:left="260" w:hanging="171"/>
        <w:spacing w:after="0"/>
        <w:tabs>
          <w:tab w:leader="none" w:pos="26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4"/>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420"/>
          </w:cols>
          <w:pgMar w:left="240" w:top="130"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30"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June 30, 2018, the Allowance was $108.2 million or 1.08% of total loans and leases outstanding, compared with an Allowance of $107.3 million or 1.10% of total loans and leases outstanding as of December 31, 2017.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charge-offs on loans and leases were $3.3 million or 0.13% of total average loans and leases, on an annualized basis, in the second quarter of 2018 compared to net charge-offs of $3.0 million or 0.13% of total average loans and leases, on an annualized basis, in the second quarter of 2017. Net charge-offs on loans and leases were $6.8 million or 0.14% of total average loans and leases, on an annualized basis, for the first six months of 2018 compared to net charge-offs of $6.6 million or 0.15% of total average loans and leases, on an annualized basis, in the first six months of 2017. Net charge-offs were primarily reflected in our consumer portfolios, totaling $6.8 million and $6.9 million for the first six months of 2018 and 2017, respectively.</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June 30, 2018,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Unfunded Reserve was $6.8 million as of June 30, 2018, unchanged from December 31, 2017. The process used to determine the Unfunded Reserve is consistent with the process for determining the Allowance, as adjusted for estimated funding probabilities.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30" w:right="29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30" w:right="2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June 30, 2018 and December 31, 2017,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June 30, 2018,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Since deposit costs are already at low levels, we believe that lower interest rates are unlikely to significantly impact our funding costs. Based on our net interest income simulation as of June 30, 2018, net interest income sensitivity to changes in interest rates for the twelve months subsequent to June 30, 2018 was slightly less sensitive in comparison to the sensitivity profile for the twelve months subsequent to December 31,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2018</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2017</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12,638</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2.6 %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12,420</w:t>
            </w:r>
          </w:p>
        </w:tc>
        <w:tc>
          <w:tcPr>
            <w:tcW w:w="8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6,769</w:t>
            </w:r>
          </w:p>
        </w:tc>
        <w:tc>
          <w:tcPr>
            <w:tcW w:w="9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1.4</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6,622</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899"/>
              <w:spacing w:after="0"/>
              <w:rPr>
                <w:sz w:val="20"/>
                <w:szCs w:val="20"/>
                <w:color w:val="auto"/>
              </w:rPr>
            </w:pPr>
            <w:r>
              <w:rPr>
                <w:rFonts w:ascii="Arial" w:cs="Arial" w:eastAsia="Arial" w:hAnsi="Arial"/>
                <w:sz w:val="16"/>
                <w:szCs w:val="16"/>
                <w:color w:val="auto"/>
              </w:rPr>
              <w:t>(6,759)</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(1.4)</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(6,789)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28,332</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29,876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14,866</w:t>
            </w: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16,328</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(19,252)</w:t>
            </w: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(21,653)</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2240"/>
        <w:spacing w:after="0" w:line="291" w:lineRule="auto"/>
        <w:rPr>
          <w:sz w:val="20"/>
          <w:szCs w:val="20"/>
          <w:color w:val="auto"/>
        </w:rPr>
      </w:pPr>
      <w:r>
        <w:rPr>
          <w:rFonts w:ascii="Arial" w:cs="Arial" w:eastAsia="Arial" w:hAnsi="Arial"/>
          <w:sz w:val="16"/>
          <w:szCs w:val="16"/>
          <w:color w:val="auto"/>
        </w:rPr>
        <w:t>In an effort to satisfy our liquidity needs, we actively manage our assets and liabilities. We have access to immediate liquid resources in the form of cash which is primarily on deposit with the FRB. Potential sources of liquidity also include investment</w:t>
      </w:r>
    </w:p>
    <w:p>
      <w:pPr>
        <w:ind w:right="120"/>
        <w:spacing w:after="0" w:line="254" w:lineRule="auto"/>
        <w:rPr>
          <w:sz w:val="20"/>
          <w:szCs w:val="20"/>
          <w:color w:val="auto"/>
        </w:rPr>
      </w:pPr>
      <w:r>
        <w:rPr>
          <w:rFonts w:ascii="Arial" w:cs="Arial" w:eastAsia="Arial" w:hAnsi="Arial"/>
          <w:sz w:val="18"/>
          <w:szCs w:val="18"/>
          <w:color w:val="auto"/>
        </w:rPr>
        <w:t>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enhanced by our ability to pledge loans to access secured borrowings from the FHLB and FRB. As of June 30, 2018, we had additional borrowing capacity of $2.1 billion from the FHLB and $545.7 million from the FRB based on the amount of collateral pledged.</w:t>
      </w:r>
    </w:p>
    <w:p>
      <w:pPr>
        <w:spacing w:after="0" w:line="18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the first six months of 2018. As of June 30, 2018, cash and cash equivalents were $677.8 million, the carrying value of our available-for-sale investment securities was $2.1 billion, and total deposits were $14.9 billion. As of June 30, 2018, our available-for-sale investment securities portfolio was comprised of securities with an average base duration of approximately 2.4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2018, the Company and the Bank were considered “well capitalized” under this regulatory framework. The Company’s regulatory capital ratios are presented in Table 20 below. There have been no conditions or events since June 30, 2018 that management believes have changed either the Company’s or the Bank’s capital classifications.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June 30, 2018, shareholders’ equity was $1.2 billion, an increase of $15.8 million or 1% from December 31, 2017. For the first six months of 2018, net income of $108.8 million, common stock issuances of $4.4 million, share-based compensation of $4.1 million were partially offset by other comprehensive loss of $11.7 million, cash dividends paid of $47.5 million, and common stock repurchased of $42.2 million. In the first six months of 2018, included in the amount of common stock repurchased were 457,500 shares repurchased under our share repurchase program. These shares were repurchased at an average cost per share of $84.67 and a total cost of $38.7 million. From the beginning of our share repurchase program in July 2001 through June 30, 2018, we repurchased a total of 54.6 million shares of common stock and returned a total of $2.11 billion to our shareholders at an average cost of $38.68 per share.</w:t>
      </w:r>
    </w:p>
    <w:p>
      <w:pPr>
        <w:spacing w:after="0" w:line="165" w:lineRule="exact"/>
        <w:rPr>
          <w:sz w:val="20"/>
          <w:szCs w:val="20"/>
          <w:color w:val="auto"/>
        </w:rPr>
      </w:pPr>
    </w:p>
    <w:p>
      <w:pPr>
        <w:ind w:right="2400"/>
        <w:spacing w:after="0" w:line="279" w:lineRule="auto"/>
        <w:rPr>
          <w:sz w:val="20"/>
          <w:szCs w:val="20"/>
          <w:color w:val="auto"/>
        </w:rPr>
      </w:pPr>
      <w:r>
        <w:rPr>
          <w:rFonts w:ascii="Arial" w:cs="Arial" w:eastAsia="Arial" w:hAnsi="Arial"/>
          <w:sz w:val="17"/>
          <w:szCs w:val="17"/>
          <w:color w:val="auto"/>
        </w:rPr>
        <w:t>From July 1, 2018 through July 17, 2018, the Parent repurchased an additional 53,000 shares of common stock at an average cost of $84.63 per share for a total of $4.5 million. Remaining buyback authority under our share repurchase program was $76.8 million as of July 17, 2018. The actual amount and timing of future share repurchases, if any, will depend on market and economic conditions, regulatory rules, applicable SEC rules, and various other factors.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July 2018, the Parent’s Board of Directors declared a quarterly cash dividend of $0.60 per share on the Parent’s outstanding shares. The dividend will be payable on September 17, 2018 to shareholders of record at the close of business on August 31, 2018.</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to be fully phased-in by January 1, 2019. As of June 30, 2018, the Company’s capital levels remained characterized as “well-capitalized” under the new rules. See the “Regulatory Initiatives Affecting the Banking Industry” section below for further discussion on Basel III.</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30"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June 30, 2018 and December 31, 2017.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1,247,717</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1,231,868</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2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(33,252)</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(20,603)</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2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1,273,052</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2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1,273,052</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2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115,010</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114,168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1,388,062</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1,352,231</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9,593,242</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9,348,296</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2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2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2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7.53</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FRB and the FDIC approved the final rules implementing the BCBS’s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implemented by January 1, 2019. As of June 30, 2018,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Dodd-Frank Act required federal banking agencies to issue regulations that obligate banks with total consolidated assets of more than $10.0 billion to conduct and publish company-run annual stress tests to assess the potential impact of different scenarios on the consolidated earnings and capital of each bank and certain related items over a nine-quarter forward-looking planning horizon, taking into account all relevant exposures and activities.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submitted our latest stress testing results to the FRB on July 28, 2017 and disclosed the results to the public on October 24, 2017. The disclosure is available on our website www.boh.com, in the 2017 Financial Reports section of the Investor Relations area.</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be subject to company-run stress testing requirements in section 165(i)(2) of the Dodd-Frank Act, including publishing a summary of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Assessment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March 2016, the FDIC approved a final rule that imposes on banks with at least $10 billion in assets, such as the Company, a surcharge of 4.5 cents per</w:t>
      </w:r>
    </w:p>
    <w:p>
      <w:pPr>
        <w:spacing w:after="0" w:line="4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$100 of their assessment base, after making certain adjustments. The surcharge took effect at the same time that the regular FDIC insurance assessment rates for all banks declined under a rule adopted by the FDIC in 2011. The surcharge is scheduled to end on December 31, 2018 unless the deposit insurance fund’s reserve ratio reaches a specified benchmark before then. If the reserve ratio does not meet the benchmark by December 31, 2018, a special assessment will be applied in March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2017.</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2018.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June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June 30,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9"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second quarter of 2018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060" w:type="dxa"/>
            <w:vAlign w:val="bottom"/>
          </w:tcPr>
          <w:p>
            <w:pPr>
              <w:spacing w:after="0"/>
              <w:rPr>
                <w:sz w:val="17"/>
                <w:szCs w:val="17"/>
                <w:color w:val="auto"/>
              </w:rPr>
            </w:pPr>
          </w:p>
        </w:tc>
        <w:tc>
          <w:tcPr>
            <w:tcW w:w="236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 Paid</w:t>
            </w: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r>
      <w:tr>
        <w:trPr>
          <w:trHeight w:val="24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 Share</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r>
      <w:tr>
        <w:trPr>
          <w:trHeight w:val="245"/>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1 - 30, 2018</w:t>
            </w:r>
          </w:p>
        </w:tc>
        <w:tc>
          <w:tcPr>
            <w:tcW w:w="2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79,095</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83.33</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99,579,352</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May 1 - 31, 2018</w:t>
            </w:r>
          </w:p>
        </w:tc>
        <w:tc>
          <w:tcPr>
            <w:tcW w:w="2360" w:type="dxa"/>
            <w:vAlign w:val="bottom"/>
          </w:tcPr>
          <w:p>
            <w:pPr>
              <w:jc w:val="right"/>
              <w:ind w:right="99"/>
              <w:spacing w:after="0"/>
              <w:rPr>
                <w:sz w:val="20"/>
                <w:szCs w:val="20"/>
                <w:color w:val="auto"/>
              </w:rPr>
            </w:pPr>
            <w:r>
              <w:rPr>
                <w:rFonts w:ascii="Arial" w:cs="Arial" w:eastAsia="Arial" w:hAnsi="Arial"/>
                <w:sz w:val="16"/>
                <w:szCs w:val="16"/>
                <w:color w:val="auto"/>
              </w:rPr>
              <w:t>103,000</w:t>
            </w:r>
          </w:p>
        </w:tc>
        <w:tc>
          <w:tcPr>
            <w:tcW w:w="5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85.27</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103,000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90,797,016</w:t>
            </w:r>
          </w:p>
        </w:tc>
      </w:tr>
      <w:tr>
        <w:trPr>
          <w:trHeight w:val="33"/>
        </w:trPr>
        <w:tc>
          <w:tcPr>
            <w:tcW w:w="20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1 - 30, 2018</w:t>
            </w:r>
          </w:p>
        </w:tc>
        <w:tc>
          <w:tcPr>
            <w:tcW w:w="2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111,000</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85.74</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111,000</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81,280,288</w:t>
            </w:r>
          </w:p>
        </w:tc>
      </w:tr>
      <w:tr>
        <w:trPr>
          <w:trHeight w:val="231"/>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293,095</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84.92</w:t>
            </w:r>
          </w:p>
        </w:tc>
        <w:tc>
          <w:tcPr>
            <w:tcW w:w="2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292,000</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20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200" w:hanging="172"/>
        <w:spacing w:after="0" w:line="264" w:lineRule="auto"/>
        <w:tabs>
          <w:tab w:leader="none" w:pos="180" w:val="left"/>
        </w:tabs>
        <w:numPr>
          <w:ilvl w:val="0"/>
          <w:numId w:val="48"/>
        </w:numPr>
        <w:rPr>
          <w:rFonts w:ascii="Arial" w:cs="Arial" w:eastAsia="Arial" w:hAnsi="Arial"/>
          <w:sz w:val="8"/>
          <w:szCs w:val="8"/>
          <w:color w:val="auto"/>
        </w:rPr>
      </w:pPr>
      <w:r>
        <w:rPr>
          <w:rFonts w:ascii="Arial" w:cs="Arial" w:eastAsia="Arial" w:hAnsi="Arial"/>
          <w:sz w:val="13"/>
          <w:szCs w:val="13"/>
          <w:color w:val="auto"/>
        </w:rPr>
        <w:t>During the second quarter of 2018, 1,095 shares were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were purchased at the closing price of the Parent’s common stock on the dates of purchase.</w:t>
      </w:r>
    </w:p>
    <w:p>
      <w:pPr>
        <w:spacing w:after="0" w:line="1" w:lineRule="exact"/>
        <w:rPr>
          <w:sz w:val="20"/>
          <w:szCs w:val="20"/>
          <w:color w:val="auto"/>
        </w:rPr>
      </w:pPr>
    </w:p>
    <w:p>
      <w:pPr>
        <w:ind w:left="180" w:right="280" w:hanging="172"/>
        <w:spacing w:after="0" w:line="255" w:lineRule="auto"/>
        <w:tabs>
          <w:tab w:leader="none" w:pos="180" w:val="left"/>
        </w:tabs>
        <w:numPr>
          <w:ilvl w:val="0"/>
          <w:numId w:val="49"/>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July 23, 2018</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130" w:right="3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7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gridSpan w:val="2"/>
          </w:tcPr>
          <w:p>
            <w:pPr>
              <w:jc w:val="right"/>
              <w:ind w:right="360"/>
              <w:spacing w:after="0"/>
              <w:rPr>
                <w:rFonts w:ascii="Arial" w:cs="Arial" w:eastAsia="Arial" w:hAnsi="Arial"/>
                <w:sz w:val="18"/>
                <w:szCs w:val="18"/>
                <w:color w:val="0000FF"/>
                <w:w w:val="85"/>
              </w:rPr>
            </w:pPr>
            <w:hyperlink w:anchor="page9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80" w:type="dxa"/>
            <w:vAlign w:val="bottom"/>
            <w:gridSpan w:val="2"/>
          </w:tcPr>
          <w:p>
            <w:pPr>
              <w:jc w:val="right"/>
              <w:ind w:right="360"/>
              <w:spacing w:after="0"/>
              <w:rPr>
                <w:rFonts w:ascii="Arial" w:cs="Arial" w:eastAsia="Arial" w:hAnsi="Arial"/>
                <w:sz w:val="18"/>
                <w:szCs w:val="18"/>
                <w:color w:val="0000FF"/>
                <w:w w:val="85"/>
              </w:rPr>
            </w:pPr>
            <w:hyperlink w:anchor="page9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 to</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Section 302 of the Sarbanes Oxley Act of 2002</w:t>
            </w:r>
          </w:p>
        </w:tc>
      </w:tr>
    </w:tbl>
    <w:p>
      <w:pPr>
        <w:spacing w:after="0" w:line="310" w:lineRule="exact"/>
        <w:rPr>
          <w:sz w:val="20"/>
          <w:szCs w:val="20"/>
          <w:color w:val="auto"/>
        </w:rPr>
      </w:pPr>
    </w:p>
    <w:p>
      <w:pPr>
        <w:ind w:left="1100" w:right="60" w:hanging="1065"/>
        <w:spacing w:after="0" w:line="277" w:lineRule="auto"/>
        <w:tabs>
          <w:tab w:leader="none" w:pos="1100"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130"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2018</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June 30, 2018 (the “Report”):</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bullet"/>
      <w:start w:val="1"/>
    </w:lvl>
  </w:abstractNum>
  <w:abstractNum w:abstractNumId="3">
    <w:nsid w:val="836C40E"/>
    <w:multiLevelType w:val="hybridMultilevel"/>
    <w:lvl w:ilvl="0">
      <w:lvlJc w:val="left"/>
      <w:lvlText w:val="1"/>
      <w:numFmt w:val="bullet"/>
      <w:start w:val="1"/>
    </w:lvl>
  </w:abstractNum>
  <w:abstractNum w:abstractNumId="4">
    <w:nsid w:val="2901D82"/>
    <w:multiLevelType w:val="hybridMultilevel"/>
    <w:lvl w:ilvl="0">
      <w:lvlJc w:val="left"/>
      <w:lvlText w:val="1"/>
      <w:numFmt w:val="bullet"/>
      <w:start w:val="1"/>
    </w:lvl>
  </w:abstractNum>
  <w:abstractNum w:abstractNumId="5">
    <w:nsid w:val="3A95F874"/>
    <w:multiLevelType w:val="hybridMultilevel"/>
    <w:lvl w:ilvl="0">
      <w:lvlJc w:val="left"/>
      <w:lvlText w:val="2"/>
      <w:numFmt w:val="bullet"/>
      <w:start w:val="1"/>
    </w:lvl>
  </w:abstractNum>
  <w:abstractNum w:abstractNumId="6">
    <w:nsid w:val="8138641"/>
    <w:multiLevelType w:val="hybridMultilevel"/>
    <w:lvl w:ilvl="0">
      <w:lvlJc w:val="left"/>
      <w:lvlText w:val="1"/>
      <w:numFmt w:val="bullet"/>
      <w:start w:val="1"/>
    </w:lvl>
  </w:abstractNum>
  <w:abstractNum w:abstractNumId="7">
    <w:nsid w:val="1E7FF521"/>
    <w:multiLevelType w:val="hybridMultilevel"/>
    <w:lvl w:ilvl="0">
      <w:lvlJc w:val="left"/>
      <w:lvlText w:val="1"/>
      <w:numFmt w:val="bullet"/>
      <w:start w:val="1"/>
    </w:lvl>
  </w:abstractNum>
  <w:abstractNum w:abstractNumId="8">
    <w:nsid w:val="7C3DBD3D"/>
    <w:multiLevelType w:val="hybridMultilevel"/>
    <w:lvl w:ilvl="0">
      <w:lvlJc w:val="left"/>
      <w:lvlText w:val="1"/>
      <w:numFmt w:val="bullet"/>
      <w:start w:val="1"/>
    </w:lvl>
  </w:abstractNum>
  <w:abstractNum w:abstractNumId="9">
    <w:nsid w:val="737B8DDC"/>
    <w:multiLevelType w:val="hybridMultilevel"/>
    <w:lvl w:ilvl="0">
      <w:lvlJc w:val="left"/>
      <w:lvlText w:val="1"/>
      <w:numFmt w:val="bullet"/>
      <w:start w:val="1"/>
    </w:lvl>
  </w:abstractNum>
  <w:abstractNum w:abstractNumId="10">
    <w:nsid w:val="6CEAF087"/>
    <w:multiLevelType w:val="hybridMultilevel"/>
    <w:lvl w:ilvl="0">
      <w:lvlJc w:val="left"/>
      <w:lvlText w:val="1"/>
      <w:numFmt w:val="bullet"/>
      <w:start w:val="1"/>
    </w:lvl>
  </w:abstractNum>
  <w:abstractNum w:abstractNumId="11">
    <w:nsid w:val="22221A70"/>
    <w:multiLevelType w:val="hybridMultilevel"/>
    <w:lvl w:ilvl="0">
      <w:lvlJc w:val="left"/>
      <w:lvlText w:val="2"/>
      <w:numFmt w:val="bullet"/>
      <w:start w:val="1"/>
    </w:lvl>
  </w:abstractNum>
  <w:abstractNum w:abstractNumId="12">
    <w:nsid w:val="4516DDE9"/>
    <w:multiLevelType w:val="hybridMultilevel"/>
    <w:lvl w:ilvl="0">
      <w:lvlJc w:val="left"/>
      <w:lvlText w:val="1"/>
      <w:numFmt w:val="bullet"/>
      <w:start w:val="1"/>
    </w:lvl>
  </w:abstractNum>
  <w:abstractNum w:abstractNumId="13">
    <w:nsid w:val="3006C83E"/>
    <w:multiLevelType w:val="hybridMultilevel"/>
    <w:lvl w:ilvl="0">
      <w:lvlJc w:val="left"/>
      <w:lvlText w:val="1"/>
      <w:numFmt w:val="bullet"/>
      <w:start w:val="1"/>
    </w:lvl>
  </w:abstractNum>
  <w:abstractNum w:abstractNumId="14">
    <w:nsid w:val="614FD4A1"/>
    <w:multiLevelType w:val="hybridMultilevel"/>
    <w:lvl w:ilvl="0">
      <w:lvlJc w:val="left"/>
      <w:lvlText w:val="1"/>
      <w:numFmt w:val="bullet"/>
      <w:start w:val="1"/>
    </w:lvl>
  </w:abstractNum>
  <w:abstractNum w:abstractNumId="15">
    <w:nsid w:val="419AC241"/>
    <w:multiLevelType w:val="hybridMultilevel"/>
    <w:lvl w:ilvl="0">
      <w:lvlJc w:val="left"/>
      <w:lvlText w:val="2"/>
      <w:numFmt w:val="bullet"/>
      <w:start w:val="1"/>
    </w:lvl>
  </w:abstractNum>
  <w:abstractNum w:abstractNumId="16">
    <w:nsid w:val="5577F8E1"/>
    <w:multiLevelType w:val="hybridMultilevel"/>
    <w:lvl w:ilvl="0">
      <w:lvlJc w:val="left"/>
      <w:lvlText w:val="1"/>
      <w:numFmt w:val="bullet"/>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1"/>
      <w:numFmt w:val="bullet"/>
      <w:start w:val="1"/>
    </w:lvl>
  </w:abstractNum>
  <w:abstractNum w:abstractNumId="19">
    <w:nsid w:val="3804823E"/>
    <w:multiLevelType w:val="hybridMultilevel"/>
    <w:lvl w:ilvl="0">
      <w:lvlJc w:val="left"/>
      <w:lvlText w:val="2"/>
      <w:numFmt w:val="bullet"/>
      <w:start w:val="1"/>
    </w:lvl>
  </w:abstractNum>
  <w:abstractNum w:abstractNumId="20">
    <w:nsid w:val="77465F01"/>
    <w:multiLevelType w:val="hybridMultilevel"/>
    <w:lvl w:ilvl="0">
      <w:lvlJc w:val="left"/>
      <w:lvlText w:val="1"/>
      <w:numFmt w:val="bullet"/>
      <w:start w:val="1"/>
    </w:lvl>
  </w:abstractNum>
  <w:abstractNum w:abstractNumId="21">
    <w:nsid w:val="7724C67E"/>
    <w:multiLevelType w:val="hybridMultilevel"/>
    <w:lvl w:ilvl="0">
      <w:lvlJc w:val="left"/>
      <w:lvlText w:val="2"/>
      <w:numFmt w:val="bullet"/>
      <w:start w:val="1"/>
    </w:lvl>
  </w:abstractNum>
  <w:abstractNum w:abstractNumId="22">
    <w:nsid w:val="5C482A97"/>
    <w:multiLevelType w:val="hybridMultilevel"/>
    <w:lvl w:ilvl="0">
      <w:lvlJc w:val="left"/>
      <w:lvlText w:val="1"/>
      <w:numFmt w:val="bullet"/>
      <w:start w:val="1"/>
    </w:lvl>
  </w:abstractNum>
  <w:abstractNum w:abstractNumId="23">
    <w:nsid w:val="2463B9EA"/>
    <w:multiLevelType w:val="hybridMultilevel"/>
    <w:lvl w:ilvl="0">
      <w:lvlJc w:val="left"/>
      <w:lvlText w:val="2"/>
      <w:numFmt w:val="bullet"/>
      <w:start w:val="1"/>
    </w:lvl>
  </w:abstractNum>
  <w:abstractNum w:abstractNumId="24">
    <w:nsid w:val="5E884ADC"/>
    <w:multiLevelType w:val="hybridMultilevel"/>
    <w:lvl w:ilvl="0">
      <w:lvlJc w:val="left"/>
      <w:lvlText w:val="%1)"/>
      <w:numFmt w:val="decimal"/>
      <w:start w:val="15"/>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bullet"/>
      <w:start w:val="1"/>
    </w:lvl>
  </w:abstractNum>
  <w:abstractNum w:abstractNumId="31">
    <w:nsid w:val="6A2342EC"/>
    <w:multiLevelType w:val="hybridMultilevel"/>
    <w:lvl w:ilvl="0">
      <w:lvlJc w:val="left"/>
      <w:lvlText w:val="2"/>
      <w:numFmt w:val="bullet"/>
      <w:start w:val="1"/>
    </w:lvl>
  </w:abstractNum>
  <w:abstractNum w:abstractNumId="32">
    <w:nsid w:val="2A487CB0"/>
    <w:multiLevelType w:val="hybridMultilevel"/>
    <w:lvl w:ilvl="0">
      <w:lvlJc w:val="left"/>
      <w:lvlText w:val="3"/>
      <w:numFmt w:val="bullet"/>
      <w:start w:val="1"/>
    </w:lvl>
  </w:abstractNum>
  <w:abstractNum w:abstractNumId="33">
    <w:nsid w:val="1D4ED43B"/>
    <w:multiLevelType w:val="hybridMultilevel"/>
    <w:lvl w:ilvl="0">
      <w:lvlJc w:val="left"/>
      <w:lvlText w:val="4"/>
      <w:numFmt w:val="bullet"/>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2"/>
      <w:numFmt w:val="bullet"/>
      <w:start w:val="1"/>
    </w:lvl>
  </w:abstractNum>
  <w:abstractNum w:abstractNumId="36">
    <w:nsid w:val="57E4CCAF"/>
    <w:multiLevelType w:val="hybridMultilevel"/>
    <w:lvl w:ilvl="0">
      <w:lvlJc w:val="left"/>
      <w:lvlText w:val="3"/>
      <w:numFmt w:val="bullet"/>
      <w:start w:val="1"/>
    </w:lvl>
  </w:abstractNum>
  <w:abstractNum w:abstractNumId="37">
    <w:nsid w:val="7A6D8D3C"/>
    <w:multiLevelType w:val="hybridMultilevel"/>
    <w:lvl w:ilvl="0">
      <w:lvlJc w:val="left"/>
      <w:lvlText w:val="1"/>
      <w:numFmt w:val="bullet"/>
      <w:start w:val="1"/>
    </w:lvl>
  </w:abstractNum>
  <w:abstractNum w:abstractNumId="38">
    <w:nsid w:val="4B588F54"/>
    <w:multiLevelType w:val="hybridMultilevel"/>
    <w:lvl w:ilvl="0">
      <w:lvlJc w:val="left"/>
      <w:lvlText w:val="2"/>
      <w:numFmt w:val="bullet"/>
      <w:start w:val="1"/>
    </w:lvl>
  </w:abstractNum>
  <w:abstractNum w:abstractNumId="39">
    <w:nsid w:val="542289EC"/>
    <w:multiLevelType w:val="hybridMultilevel"/>
    <w:lvl w:ilvl="0">
      <w:lvlJc w:val="left"/>
      <w:lvlText w:val="1"/>
      <w:numFmt w:val="bullet"/>
      <w:start w:val="1"/>
    </w:lvl>
  </w:abstractNum>
  <w:abstractNum w:abstractNumId="40">
    <w:nsid w:val="6DE91B18"/>
    <w:multiLevelType w:val="hybridMultilevel"/>
    <w:lvl w:ilvl="0">
      <w:lvlJc w:val="left"/>
      <w:lvlText w:val="2"/>
      <w:numFmt w:val="bullet"/>
      <w:start w:val="1"/>
    </w:lvl>
  </w:abstractNum>
  <w:abstractNum w:abstractNumId="41">
    <w:nsid w:val="38437FDB"/>
    <w:multiLevelType w:val="hybridMultilevel"/>
    <w:lvl w:ilvl="0">
      <w:lvlJc w:val="left"/>
      <w:lvlText w:val="3"/>
      <w:numFmt w:val="bullet"/>
      <w:start w:val="1"/>
    </w:lvl>
  </w:abstractNum>
  <w:abstractNum w:abstractNumId="42">
    <w:nsid w:val="7644A45C"/>
    <w:multiLevelType w:val="hybridMultilevel"/>
    <w:lvl w:ilvl="0">
      <w:lvlJc w:val="left"/>
      <w:lvlText w:val="1"/>
      <w:numFmt w:val="bullet"/>
      <w:start w:val="1"/>
    </w:lvl>
  </w:abstractNum>
  <w:abstractNum w:abstractNumId="43">
    <w:nsid w:val="32FFF902"/>
    <w:multiLevelType w:val="hybridMultilevel"/>
    <w:lvl w:ilvl="0">
      <w:lvlJc w:val="left"/>
      <w:lvlText w:val="2"/>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bullet"/>
      <w:start w:val="1"/>
    </w:lvl>
  </w:abstractNum>
  <w:abstractNum w:abstractNumId="46">
    <w:nsid w:val="749ABB43"/>
    <w:multiLevelType w:val="hybridMultilevel"/>
    <w:lvl w:ilvl="0">
      <w:lvlJc w:val="left"/>
      <w:lvlText w:val="2"/>
      <w:numFmt w:val="bullet"/>
      <w:start w:val="1"/>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2"/>
      <w:numFmt w:val="bullet"/>
      <w:start w:val="1"/>
    </w:lvl>
  </w:abstractNum>
  <w:abstractNum w:abstractNumId="49">
    <w:nsid w:val="79A1DEAA"/>
    <w:multiLevelType w:val="hybridMultilevel"/>
    <w:lvl w:ilvl="0">
      <w:lvlJc w:val="left"/>
      <w:lvlText w:val="%1"/>
      <w:numFmt w:val="decimal"/>
      <w:start w:val="3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2019-12-28T20:39:56Z</dcterms:created>
  <dcterms:modified xsi:type="dcterms:W3CDTF">2019-12-28T20:39:56Z</dcterms:modified>
</cp:coreProperties>
</file>