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17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13" w:lineRule="exact"/>
        <w:rPr>
          <w:sz w:val="24"/>
          <w:szCs w:val="24"/>
          <w:color w:val="auto"/>
        </w:rPr>
      </w:pPr>
    </w:p>
    <w:p>
      <w:pPr>
        <w:ind w:left="1660" w:right="2100" w:firstLine="614"/>
        <w:spacing w:after="0" w:line="263" w:lineRule="auto"/>
        <w:rPr>
          <w:sz w:val="20"/>
          <w:szCs w:val="20"/>
          <w:color w:val="auto"/>
        </w:rPr>
      </w:pPr>
      <w:r>
        <w:rPr>
          <w:rFonts w:ascii="Times New Roman" w:cs="Times New Roman" w:eastAsia="Times New Roman" w:hAnsi="Times New Roman"/>
          <w:sz w:val="18"/>
          <w:szCs w:val="18"/>
          <w:color w:val="auto"/>
        </w:rPr>
        <w:t xml:space="preserve">Date of Report </w:t>
      </w:r>
      <w:r>
        <w:rPr>
          <w:rFonts w:ascii="Times New Roman" w:cs="Times New Roman" w:eastAsia="Times New Roman" w:hAnsi="Times New Roman"/>
          <w:sz w:val="18"/>
          <w:szCs w:val="18"/>
          <w:b w:val="1"/>
          <w:bCs w:val="1"/>
          <w:color w:val="auto"/>
        </w:rPr>
        <w:t>April 29, 2022</w:t>
      </w:r>
      <w:r>
        <w:rPr>
          <w:rFonts w:ascii="Times New Roman" w:cs="Times New Roman" w:eastAsia="Times New Roman" w:hAnsi="Times New Roman"/>
          <w:sz w:val="18"/>
          <w:szCs w:val="18"/>
          <w:color w:val="auto"/>
        </w:rPr>
        <w:t xml:space="preserve"> (Date of earliest event reported)</w:t>
      </w:r>
    </w:p>
    <w:p>
      <w:pPr>
        <w:spacing w:after="0" w:line="39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BANK OF HAWAII CORPORATION</w:t>
      </w:r>
    </w:p>
    <w:p>
      <w:pPr>
        <w:spacing w:after="0" w:line="4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592" w:right="499" w:bottom="1440" w:gutter="0" w:footer="0" w:header="0"/>
        </w:sectPr>
      </w:pPr>
    </w:p>
    <w:p>
      <w:pPr>
        <w:spacing w:after="0" w:line="20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(State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1-6887</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99-0148992</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00" w:space="720"/>
            <w:col w:w="2920"/>
          </w:cols>
          <w:pgMar w:left="320" w:top="592" w:right="499" w:bottom="1440" w:gutter="0" w:footer="0" w:header="0"/>
          <w:type w:val="continuous"/>
        </w:sectPr>
      </w:pPr>
    </w:p>
    <w:p>
      <w:pPr>
        <w:spacing w:after="0" w:line="14"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130 Merchant Street</w:t>
      </w:r>
    </w:p>
    <w:p>
      <w:pPr>
        <w:spacing w:after="0" w:line="31"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Honolulu</w:t>
      </w:r>
    </w:p>
    <w:p>
      <w:pPr>
        <w:spacing w:after="0" w:line="43"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(City)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Hawaii</w:t>
      </w:r>
    </w:p>
    <w:p>
      <w:pPr>
        <w:spacing w:after="0" w:line="4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(State)</w:t>
      </w:r>
    </w:p>
    <w:p>
      <w:pPr>
        <w:spacing w:after="0" w:line="20" w:lineRule="exact"/>
        <w:rPr>
          <w:sz w:val="24"/>
          <w:szCs w:val="24"/>
          <w:color w:val="auto"/>
        </w:rPr>
      </w:pPr>
      <w:r>
        <w:rPr>
          <w:sz w:val="24"/>
          <w:szCs w:val="24"/>
          <w:color w:val="auto"/>
        </w:rPr>
        <w:br w:type="column"/>
      </w: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96813</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4">
            <w:col w:w="3840" w:space="720"/>
            <w:col w:w="1940" w:space="720"/>
            <w:col w:w="1680" w:space="720"/>
            <w:col w:w="1460"/>
          </w:cols>
          <w:pgMar w:left="320" w:top="592" w:right="499" w:bottom="1440" w:gutter="0" w:footer="0" w:header="0"/>
          <w:type w:val="continuous"/>
        </w:sectPr>
      </w:pP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(888) 643-3888</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7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6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Title of each class</w:t>
            </w:r>
          </w:p>
        </w:tc>
        <w:tc>
          <w:tcPr>
            <w:tcW w:w="2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Trading Symbol(s)</w:t>
            </w:r>
          </w:p>
        </w:tc>
        <w:tc>
          <w:tcPr>
            <w:tcW w:w="21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w:t>
            </w:r>
          </w:p>
        </w:tc>
      </w:tr>
      <w:tr>
        <w:trPr>
          <w:trHeight w:val="183"/>
        </w:trPr>
        <w:tc>
          <w:tcPr>
            <w:tcW w:w="1180" w:type="dxa"/>
            <w:vAlign w:val="bottom"/>
            <w:tcBorders>
              <w:top w:val="single" w:sz="8" w:color="auto"/>
            </w:tcBorders>
          </w:tcPr>
          <w:p>
            <w:pPr>
              <w:spacing w:after="0"/>
              <w:rPr>
                <w:sz w:val="15"/>
                <w:szCs w:val="15"/>
                <w:color w:val="auto"/>
              </w:rPr>
            </w:pPr>
          </w:p>
        </w:tc>
        <w:tc>
          <w:tcPr>
            <w:tcW w:w="564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color w:val="auto"/>
              </w:rPr>
              <w:t>registered</w:t>
            </w:r>
          </w:p>
        </w:tc>
        <w:tc>
          <w:tcPr>
            <w:tcW w:w="760" w:type="dxa"/>
            <w:vAlign w:val="bottom"/>
            <w:tcBorders>
              <w:top w:val="single" w:sz="8" w:color="auto"/>
            </w:tcBorders>
          </w:tcPr>
          <w:p>
            <w:pPr>
              <w:spacing w:after="0"/>
              <w:rPr>
                <w:sz w:val="15"/>
                <w:szCs w:val="15"/>
                <w:color w:val="auto"/>
              </w:rPr>
            </w:pPr>
          </w:p>
        </w:tc>
      </w:tr>
      <w:tr>
        <w:trPr>
          <w:trHeight w:val="217"/>
        </w:trPr>
        <w:tc>
          <w:tcPr>
            <w:tcW w:w="6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Common Stock, par value $0.01 per share</w:t>
            </w:r>
          </w:p>
        </w:tc>
        <w:tc>
          <w:tcPr>
            <w:tcW w:w="2040" w:type="dxa"/>
            <w:vAlign w:val="bottom"/>
            <w:gridSpan w:val="2"/>
          </w:tcPr>
          <w:p>
            <w:pPr>
              <w:jc w:val="center"/>
              <w:ind w:right="900"/>
              <w:spacing w:after="0"/>
              <w:rPr>
                <w:sz w:val="20"/>
                <w:szCs w:val="20"/>
                <w:color w:val="auto"/>
              </w:rPr>
            </w:pPr>
            <w:r>
              <w:rPr>
                <w:rFonts w:ascii="Times New Roman" w:cs="Times New Roman" w:eastAsia="Times New Roman" w:hAnsi="Times New Roman"/>
                <w:sz w:val="16"/>
                <w:szCs w:val="16"/>
                <w:b w:val="1"/>
                <w:bCs w:val="1"/>
                <w:color w:val="auto"/>
              </w:rPr>
              <w:t>BOH</w:t>
            </w:r>
          </w:p>
        </w:tc>
        <w:tc>
          <w:tcPr>
            <w:tcW w:w="218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New York Stock Exchange</w:t>
            </w:r>
          </w:p>
        </w:tc>
      </w:tr>
      <w:tr>
        <w:trPr>
          <w:trHeight w:val="314"/>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Depository Shares, Each Representing 1/40</w:t>
            </w:r>
            <w:r>
              <w:rPr>
                <w:rFonts w:ascii="Times New Roman" w:cs="Times New Roman" w:eastAsia="Times New Roman" w:hAnsi="Times New Roman"/>
                <w:sz w:val="27"/>
                <w:szCs w:val="27"/>
                <w:b w:val="1"/>
                <w:bCs w:val="1"/>
                <w:color w:val="auto"/>
                <w:vertAlign w:val="superscript"/>
              </w:rPr>
              <w:t>th</w:t>
            </w:r>
            <w:r>
              <w:rPr>
                <w:rFonts w:ascii="Times New Roman" w:cs="Times New Roman" w:eastAsia="Times New Roman" w:hAnsi="Times New Roman"/>
                <w:sz w:val="16"/>
                <w:szCs w:val="16"/>
                <w:b w:val="1"/>
                <w:bCs w:val="1"/>
                <w:color w:val="auto"/>
              </w:rPr>
              <w:t xml:space="preserve"> Interest in a Share of 4.375% Fixed Rate</w:t>
            </w:r>
          </w:p>
        </w:tc>
        <w:tc>
          <w:tcPr>
            <w:tcW w:w="2040" w:type="dxa"/>
            <w:vAlign w:val="bottom"/>
            <w:gridSpan w:val="2"/>
          </w:tcPr>
          <w:p>
            <w:pPr>
              <w:jc w:val="center"/>
              <w:ind w:right="880"/>
              <w:spacing w:after="0"/>
              <w:rPr>
                <w:sz w:val="20"/>
                <w:szCs w:val="20"/>
                <w:color w:val="auto"/>
              </w:rPr>
            </w:pPr>
            <w:r>
              <w:rPr>
                <w:rFonts w:ascii="Times New Roman" w:cs="Times New Roman" w:eastAsia="Times New Roman" w:hAnsi="Times New Roman"/>
                <w:sz w:val="16"/>
                <w:szCs w:val="16"/>
                <w:b w:val="1"/>
                <w:bCs w:val="1"/>
                <w:color w:val="auto"/>
                <w:w w:val="99"/>
              </w:rPr>
              <w:t>BOH.PRA</w:t>
            </w:r>
          </w:p>
        </w:tc>
        <w:tc>
          <w:tcPr>
            <w:tcW w:w="218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New York Stock Exchange</w:t>
            </w:r>
          </w:p>
        </w:tc>
      </w:tr>
      <w:tr>
        <w:trPr>
          <w:trHeight w:val="212"/>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Non-Cumulative Preferred Stock, Series A</w:t>
            </w: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r>
    </w:tbl>
    <w:p>
      <w:pPr>
        <w:spacing w:after="0" w:line="21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9" w:lineRule="exact"/>
        <w:rPr>
          <w:rFonts w:ascii="MS PGothic" w:cs="MS PGothic" w:eastAsia="MS PGothic" w:hAnsi="MS PGothic"/>
          <w:sz w:val="36"/>
          <w:szCs w:val="36"/>
          <w:color w:val="auto"/>
          <w:vertAlign w:val="superscript"/>
        </w:rPr>
      </w:pPr>
    </w:p>
    <w:p>
      <w:pPr>
        <w:ind w:left="380" w:hanging="372"/>
        <w:spacing w:after="0" w:line="181" w:lineRule="auto"/>
        <w:tabs>
          <w:tab w:leader="none" w:pos="380" w:val="left"/>
        </w:tabs>
        <w:numPr>
          <w:ilvl w:val="0"/>
          <w:numId w:val="1"/>
        </w:numPr>
        <w:rPr>
          <w:rFonts w:ascii="MS PGothic" w:cs="MS PGothic" w:eastAsia="MS PGothic" w:hAnsi="MS PGothic"/>
          <w:sz w:val="32"/>
          <w:szCs w:val="32"/>
          <w:color w:val="auto"/>
          <w:vertAlign w:val="superscript"/>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31" w:lineRule="exact"/>
        <w:rPr>
          <w:rFonts w:ascii="MS PGothic" w:cs="MS PGothic" w:eastAsia="MS PGothic" w:hAnsi="MS PGothic"/>
          <w:sz w:val="32"/>
          <w:szCs w:val="32"/>
          <w:color w:val="auto"/>
          <w:vertAlign w:val="superscript"/>
        </w:rPr>
      </w:pPr>
    </w:p>
    <w:p>
      <w:pPr>
        <w:ind w:left="380" w:hanging="372"/>
        <w:spacing w:after="0" w:line="181" w:lineRule="auto"/>
        <w:tabs>
          <w:tab w:leader="none" w:pos="380" w:val="left"/>
        </w:tabs>
        <w:numPr>
          <w:ilvl w:val="0"/>
          <w:numId w:val="1"/>
        </w:numPr>
        <w:rPr>
          <w:rFonts w:ascii="MS PGothic" w:cs="MS PGothic" w:eastAsia="MS PGothic" w:hAnsi="MS PGothic"/>
          <w:sz w:val="32"/>
          <w:szCs w:val="32"/>
          <w:color w:val="auto"/>
          <w:vertAlign w:val="superscript"/>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31" w:lineRule="exact"/>
        <w:rPr>
          <w:rFonts w:ascii="MS PGothic" w:cs="MS PGothic" w:eastAsia="MS PGothic" w:hAnsi="MS PGothic"/>
          <w:sz w:val="32"/>
          <w:szCs w:val="32"/>
          <w:color w:val="auto"/>
          <w:vertAlign w:val="superscript"/>
        </w:rPr>
      </w:pPr>
    </w:p>
    <w:p>
      <w:pPr>
        <w:ind w:left="380" w:hanging="372"/>
        <w:spacing w:after="0" w:line="181" w:lineRule="auto"/>
        <w:tabs>
          <w:tab w:leader="none" w:pos="380" w:val="left"/>
        </w:tabs>
        <w:numPr>
          <w:ilvl w:val="0"/>
          <w:numId w:val="1"/>
        </w:numPr>
        <w:rPr>
          <w:rFonts w:ascii="MS PGothic" w:cs="MS PGothic" w:eastAsia="MS PGothic" w:hAnsi="MS PGothic"/>
          <w:sz w:val="32"/>
          <w:szCs w:val="32"/>
          <w:color w:val="auto"/>
          <w:vertAlign w:val="superscript"/>
        </w:rPr>
      </w:pPr>
      <w:r>
        <w:rPr>
          <w:rFonts w:ascii="Times New Roman" w:cs="Times New Roman" w:eastAsia="Times New Roman" w:hAnsi="Times New Roman"/>
          <w:sz w:val="16"/>
          <w:szCs w:val="16"/>
          <w:color w:val="auto"/>
        </w:rPr>
        <w:t>Pre-commencement communications pursuant to Rule 13e-4(c) under the Exchange Act (17 CFR 240.13e-4 (c))</w:t>
      </w:r>
    </w:p>
    <w:p>
      <w:pPr>
        <w:spacing w:after="0" w:line="219" w:lineRule="exact"/>
        <w:rPr>
          <w:sz w:val="24"/>
          <w:szCs w:val="24"/>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592455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592" w:right="499" w:bottom="1440" w:gutter="0" w:footer="0" w:header="0"/>
          <w:type w:val="continuous"/>
        </w:sectPr>
      </w:pPr>
    </w:p>
    <w:bookmarkStart w:id="1" w:name="page2"/>
    <w:bookmarkEnd w:id="1"/>
    <w:p>
      <w:pPr>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02"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On April 29, 2022, Bank of Hawaii Corporation (the “Company”) held its annual shareholders meeting. At the meeting, the following matters were submitted to a vote of the shareholders: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Election of Directors:</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Votes Cast For</w:t>
            </w: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0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Uncast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Non-Votes</w:t>
            </w:r>
          </w:p>
        </w:tc>
      </w:tr>
      <w:tr>
        <w:trPr>
          <w:trHeight w:val="223"/>
        </w:trPr>
        <w:tc>
          <w:tcPr>
            <w:tcW w:w="34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 Haunani Apoliona</w:t>
            </w:r>
          </w:p>
        </w:tc>
        <w:tc>
          <w:tcPr>
            <w:tcW w:w="12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28,388,019</w:t>
            </w:r>
          </w:p>
        </w:tc>
        <w:tc>
          <w:tcPr>
            <w:tcW w:w="22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1,203,067</w:t>
            </w:r>
          </w:p>
        </w:tc>
        <w:tc>
          <w:tcPr>
            <w:tcW w:w="22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475,416</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4,525,007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A. Burak</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28,300,985</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1,270,394</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495,123</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4,525,007</w:t>
            </w:r>
          </w:p>
        </w:tc>
        <w:tc>
          <w:tcPr>
            <w:tcW w:w="100" w:type="dxa"/>
            <w:vAlign w:val="bottom"/>
          </w:tcPr>
          <w:p>
            <w:pPr>
              <w:spacing w:after="0"/>
              <w:rPr>
                <w:sz w:val="19"/>
                <w:szCs w:val="19"/>
                <w:color w:val="auto"/>
              </w:rPr>
            </w:pPr>
          </w:p>
        </w:tc>
      </w:tr>
      <w:tr>
        <w:trPr>
          <w:trHeight w:val="229"/>
        </w:trPr>
        <w:tc>
          <w:tcPr>
            <w:tcW w:w="3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C. Erickson</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28,730,099</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830,618</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505,785</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4,525,007</w:t>
            </w:r>
          </w:p>
        </w:tc>
        <w:tc>
          <w:tcPr>
            <w:tcW w:w="100" w:type="dxa"/>
            <w:vAlign w:val="bottom"/>
            <w:shd w:val="clear" w:color="auto" w:fill="CFF0FC"/>
          </w:tcPr>
          <w:p>
            <w:pPr>
              <w:spacing w:after="0"/>
              <w:rPr>
                <w:sz w:val="19"/>
                <w:szCs w:val="19"/>
                <w:color w:val="auto"/>
              </w:rPr>
            </w:pPr>
          </w:p>
        </w:tc>
      </w:tr>
      <w:tr>
        <w:trPr>
          <w:trHeight w:val="230"/>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Joshua D. Feldman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28,690,031</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879,593</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496,878</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4,525,007</w:t>
            </w:r>
          </w:p>
        </w:tc>
        <w:tc>
          <w:tcPr>
            <w:tcW w:w="100" w:type="dxa"/>
            <w:vAlign w:val="bottom"/>
          </w:tcPr>
          <w:p>
            <w:pPr>
              <w:spacing w:after="0"/>
              <w:rPr>
                <w:sz w:val="19"/>
                <w:szCs w:val="19"/>
                <w:color w:val="auto"/>
              </w:rPr>
            </w:pPr>
          </w:p>
        </w:tc>
      </w:tr>
      <w:tr>
        <w:trPr>
          <w:trHeight w:val="229"/>
        </w:trPr>
        <w:tc>
          <w:tcPr>
            <w:tcW w:w="3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Peter S. Ho</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28,675,697</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923,389</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467,416</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4,525,007</w:t>
            </w:r>
          </w:p>
        </w:tc>
        <w:tc>
          <w:tcPr>
            <w:tcW w:w="100" w:type="dxa"/>
            <w:vAlign w:val="bottom"/>
            <w:shd w:val="clear" w:color="auto" w:fill="CFF0FC"/>
          </w:tcPr>
          <w:p>
            <w:pPr>
              <w:spacing w:after="0"/>
              <w:rPr>
                <w:sz w:val="19"/>
                <w:szCs w:val="19"/>
                <w:color w:val="auto"/>
              </w:rPr>
            </w:pPr>
          </w:p>
        </w:tc>
      </w:tr>
      <w:tr>
        <w:trPr>
          <w:trHeight w:val="229"/>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Michelle E. Hulst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28,698,610</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876,114</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491,778</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4,525,007</w:t>
            </w:r>
          </w:p>
        </w:tc>
        <w:tc>
          <w:tcPr>
            <w:tcW w:w="100" w:type="dxa"/>
            <w:vAlign w:val="bottom"/>
          </w:tcPr>
          <w:p>
            <w:pPr>
              <w:spacing w:after="0"/>
              <w:rPr>
                <w:sz w:val="19"/>
                <w:szCs w:val="19"/>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Kent T. Lucien</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29,108,542</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481,880</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476,080</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4,525,007</w:t>
            </w:r>
          </w:p>
        </w:tc>
        <w:tc>
          <w:tcPr>
            <w:tcW w:w="100" w:type="dxa"/>
            <w:vAlign w:val="bottom"/>
            <w:shd w:val="clear" w:color="auto" w:fill="CFF0FC"/>
          </w:tcPr>
          <w:p>
            <w:pPr>
              <w:spacing w:after="0"/>
              <w:rPr>
                <w:sz w:val="19"/>
                <w:szCs w:val="19"/>
                <w:color w:val="auto"/>
              </w:rPr>
            </w:pPr>
          </w:p>
        </w:tc>
      </w:tr>
      <w:tr>
        <w:trPr>
          <w:trHeight w:val="229"/>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Elliot K. Mills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29,422,631</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145,887</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497,984</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4,525,007</w:t>
            </w:r>
          </w:p>
        </w:tc>
        <w:tc>
          <w:tcPr>
            <w:tcW w:w="100" w:type="dxa"/>
            <w:vAlign w:val="bottom"/>
          </w:tcPr>
          <w:p>
            <w:pPr>
              <w:spacing w:after="0"/>
              <w:rPr>
                <w:sz w:val="19"/>
                <w:szCs w:val="19"/>
                <w:color w:val="auto"/>
              </w:rPr>
            </w:pPr>
          </w:p>
        </w:tc>
      </w:tr>
      <w:tr>
        <w:trPr>
          <w:trHeight w:val="229"/>
        </w:trPr>
        <w:tc>
          <w:tcPr>
            <w:tcW w:w="3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Alicia E. Moy</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28,752,933</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831,320</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482,249</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4,525,007</w:t>
            </w:r>
          </w:p>
        </w:tc>
        <w:tc>
          <w:tcPr>
            <w:tcW w:w="100" w:type="dxa"/>
            <w:vAlign w:val="bottom"/>
            <w:shd w:val="clear" w:color="auto" w:fill="CFF0FC"/>
          </w:tcPr>
          <w:p>
            <w:pPr>
              <w:spacing w:after="0"/>
              <w:rPr>
                <w:sz w:val="19"/>
                <w:szCs w:val="19"/>
                <w:color w:val="auto"/>
              </w:rPr>
            </w:pPr>
          </w:p>
        </w:tc>
      </w:tr>
      <w:tr>
        <w:trPr>
          <w:trHeight w:val="230"/>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Victor K. Nichols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28,727,456</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838,710</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500,336</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4,525,007</w:t>
            </w:r>
          </w:p>
        </w:tc>
        <w:tc>
          <w:tcPr>
            <w:tcW w:w="100" w:type="dxa"/>
            <w:vAlign w:val="bottom"/>
          </w:tcPr>
          <w:p>
            <w:pPr>
              <w:spacing w:after="0"/>
              <w:rPr>
                <w:sz w:val="19"/>
                <w:szCs w:val="19"/>
                <w:color w:val="auto"/>
              </w:rPr>
            </w:pPr>
          </w:p>
        </w:tc>
      </w:tr>
      <w:tr>
        <w:trPr>
          <w:trHeight w:val="229"/>
        </w:trPr>
        <w:tc>
          <w:tcPr>
            <w:tcW w:w="3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Barbara J. Tanabe</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28,332,814</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1,272,206</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461,482</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4,525,007</w:t>
            </w:r>
          </w:p>
        </w:tc>
        <w:tc>
          <w:tcPr>
            <w:tcW w:w="100" w:type="dxa"/>
            <w:vAlign w:val="bottom"/>
            <w:shd w:val="clear" w:color="auto" w:fill="CFF0FC"/>
          </w:tcPr>
          <w:p>
            <w:pPr>
              <w:spacing w:after="0"/>
              <w:rPr>
                <w:sz w:val="19"/>
                <w:szCs w:val="19"/>
                <w:color w:val="auto"/>
              </w:rPr>
            </w:pPr>
          </w:p>
        </w:tc>
      </w:tr>
      <w:tr>
        <w:trPr>
          <w:trHeight w:val="230"/>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Dana M. Tokioka</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29,136,454</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448,806</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481,242</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4,525,007</w:t>
            </w:r>
          </w:p>
        </w:tc>
        <w:tc>
          <w:tcPr>
            <w:tcW w:w="100" w:type="dxa"/>
            <w:vAlign w:val="bottom"/>
          </w:tcPr>
          <w:p>
            <w:pPr>
              <w:spacing w:after="0"/>
              <w:rPr>
                <w:sz w:val="19"/>
                <w:szCs w:val="19"/>
                <w:color w:val="auto"/>
              </w:rPr>
            </w:pPr>
          </w:p>
        </w:tc>
      </w:tr>
      <w:tr>
        <w:trPr>
          <w:trHeight w:val="229"/>
        </w:trPr>
        <w:tc>
          <w:tcPr>
            <w:tcW w:w="3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Raymond P. Vara, Jr.</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28,690,309</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888,260</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487,933</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4,525,007</w:t>
            </w:r>
          </w:p>
        </w:tc>
        <w:tc>
          <w:tcPr>
            <w:tcW w:w="100" w:type="dxa"/>
            <w:vAlign w:val="bottom"/>
            <w:shd w:val="clear" w:color="auto" w:fill="CFF0FC"/>
          </w:tcPr>
          <w:p>
            <w:pPr>
              <w:spacing w:after="0"/>
              <w:rPr>
                <w:sz w:val="19"/>
                <w:szCs w:val="19"/>
                <w:color w:val="auto"/>
              </w:rPr>
            </w:pPr>
          </w:p>
        </w:tc>
      </w:tr>
      <w:tr>
        <w:trPr>
          <w:trHeight w:val="234"/>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W. Wo</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28,291,416</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1,313,001</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462,085</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4,525,007</w:t>
            </w:r>
          </w:p>
        </w:tc>
        <w:tc>
          <w:tcPr>
            <w:tcW w:w="100" w:type="dxa"/>
            <w:vAlign w:val="bottom"/>
          </w:tcPr>
          <w:p>
            <w:pPr>
              <w:spacing w:after="0"/>
              <w:rPr>
                <w:sz w:val="20"/>
                <w:szCs w:val="20"/>
                <w:color w:val="auto"/>
              </w:rPr>
            </w:pPr>
          </w:p>
        </w:tc>
      </w:tr>
    </w:tbl>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 Advisory vote on the Company’s executive compensation:</w:t>
            </w:r>
          </w:p>
        </w:tc>
        <w:tc>
          <w:tcPr>
            <w:tcW w:w="1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8"/>
        </w:trPr>
        <w:tc>
          <w:tcPr>
            <w:tcW w:w="246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Votes Cast For</w:t>
            </w:r>
          </w:p>
        </w:tc>
        <w:tc>
          <w:tcPr>
            <w:tcW w:w="22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1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12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Uncast</w:t>
            </w:r>
          </w:p>
        </w:tc>
        <w:tc>
          <w:tcPr>
            <w:tcW w:w="222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Non-Votes</w:t>
            </w:r>
          </w:p>
        </w:tc>
      </w:tr>
      <w:tr>
        <w:trPr>
          <w:trHeight w:val="223"/>
        </w:trPr>
        <w:tc>
          <w:tcPr>
            <w:tcW w:w="2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24,082,441</w:t>
            </w:r>
          </w:p>
        </w:tc>
        <w:tc>
          <w:tcPr>
            <w:tcW w:w="260" w:type="dxa"/>
            <w:vAlign w:val="bottom"/>
            <w:tcBorders>
              <w:top w:val="single" w:sz="8" w:color="CFF0FC"/>
            </w:tcBorders>
            <w:shd w:val="clear" w:color="auto" w:fill="CFF0FC"/>
          </w:tcPr>
          <w:p>
            <w:pPr>
              <w:spacing w:after="0"/>
              <w:rPr>
                <w:sz w:val="19"/>
                <w:szCs w:val="19"/>
                <w:color w:val="auto"/>
              </w:rPr>
            </w:pPr>
          </w:p>
        </w:tc>
        <w:tc>
          <w:tcPr>
            <w:tcW w:w="1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5,396,289</w:t>
            </w:r>
          </w:p>
        </w:tc>
        <w:tc>
          <w:tcPr>
            <w:tcW w:w="28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587,772</w:t>
            </w:r>
          </w:p>
        </w:tc>
        <w:tc>
          <w:tcPr>
            <w:tcW w:w="380" w:type="dxa"/>
            <w:vAlign w:val="bottom"/>
            <w:tcBorders>
              <w:top w:val="single" w:sz="8" w:color="CFF0FC"/>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2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4,525,007</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171" w:lineRule="exact"/>
        <w:rPr>
          <w:sz w:val="20"/>
          <w:szCs w:val="20"/>
          <w:color w:val="auto"/>
        </w:rPr>
      </w:pPr>
    </w:p>
    <w:p>
      <w:pPr>
        <w:ind w:firstLine="8"/>
        <w:spacing w:after="0" w:line="261" w:lineRule="auto"/>
        <w:tabs>
          <w:tab w:leader="none" w:pos="19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re-appointment of Ernst &amp; Young LLP as the Company’s independent registered public accounting firm for the fiscal year ending December 31, 2022:</w:t>
      </w:r>
    </w:p>
    <w:tbl>
      <w:tblPr>
        <w:tblLayout w:type="fixed"/>
        <w:tblInd w:w="0" w:type="dxa"/>
        <w:tblCellMar>
          <w:top w:w="0" w:type="dxa"/>
          <w:left w:w="0" w:type="dxa"/>
          <w:bottom w:w="0" w:type="dxa"/>
          <w:right w:w="0" w:type="dxa"/>
        </w:tblCellMar>
      </w:tblPr>
      <w:tr>
        <w:trPr>
          <w:trHeight w:val="229"/>
        </w:trPr>
        <w:tc>
          <w:tcPr>
            <w:tcW w:w="248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Votes Cast For</w:t>
            </w:r>
          </w:p>
        </w:tc>
        <w:tc>
          <w:tcPr>
            <w:tcW w:w="22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16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12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Uncast</w:t>
            </w:r>
          </w:p>
        </w:tc>
        <w:tc>
          <w:tcPr>
            <w:tcW w:w="222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Non-Votes</w:t>
            </w:r>
          </w:p>
        </w:tc>
      </w:tr>
      <w:tr>
        <w:trPr>
          <w:trHeight w:val="223"/>
        </w:trPr>
        <w:tc>
          <w:tcPr>
            <w:tcW w:w="2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33,582,849</w:t>
            </w:r>
          </w:p>
        </w:tc>
        <w:tc>
          <w:tcPr>
            <w:tcW w:w="280" w:type="dxa"/>
            <w:vAlign w:val="bottom"/>
            <w:tcBorders>
              <w:top w:val="single" w:sz="8" w:color="CFF0FC"/>
            </w:tcBorders>
            <w:shd w:val="clear" w:color="auto" w:fill="CFF0FC"/>
          </w:tcPr>
          <w:p>
            <w:pPr>
              <w:spacing w:after="0"/>
              <w:rPr>
                <w:sz w:val="19"/>
                <w:szCs w:val="19"/>
                <w:color w:val="auto"/>
              </w:rPr>
            </w:pPr>
          </w:p>
        </w:tc>
        <w:tc>
          <w:tcPr>
            <w:tcW w:w="1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522,691</w:t>
            </w:r>
          </w:p>
        </w:tc>
        <w:tc>
          <w:tcPr>
            <w:tcW w:w="28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485,969</w:t>
            </w:r>
          </w:p>
        </w:tc>
        <w:tc>
          <w:tcPr>
            <w:tcW w:w="360" w:type="dxa"/>
            <w:vAlign w:val="bottom"/>
            <w:tcBorders>
              <w:top w:val="single" w:sz="8" w:color="CFF0FC"/>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2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938"/>
        </w:trPr>
        <w:tc>
          <w:tcPr>
            <w:tcW w:w="2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2" w:name="page3"/>
    <w:bookmarkEnd w:id="2"/>
    <w:p>
      <w:pPr>
        <w:jc w:val="center"/>
        <w:ind w:left="5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56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3, 2022</w:t>
      </w:r>
      <w:r>
        <w:rPr>
          <w:sz w:val="20"/>
          <w:szCs w:val="20"/>
          <w:color w:val="auto"/>
        </w:rPr>
        <w:tab/>
      </w:r>
      <w:r>
        <w:rPr>
          <w:rFonts w:ascii="Times New Roman" w:cs="Times New Roman" w:eastAsia="Times New Roman" w:hAnsi="Times New Roman"/>
          <w:sz w:val="18"/>
          <w:szCs w:val="18"/>
          <w:color w:val="auto"/>
        </w:rPr>
        <w:t>Bank of Hawaii Corporation</w:t>
      </w:r>
    </w:p>
    <w:p>
      <w:pPr>
        <w:spacing w:after="0" w:line="200" w:lineRule="exact"/>
        <w:rPr>
          <w:sz w:val="20"/>
          <w:szCs w:val="20"/>
          <w:color w:val="auto"/>
        </w:rPr>
      </w:pPr>
    </w:p>
    <w:p>
      <w:pPr>
        <w:spacing w:after="0" w:line="3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Patrick M. McGuirk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Patrick M. McGuirk</w:t>
      </w:r>
    </w:p>
    <w:p>
      <w:pPr>
        <w:spacing w:after="0" w:line="5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Senior Executive Vice President and Corporate Secretary</w:t>
      </w:r>
    </w:p>
    <w:sectPr>
      <w:pgSz w:w="11900" w:h="16838" w:orient="portrait"/>
      <w:cols w:equalWidth="0" w:num="1">
        <w:col w:w="11220"/>
      </w:cols>
      <w:pgMar w:left="320" w:top="54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2022-05-03T14:31:59Z</dcterms:created>
  <dcterms:modified xsi:type="dcterms:W3CDTF">2022-05-03T14:31:59Z</dcterms:modified>
</cp:coreProperties>
</file>