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60" w:right="2320" w:hanging="176"/>
        <w:spacing w:after="0" w:line="305" w:lineRule="auto"/>
        <w:tabs>
          <w:tab w:leader="none" w:pos="4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hanging="316"/>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w:t>
      </w:r>
    </w:p>
    <w:p>
      <w:pPr>
        <w:spacing w:after="0" w:line="4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1-6887</w:t>
            </w: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BANK OF HAWAII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99-0148992</w:t>
            </w:r>
          </w:p>
        </w:tc>
      </w:tr>
      <w:tr>
        <w:trPr>
          <w:trHeight w:val="270"/>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of incorporation)</w:t>
            </w:r>
          </w:p>
        </w:tc>
        <w:tc>
          <w:tcPr>
            <w:tcW w:w="530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40"/>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130 Merchant Street, Honolulu, Hawaii</w:t>
            </w:r>
          </w:p>
        </w:tc>
        <w:tc>
          <w:tcPr>
            <w:tcW w:w="53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96813</w:t>
            </w:r>
          </w:p>
        </w:tc>
      </w:tr>
      <w:tr>
        <w:trPr>
          <w:trHeight w:val="270"/>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30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rPr>
              <w:t>(Zip Code)</w:t>
            </w:r>
          </w:p>
        </w:tc>
      </w:tr>
      <w:tr>
        <w:trPr>
          <w:trHeight w:val="243"/>
        </w:trPr>
        <w:tc>
          <w:tcPr>
            <w:tcW w:w="3460" w:type="dxa"/>
            <w:vAlign w:val="bottom"/>
          </w:tcPr>
          <w:p>
            <w:pPr>
              <w:spacing w:after="0"/>
              <w:rPr>
                <w:sz w:val="21"/>
                <w:szCs w:val="21"/>
                <w:color w:val="auto"/>
              </w:rPr>
            </w:pPr>
          </w:p>
        </w:tc>
        <w:tc>
          <w:tcPr>
            <w:tcW w:w="5300" w:type="dxa"/>
            <w:vAlign w:val="bottom"/>
          </w:tcPr>
          <w:p>
            <w:pPr>
              <w:jc w:val="right"/>
              <w:ind w:right="3590"/>
              <w:spacing w:after="0"/>
              <w:rPr>
                <w:sz w:val="20"/>
                <w:szCs w:val="20"/>
                <w:color w:val="auto"/>
              </w:rPr>
            </w:pPr>
            <w:r>
              <w:rPr>
                <w:rFonts w:ascii="Times New Roman" w:cs="Times New Roman" w:eastAsia="Times New Roman" w:hAnsi="Times New Roman"/>
                <w:sz w:val="18"/>
                <w:szCs w:val="18"/>
                <w:b w:val="1"/>
                <w:bCs w:val="1"/>
                <w:color w:val="auto"/>
              </w:rPr>
              <w:t>1-888-643-3888</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4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Yes x No o</w:t>
      </w:r>
    </w:p>
    <w:p>
      <w:pPr>
        <w:spacing w:after="0" w:line="207" w:lineRule="exact"/>
        <w:rPr>
          <w:sz w:val="24"/>
          <w:szCs w:val="24"/>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Yes x No o</w:t>
      </w:r>
    </w:p>
    <w:p>
      <w:pPr>
        <w:spacing w:after="0" w:line="20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4" w:right="239" w:bottom="1440" w:gutter="0" w:footer="0" w:header="0"/>
        </w:sectPr>
      </w:pPr>
    </w:p>
    <w:p>
      <w:pPr>
        <w:spacing w:after="0" w:line="17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63" w:lineRule="exact"/>
        <w:rPr>
          <w:sz w:val="24"/>
          <w:szCs w:val="24"/>
          <w:color w:val="auto"/>
        </w:rPr>
      </w:pPr>
    </w:p>
    <w:p>
      <w:pPr>
        <w:sectPr>
          <w:pgSz w:w="11900" w:h="16838" w:orient="portrait"/>
          <w:cols w:equalWidth="0" w:num="2">
            <w:col w:w="6860" w:space="720"/>
            <w:col w:w="3840"/>
          </w:cols>
          <w:pgMar w:left="240" w:top="234"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5" w:lineRule="exact"/>
        <w:rPr>
          <w:sz w:val="24"/>
          <w:szCs w:val="24"/>
          <w:color w:val="auto"/>
        </w:rPr>
      </w:pPr>
    </w:p>
    <w:p>
      <w:pPr>
        <w:sectPr>
          <w:pgSz w:w="11900" w:h="16838" w:orient="portrait"/>
          <w:cols w:equalWidth="0" w:num="2">
            <w:col w:w="6860" w:space="720"/>
            <w:col w:w="3840"/>
          </w:cols>
          <w:pgMar w:left="240" w:top="234" w:right="239" w:bottom="1440" w:gutter="0" w:footer="0" w:header="0"/>
          <w:type w:val="continuous"/>
        </w:sectPr>
      </w:pPr>
    </w:p>
    <w:p>
      <w:pPr>
        <w:ind w:left="758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420"/>
          </w:cols>
          <w:pgMar w:left="240" w:top="234" w:right="239" w:bottom="1440" w:gutter="0" w:footer="0" w:header="0"/>
          <w:type w:val="continuous"/>
        </w:sectPr>
      </w:pPr>
    </w:p>
    <w:p>
      <w:pPr>
        <w:spacing w:after="0" w:line="15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color w:val="auto"/>
        </w:rPr>
        <w:t>Yes o No x</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17, 2017, there were 42,478,643 shares of common stock outstanding.</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36830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7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Income –</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Three and nine months ended September 30, 2017 and 2016</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Comprehensive Income –</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Three and nine months ended September 30, 2017 and 2016</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Condition –</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30, 2017 and December 31, 2016</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Shareholders’ Equity –</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Nine months ended September 30, 2017 and 2016</w:t>
              </w:r>
            </w:hyperlink>
          </w:p>
        </w:tc>
        <w:tc>
          <w:tcPr>
            <w:tcW w:w="41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 –</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Nine months ended September 30, 2017 and 2016</w:t>
              </w:r>
            </w:hyperlink>
          </w:p>
        </w:tc>
        <w:tc>
          <w:tcPr>
            <w:tcW w:w="418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4"/>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Consolidated Financial Statements (Unaudited)</w:t>
              </w:r>
            </w:hyperlink>
          </w:p>
        </w:tc>
        <w:tc>
          <w:tcPr>
            <w:tcW w:w="3880" w:type="dxa"/>
            <w:vAlign w:val="bottom"/>
            <w:gridSpan w:val="4"/>
          </w:tcPr>
          <w:p>
            <w:pPr>
              <w:spacing w:after="0"/>
              <w:rPr>
                <w:sz w:val="24"/>
                <w:szCs w:val="24"/>
                <w:color w:val="auto"/>
              </w:rPr>
            </w:pPr>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2.</w:t>
              </w:r>
            </w:hyperlink>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Item 3.</w:t>
              </w:r>
            </w:hyperlink>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Quantitative and Qualitative Disclosures About Market Risk</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3600" w:type="dxa"/>
            <w:vAlign w:val="bottom"/>
            <w:tcBorders>
              <w:left w:val="single" w:sz="8" w:color="0000EE"/>
            </w:tcBorders>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Item 4.</w:t>
              </w:r>
            </w:hyperlink>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Controls and Procedures</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9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89">
              <w:r>
                <w:rPr>
                  <w:rFonts w:ascii="Times New Roman" w:cs="Times New Roman" w:eastAsia="Times New Roman" w:hAnsi="Times New Roman"/>
                  <w:sz w:val="18"/>
                  <w:szCs w:val="18"/>
                  <w:color w:val="0000EE"/>
                  <w:w w:val="98"/>
                </w:rPr>
                <w:t>Part II - Other Information</w:t>
              </w:r>
            </w:hyperlink>
          </w:p>
        </w:tc>
        <w:tc>
          <w:tcPr>
            <w:tcW w:w="7480" w:type="dxa"/>
            <w:vAlign w:val="bottom"/>
            <w:gridSpan w:val="15"/>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89">
              <w:r>
                <w:rPr>
                  <w:rFonts w:ascii="Times New Roman" w:cs="Times New Roman" w:eastAsia="Times New Roman" w:hAnsi="Times New Roman"/>
                  <w:sz w:val="18"/>
                  <w:szCs w:val="18"/>
                  <w:color w:val="0000EE"/>
                  <w:w w:val="96"/>
                </w:rPr>
                <w:t>Item 1A.</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Risk Factors</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Unregistered Sales of Equity Securities and Use of Proceeds</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 6.</w:t>
              </w:r>
            </w:hyperlink>
          </w:p>
        </w:tc>
        <w:tc>
          <w:tcPr>
            <w:tcW w:w="7940" w:type="dxa"/>
            <w:vAlign w:val="bottom"/>
            <w:gridSpan w:val="18"/>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Exhibits</w:t>
              </w:r>
            </w:hyperlink>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83</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5"/>
          </w:tcPr>
          <w:p>
            <w:pPr>
              <w:ind w:left="4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26" w:right="53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Bank of Hawaii Corporation and Subsidiaries</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r>
      <w:tr>
        <w:trPr>
          <w:trHeight w:val="270"/>
        </w:trPr>
        <w:tc>
          <w:tcPr>
            <w:tcW w:w="5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23"/>
                <w:szCs w:val="23"/>
                <w:color w:val="auto"/>
              </w:rPr>
            </w:pPr>
          </w:p>
        </w:tc>
      </w:tr>
      <w:tr>
        <w:trPr>
          <w:trHeight w:val="3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9"/>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94,621</w:t>
            </w:r>
          </w:p>
        </w:tc>
        <w:tc>
          <w:tcPr>
            <w:tcW w:w="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83,489</w:t>
            </w:r>
          </w:p>
        </w:tc>
        <w:tc>
          <w:tcPr>
            <w:tcW w:w="2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273,467</w:t>
            </w:r>
          </w:p>
        </w:tc>
        <w:tc>
          <w:tcPr>
            <w:tcW w:w="7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246,707</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Available-for-Sale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11,987</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34,906</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31,648</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20,334</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19,315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59,958</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59,874</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Deposits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1,579</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3,165</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2,066</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235</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673</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128,761</w:t>
            </w:r>
          </w:p>
        </w:tc>
        <w:tc>
          <w:tcPr>
            <w:tcW w:w="6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113,979</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372,181</w:t>
            </w:r>
          </w:p>
        </w:tc>
        <w:tc>
          <w:tcPr>
            <w:tcW w:w="7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340,833</w:t>
            </w:r>
          </w:p>
        </w:tc>
      </w:tr>
      <w:tr>
        <w:trPr>
          <w:trHeight w:val="231"/>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6,663</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15,352</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9,199</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4,664</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5,713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14,928</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18,000</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Borrowings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1,117</w:t>
            </w: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1,119</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3,327</w:t>
            </w: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3,139</w:t>
            </w:r>
          </w:p>
        </w:tc>
      </w:tr>
      <w:tr>
        <w:trPr>
          <w:trHeight w:val="231"/>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12,444</w:t>
            </w: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10,067</w:t>
            </w: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33,713</w:t>
            </w: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30,347</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116,317</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103,912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338,468</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310,486</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4,000</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12,650</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112,317</w:t>
            </w:r>
          </w:p>
        </w:tc>
        <w:tc>
          <w:tcPr>
            <w:tcW w:w="6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101,412</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325,818</w:t>
            </w:r>
          </w:p>
        </w:tc>
        <w:tc>
          <w:tcPr>
            <w:tcW w:w="7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308,986</w:t>
            </w:r>
          </w:p>
        </w:tc>
      </w:tr>
      <w:tr>
        <w:trPr>
          <w:trHeight w:val="231"/>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11,050</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11,008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34,325</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34,971</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Mortgage Banking</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3,237</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6,362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10,356</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13,639</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8,188</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8,524</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24,522</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25,117</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13,764</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14,023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41,061</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41,445</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(566)</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11,047</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10,540</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Annuity and Insurance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1,429</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5,585</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5,560</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1,861</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4,908</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5,010</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3,447</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4,961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11,758</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14,558</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42,410</w:t>
            </w:r>
          </w:p>
        </w:tc>
        <w:tc>
          <w:tcPr>
            <w:tcW w:w="6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48,114</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143,562</w:t>
            </w:r>
          </w:p>
        </w:tc>
        <w:tc>
          <w:tcPr>
            <w:tcW w:w="7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150,840</w:t>
            </w:r>
          </w:p>
        </w:tc>
      </w:tr>
      <w:tr>
        <w:trPr>
          <w:trHeight w:val="231"/>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51,626</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49,725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153,341</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150,528</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Occupancy</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7,727</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8,510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24,026</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22,671</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5,417</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16,624</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15,387</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Data Processing</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3,882</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11,173</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11,543</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3,044</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2,396</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8,415</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7,082</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FDIC Insurance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2,107</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6,413</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6,600</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14,795</w:t>
            </w: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16,264</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45,363</w:t>
            </w: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47,178</w:t>
            </w:r>
          </w:p>
        </w:tc>
      </w:tr>
      <w:tr>
        <w:trPr>
          <w:trHeight w:val="231"/>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88,598</w:t>
            </w: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87,532</w:t>
            </w: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265,355</w:t>
            </w: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260,989</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66,129</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61,994</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204,025</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198,837</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20,248</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62,306</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60,889</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45,881</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43,493</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141,719</w:t>
            </w:r>
          </w:p>
        </w:tc>
        <w:tc>
          <w:tcPr>
            <w:tcW w:w="7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137,948</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1.09</w:t>
            </w:r>
          </w:p>
        </w:tc>
        <w:tc>
          <w:tcPr>
            <w:tcW w:w="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3.35</w:t>
            </w:r>
          </w:p>
        </w:tc>
        <w:tc>
          <w:tcPr>
            <w:tcW w:w="7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1.08</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3.32</w:t>
            </w:r>
          </w:p>
        </w:tc>
        <w:tc>
          <w:tcPr>
            <w:tcW w:w="74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0.52</w:t>
            </w:r>
          </w:p>
        </w:tc>
        <w:tc>
          <w:tcPr>
            <w:tcW w:w="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0.48</w:t>
            </w:r>
          </w:p>
        </w:tc>
        <w:tc>
          <w:tcPr>
            <w:tcW w:w="2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1.52</w:t>
            </w:r>
          </w:p>
        </w:tc>
        <w:tc>
          <w:tcPr>
            <w:tcW w:w="7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42,251,541</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42,543,122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42,336,441</w:t>
            </w: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42,730,571</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42,565,364</w:t>
            </w:r>
          </w:p>
        </w:tc>
        <w:tc>
          <w:tcPr>
            <w:tcW w:w="6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42,778,346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42,662,163</w:t>
            </w:r>
          </w:p>
        </w:tc>
        <w:tc>
          <w:tcPr>
            <w:tcW w:w="7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42,947,059</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 (Unaudited).</w:t>
      </w:r>
    </w:p>
    <w:p>
      <w:pPr>
        <w:sectPr>
          <w:pgSz w:w="11900" w:h="16838" w:orient="portrait"/>
          <w:cols w:equalWidth="0" w:num="1">
            <w:col w:w="11420"/>
          </w:cols>
          <w:pgMar w:left="240" w:top="126" w:right="239" w:bottom="671"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6" w:right="239" w:bottom="671" w:gutter="0" w:footer="0" w:header="0"/>
          <w:type w:val="continuous"/>
        </w:sectPr>
      </w:pPr>
    </w:p>
    <w:bookmarkStart w:id="3" w:name="page4"/>
    <w:bookmarkEnd w:id="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Bank of Hawaii Corporation and Subsidiaries</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00" w:type="dxa"/>
            <w:vAlign w:val="bottom"/>
          </w:tcPr>
          <w:p>
            <w:pPr>
              <w:spacing w:after="0"/>
              <w:rPr>
                <w:sz w:val="18"/>
                <w:szCs w:val="18"/>
                <w:color w:val="auto"/>
              </w:rPr>
            </w:pPr>
          </w:p>
        </w:tc>
      </w:tr>
      <w:tr>
        <w:trPr>
          <w:trHeight w:val="270"/>
        </w:trPr>
        <w:tc>
          <w:tcPr>
            <w:tcW w:w="5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00" w:type="dxa"/>
            <w:vAlign w:val="bottom"/>
          </w:tcPr>
          <w:p>
            <w:pPr>
              <w:spacing w:after="0"/>
              <w:rPr>
                <w:sz w:val="23"/>
                <w:szCs w:val="23"/>
                <w:color w:val="auto"/>
              </w:rPr>
            </w:pPr>
          </w:p>
        </w:tc>
      </w:tr>
      <w:tr>
        <w:trPr>
          <w:trHeight w:val="33"/>
        </w:trPr>
        <w:tc>
          <w:tcPr>
            <w:tcW w:w="5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9"/>
        </w:trPr>
        <w:tc>
          <w:tcPr>
            <w:tcW w:w="5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45,881</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43,493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141,719</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137,948</w:t>
            </w: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444</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8,444</w:t>
            </w: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8,323</w:t>
            </w:r>
          </w:p>
        </w:tc>
      </w:tr>
      <w:tr>
        <w:trPr>
          <w:trHeight w:val="237"/>
        </w:trPr>
        <w:tc>
          <w:tcPr>
            <w:tcW w:w="5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Defined Benefit Plans</w:t>
            </w:r>
          </w:p>
        </w:tc>
        <w:tc>
          <w:tcPr>
            <w:tcW w:w="44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439</w:t>
            </w:r>
          </w:p>
        </w:tc>
        <w:tc>
          <w:tcPr>
            <w:tcW w:w="8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r>
      <w:tr>
        <w:trPr>
          <w:trHeight w:val="33"/>
        </w:trPr>
        <w:tc>
          <w:tcPr>
            <w:tcW w:w="5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590</w:t>
            </w:r>
          </w:p>
        </w:tc>
        <w:tc>
          <w:tcPr>
            <w:tcW w:w="8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8,883</w:t>
            </w:r>
          </w:p>
        </w:tc>
        <w:tc>
          <w:tcPr>
            <w:tcW w:w="8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8,745</w:t>
            </w:r>
          </w:p>
        </w:tc>
      </w:tr>
      <w:tr>
        <w:trPr>
          <w:trHeight w:val="231"/>
        </w:trPr>
        <w:tc>
          <w:tcPr>
            <w:tcW w:w="5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46,471</w:t>
            </w:r>
          </w:p>
        </w:tc>
        <w:tc>
          <w:tcPr>
            <w:tcW w:w="88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38,105</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150,602</w:t>
            </w:r>
          </w:p>
        </w:tc>
        <w:tc>
          <w:tcPr>
            <w:tcW w:w="8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146,693</w:t>
            </w:r>
          </w:p>
        </w:tc>
      </w:tr>
      <w:tr>
        <w:trPr>
          <w:trHeight w:val="33"/>
        </w:trPr>
        <w:tc>
          <w:tcPr>
            <w:tcW w:w="5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Bank of Hawaii Corporation and Subsidiaries</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6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Interest-Bearing Deposits in Other Banks</w:t>
            </w: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3,187</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Funds Sold</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512,868</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707,343</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Available-for-Sale</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2,322,668</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2,186,041</w:t>
            </w:r>
          </w:p>
        </w:tc>
      </w:tr>
      <w:tr>
        <w:trPr>
          <w:trHeight w:val="237"/>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Held-to-Maturity (Fair Value of $3,960,956 and $3,827,527)</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3,960,598</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3,832,997</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Held for Sale</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9,752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62,499</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 and Leases</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9,573,956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8,949,785</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Allowance for Loan and Lease Losses</w:t>
            </w:r>
          </w:p>
        </w:tc>
        <w:tc>
          <w:tcPr>
            <w:tcW w:w="2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(106,881)</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(104,273)</w:t>
            </w:r>
          </w:p>
        </w:tc>
      </w:tr>
      <w:tr>
        <w:trPr>
          <w:trHeight w:val="231"/>
        </w:trPr>
        <w:tc>
          <w:tcPr>
            <w:tcW w:w="63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Net Loans and Leases</w:t>
            </w:r>
          </w:p>
        </w:tc>
        <w:tc>
          <w:tcPr>
            <w:tcW w:w="2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9,467,075</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8,845,512</w:t>
            </w:r>
          </w:p>
        </w:tc>
      </w:tr>
      <w:tr>
        <w:trPr>
          <w:trHeight w:val="33"/>
        </w:trPr>
        <w:tc>
          <w:tcPr>
            <w:tcW w:w="6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Earning Assets</w:t>
            </w:r>
          </w:p>
        </w:tc>
        <w:tc>
          <w:tcPr>
            <w:tcW w:w="2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16,276,122</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15,637,579</w:t>
            </w:r>
          </w:p>
        </w:tc>
      </w:tr>
      <w:tr>
        <w:trPr>
          <w:trHeight w:val="231"/>
        </w:trPr>
        <w:tc>
          <w:tcPr>
            <w:tcW w:w="6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245,487</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169,077</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125,162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113,505</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51,526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46,444</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Foreclosed Real Estate</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1,686</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Servicing Rights</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24,436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23,663</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31,517</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278,425</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274,188</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234,234</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194,708</w:t>
            </w:r>
          </w:p>
        </w:tc>
      </w:tr>
      <w:tr>
        <w:trPr>
          <w:trHeight w:val="231"/>
        </w:trPr>
        <w:tc>
          <w:tcPr>
            <w:tcW w:w="6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17,268,302</w:t>
            </w:r>
          </w:p>
        </w:tc>
        <w:tc>
          <w:tcPr>
            <w:tcW w:w="3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16,492,367</w:t>
            </w:r>
          </w:p>
        </w:tc>
      </w:tr>
      <w:tr>
        <w:trPr>
          <w:trHeight w:val="73"/>
        </w:trPr>
        <w:tc>
          <w:tcPr>
            <w:tcW w:w="63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64"/>
        </w:trPr>
        <w:tc>
          <w:tcPr>
            <w:tcW w:w="634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Deposits</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4,825,643</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4,772,727</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Interest-Bearing Demand</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2,896,559</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2,934,107</w:t>
            </w:r>
          </w:p>
        </w:tc>
      </w:tr>
      <w:tr>
        <w:trPr>
          <w:trHeight w:val="237"/>
        </w:trPr>
        <w:tc>
          <w:tcPr>
            <w:tcW w:w="6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Savings</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5,363,866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5,395,699</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Time</w:t>
            </w:r>
          </w:p>
        </w:tc>
        <w:tc>
          <w:tcPr>
            <w:tcW w:w="2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1,962,092</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1,217,707</w:t>
            </w:r>
          </w:p>
        </w:tc>
      </w:tr>
      <w:tr>
        <w:trPr>
          <w:trHeight w:val="231"/>
        </w:trPr>
        <w:tc>
          <w:tcPr>
            <w:tcW w:w="6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Deposits</w:t>
            </w:r>
          </w:p>
        </w:tc>
        <w:tc>
          <w:tcPr>
            <w:tcW w:w="2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15,048,160</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14,320,240</w:t>
            </w:r>
          </w:p>
        </w:tc>
      </w:tr>
      <w:tr>
        <w:trPr>
          <w:trHeight w:val="33"/>
        </w:trPr>
        <w:tc>
          <w:tcPr>
            <w:tcW w:w="6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Funds Purchased</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9,616</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505,293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523,378</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Debt</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267,887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267,938</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Retirement Benefits Payable</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38,308</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48,451</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5,334</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Taxes Payable and Deferred Taxes</w:t>
            </w:r>
          </w:p>
        </w:tc>
        <w:tc>
          <w:tcPr>
            <w:tcW w:w="212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31,360</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21,674</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142,684</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134,199</w:t>
            </w:r>
          </w:p>
        </w:tc>
      </w:tr>
      <w:tr>
        <w:trPr>
          <w:trHeight w:val="231"/>
        </w:trPr>
        <w:tc>
          <w:tcPr>
            <w:tcW w:w="6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16,040,409</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15,330,830</w:t>
            </w:r>
          </w:p>
        </w:tc>
      </w:tr>
      <w:tr>
        <w:trPr>
          <w:trHeight w:val="33"/>
        </w:trPr>
        <w:tc>
          <w:tcPr>
            <w:tcW w:w="6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($.01 par value; authorized 500,000,000 shares;</w:t>
            </w:r>
          </w:p>
        </w:tc>
        <w:tc>
          <w:tcPr>
            <w:tcW w:w="2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issued / outstanding: September 30, 2017 - 57,958,200 / 42,513,348</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December 31, 2016 - 57,856,672 / 42,635,978)</w:t>
            </w:r>
          </w:p>
        </w:tc>
        <w:tc>
          <w:tcPr>
            <w:tcW w:w="2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576</w:t>
            </w: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576</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Surplus</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558,530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551,628</w:t>
            </w:r>
          </w:p>
        </w:tc>
      </w:tr>
      <w:tr>
        <w:trPr>
          <w:trHeight w:val="237"/>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1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(25,023)</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33"/>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2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1,491,830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1,415,440</w:t>
            </w: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Stock, at Cost (Shares: September 30, 2017 - 15,444,852</w:t>
            </w:r>
          </w:p>
        </w:tc>
        <w:tc>
          <w:tcPr>
            <w:tcW w:w="2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6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December 31, 2016 - 15,220,694)</w:t>
            </w:r>
          </w:p>
        </w:tc>
        <w:tc>
          <w:tcPr>
            <w:tcW w:w="2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(798,020)</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(772,201)</w:t>
            </w:r>
          </w:p>
        </w:tc>
      </w:tr>
      <w:tr>
        <w:trPr>
          <w:trHeight w:val="33"/>
        </w:trPr>
        <w:tc>
          <w:tcPr>
            <w:tcW w:w="6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1,227,893</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1,161,537</w:t>
            </w:r>
          </w:p>
        </w:tc>
      </w:tr>
      <w:tr>
        <w:trPr>
          <w:trHeight w:val="231"/>
        </w:trPr>
        <w:tc>
          <w:tcPr>
            <w:tcW w:w="6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17,268,302</w:t>
            </w:r>
          </w:p>
        </w:tc>
        <w:tc>
          <w:tcPr>
            <w:tcW w:w="3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16,492,367</w:t>
            </w:r>
          </w:p>
        </w:tc>
      </w:tr>
      <w:tr>
        <w:trPr>
          <w:trHeight w:val="33"/>
        </w:trPr>
        <w:tc>
          <w:tcPr>
            <w:tcW w:w="6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420"/>
          </w:cols>
          <w:pgMar w:left="240" w:top="126" w:right="239" w:bottom="1440" w:gutter="0" w:footer="0" w:header="0"/>
        </w:sect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 (Unaudited).</w:t>
      </w:r>
    </w:p>
    <w:p>
      <w:pPr>
        <w:sectPr>
          <w:pgSz w:w="11900" w:h="16838" w:orient="portrait"/>
          <w:cols w:equalWidth="0" w:num="1">
            <w:col w:w="11420"/>
          </w:cols>
          <w:pgMar w:left="240" w:top="126" w:right="2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675" w:right="1440" w:bottom="1440" w:gutter="0" w:footer="0" w:header="0"/>
        </w:sectPr>
      </w:pPr>
    </w:p>
    <w:bookmarkStart w:id="6" w:name="page7"/>
    <w:bookmarkEnd w:id="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(dollars in thousands)</w:t>
            </w:r>
          </w:p>
        </w:tc>
        <w:tc>
          <w:tcPr>
            <w:tcW w:w="1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2016</w:t>
            </w:r>
          </w:p>
        </w:tc>
        <w:tc>
          <w:tcPr>
            <w:tcW w:w="1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42,635,978</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551,628</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(33,906)</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1,415,440</w:t>
            </w:r>
          </w:p>
        </w:tc>
        <w:tc>
          <w:tcPr>
            <w:tcW w:w="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(772,201)</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1,161,537</w:t>
            </w:r>
          </w:p>
        </w:tc>
        <w:tc>
          <w:tcPr>
            <w:tcW w:w="0" w:type="dxa"/>
            <w:vAlign w:val="bottom"/>
          </w:tcPr>
          <w:p>
            <w:pPr>
              <w:spacing w:after="0"/>
              <w:rPr>
                <w:sz w:val="1"/>
                <w:szCs w:val="1"/>
                <w:color w:val="auto"/>
              </w:rPr>
            </w:pPr>
          </w:p>
        </w:tc>
      </w:tr>
      <w:tr>
        <w:trPr>
          <w:trHeight w:val="265"/>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141,719</w:t>
            </w:r>
          </w:p>
        </w:tc>
        <w:tc>
          <w:tcPr>
            <w:tcW w:w="3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141,719</w:t>
            </w:r>
          </w:p>
        </w:tc>
        <w:tc>
          <w:tcPr>
            <w:tcW w:w="0" w:type="dxa"/>
            <w:vAlign w:val="bottom"/>
          </w:tcPr>
          <w:p>
            <w:pPr>
              <w:spacing w:after="0"/>
              <w:rPr>
                <w:sz w:val="1"/>
                <w:szCs w:val="1"/>
                <w:color w:val="auto"/>
              </w:rPr>
            </w:pPr>
          </w:p>
        </w:tc>
      </w:tr>
      <w:tr>
        <w:trPr>
          <w:trHeight w:val="275"/>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8,883</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8,883</w:t>
            </w:r>
          </w:p>
        </w:tc>
        <w:tc>
          <w:tcPr>
            <w:tcW w:w="0" w:type="dxa"/>
            <w:vAlign w:val="bottom"/>
          </w:tcPr>
          <w:p>
            <w:pPr>
              <w:spacing w:after="0"/>
              <w:rPr>
                <w:sz w:val="1"/>
                <w:szCs w:val="1"/>
                <w:color w:val="auto"/>
              </w:rPr>
            </w:pPr>
          </w:p>
        </w:tc>
      </w:tr>
      <w:tr>
        <w:trPr>
          <w:trHeight w:val="265"/>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5,332</w:t>
            </w:r>
          </w:p>
        </w:tc>
        <w:tc>
          <w:tcPr>
            <w:tcW w:w="3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5,332</w:t>
            </w:r>
          </w:p>
        </w:tc>
        <w:tc>
          <w:tcPr>
            <w:tcW w:w="0" w:type="dxa"/>
            <w:vAlign w:val="bottom"/>
          </w:tcPr>
          <w:p>
            <w:pPr>
              <w:spacing w:after="0"/>
              <w:rPr>
                <w:sz w:val="1"/>
                <w:szCs w:val="1"/>
                <w:color w:val="auto"/>
              </w:rPr>
            </w:pPr>
          </w:p>
        </w:tc>
      </w:tr>
      <w:tr>
        <w:trPr>
          <w:trHeight w:val="158"/>
        </w:trPr>
        <w:tc>
          <w:tcPr>
            <w:tcW w:w="33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Common Stock Issued under Purchase and Equity</w:t>
            </w:r>
          </w:p>
        </w:tc>
        <w:tc>
          <w:tcPr>
            <w:tcW w:w="13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319,377</w:t>
            </w:r>
          </w:p>
        </w:tc>
        <w:tc>
          <w:tcPr>
            <w:tcW w:w="3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1,570</w:t>
            </w:r>
          </w:p>
        </w:tc>
        <w:tc>
          <w:tcPr>
            <w:tcW w:w="3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(383)</w:t>
            </w:r>
          </w:p>
        </w:tc>
        <w:tc>
          <w:tcPr>
            <w:tcW w:w="3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10,552</w:t>
            </w:r>
          </w:p>
        </w:tc>
        <w:tc>
          <w:tcPr>
            <w:tcW w:w="2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11,739</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Compensation Plans and Related Tax Benefits</w:t>
            </w:r>
          </w:p>
        </w:tc>
        <w:tc>
          <w:tcPr>
            <w:tcW w:w="13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(442,007)</w:t>
            </w:r>
          </w:p>
        </w:tc>
        <w:tc>
          <w:tcPr>
            <w:tcW w:w="3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(36,371)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(36,371)</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 Declared ($1.52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(64,946)</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(64,946)</w:t>
            </w:r>
          </w:p>
        </w:tc>
        <w:tc>
          <w:tcPr>
            <w:tcW w:w="0" w:type="dxa"/>
            <w:vAlign w:val="bottom"/>
          </w:tcPr>
          <w:p>
            <w:pPr>
              <w:spacing w:after="0"/>
              <w:rPr>
                <w:sz w:val="1"/>
                <w:szCs w:val="1"/>
                <w:color w:val="auto"/>
              </w:rPr>
            </w:pPr>
          </w:p>
        </w:tc>
      </w:tr>
      <w:tr>
        <w:trPr>
          <w:trHeight w:val="304"/>
        </w:trPr>
        <w:tc>
          <w:tcPr>
            <w:tcW w:w="3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September 30, 2017</w:t>
            </w:r>
          </w:p>
        </w:tc>
        <w:tc>
          <w:tcPr>
            <w:tcW w:w="1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42,513,348</w:t>
            </w:r>
          </w:p>
        </w:tc>
        <w:tc>
          <w:tcPr>
            <w:tcW w:w="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4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558,530</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(25,023)</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1,491,830</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(798,020)</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1,227,893</w:t>
            </w:r>
          </w:p>
        </w:tc>
        <w:tc>
          <w:tcPr>
            <w:tcW w:w="0" w:type="dxa"/>
            <w:vAlign w:val="bottom"/>
          </w:tcPr>
          <w:p>
            <w:pPr>
              <w:spacing w:after="0"/>
              <w:rPr>
                <w:sz w:val="1"/>
                <w:szCs w:val="1"/>
                <w:color w:val="auto"/>
              </w:rPr>
            </w:pPr>
          </w:p>
        </w:tc>
      </w:tr>
      <w:tr>
        <w:trPr>
          <w:trHeight w:val="269"/>
        </w:trPr>
        <w:tc>
          <w:tcPr>
            <w:tcW w:w="3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2015</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43,282,153</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542,041</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(23,557)</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1,316,260</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(719,059)</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1,116,260</w:t>
            </w:r>
          </w:p>
        </w:tc>
        <w:tc>
          <w:tcPr>
            <w:tcW w:w="0" w:type="dxa"/>
            <w:vAlign w:val="bottom"/>
          </w:tcPr>
          <w:p>
            <w:pPr>
              <w:spacing w:after="0"/>
              <w:rPr>
                <w:sz w:val="1"/>
                <w:szCs w:val="1"/>
                <w:color w:val="auto"/>
              </w:rPr>
            </w:pPr>
          </w:p>
        </w:tc>
      </w:tr>
      <w:tr>
        <w:trPr>
          <w:trHeight w:val="275"/>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137,948</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137,948</w:t>
            </w:r>
          </w:p>
        </w:tc>
        <w:tc>
          <w:tcPr>
            <w:tcW w:w="0" w:type="dxa"/>
            <w:vAlign w:val="bottom"/>
          </w:tcPr>
          <w:p>
            <w:pPr>
              <w:spacing w:after="0"/>
              <w:rPr>
                <w:sz w:val="1"/>
                <w:szCs w:val="1"/>
                <w:color w:val="auto"/>
              </w:rPr>
            </w:pPr>
          </w:p>
        </w:tc>
      </w:tr>
      <w:tr>
        <w:trPr>
          <w:trHeight w:val="265"/>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8,745</w:t>
            </w:r>
          </w:p>
        </w:tc>
        <w:tc>
          <w:tcPr>
            <w:tcW w:w="2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8,745</w:t>
            </w:r>
          </w:p>
        </w:tc>
        <w:tc>
          <w:tcPr>
            <w:tcW w:w="0" w:type="dxa"/>
            <w:vAlign w:val="bottom"/>
          </w:tcPr>
          <w:p>
            <w:pPr>
              <w:spacing w:after="0"/>
              <w:rPr>
                <w:sz w:val="1"/>
                <w:szCs w:val="1"/>
                <w:color w:val="auto"/>
              </w:rPr>
            </w:pPr>
          </w:p>
        </w:tc>
      </w:tr>
      <w:tr>
        <w:trPr>
          <w:trHeight w:val="275"/>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5,020</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5,020</w:t>
            </w:r>
          </w:p>
        </w:tc>
        <w:tc>
          <w:tcPr>
            <w:tcW w:w="0" w:type="dxa"/>
            <w:vAlign w:val="bottom"/>
          </w:tcPr>
          <w:p>
            <w:pPr>
              <w:spacing w:after="0"/>
              <w:rPr>
                <w:sz w:val="1"/>
                <w:szCs w:val="1"/>
                <w:color w:val="auto"/>
              </w:rPr>
            </w:pPr>
          </w:p>
        </w:tc>
      </w:tr>
      <w:tr>
        <w:trPr>
          <w:trHeight w:val="153"/>
        </w:trPr>
        <w:tc>
          <w:tcPr>
            <w:tcW w:w="33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Common Stock Issued under Purchase and Equity</w:t>
            </w:r>
          </w:p>
        </w:tc>
        <w:tc>
          <w:tcPr>
            <w:tcW w:w="13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224,018</w:t>
            </w:r>
          </w:p>
        </w:tc>
        <w:tc>
          <w:tcPr>
            <w:tcW w:w="320" w:type="dxa"/>
            <w:vAlign w:val="bottom"/>
          </w:tcPr>
          <w:p>
            <w:pPr>
              <w:spacing w:after="0"/>
              <w:rPr>
                <w:sz w:val="13"/>
                <w:szCs w:val="13"/>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40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2,003</w:t>
            </w:r>
          </w:p>
        </w:tc>
        <w:tc>
          <w:tcPr>
            <w:tcW w:w="340" w:type="dxa"/>
            <w:vAlign w:val="bottom"/>
          </w:tcPr>
          <w:p>
            <w:pPr>
              <w:spacing w:after="0"/>
              <w:rPr>
                <w:sz w:val="13"/>
                <w:szCs w:val="13"/>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(314)</w:t>
            </w:r>
          </w:p>
        </w:tc>
        <w:tc>
          <w:tcPr>
            <w:tcW w:w="30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6,224</w:t>
            </w:r>
          </w:p>
        </w:tc>
        <w:tc>
          <w:tcPr>
            <w:tcW w:w="28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7,914</w:t>
            </w:r>
          </w:p>
        </w:tc>
        <w:tc>
          <w:tcPr>
            <w:tcW w:w="0" w:type="dxa"/>
            <w:vAlign w:val="bottom"/>
          </w:tcPr>
          <w:p>
            <w:pPr>
              <w:spacing w:after="0"/>
              <w:rPr>
                <w:sz w:val="1"/>
                <w:szCs w:val="1"/>
                <w:color w:val="auto"/>
              </w:rPr>
            </w:pPr>
          </w:p>
        </w:tc>
      </w:tr>
      <w:tr>
        <w:trPr>
          <w:trHeight w:val="193"/>
        </w:trPr>
        <w:tc>
          <w:tcPr>
            <w:tcW w:w="3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 Plans and Related Tax Benefits</w:t>
            </w:r>
          </w:p>
        </w:tc>
        <w:tc>
          <w:tcPr>
            <w:tcW w:w="1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(772,658)</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(51,365)</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(51,365)</w:t>
            </w:r>
          </w:p>
        </w:tc>
        <w:tc>
          <w:tcPr>
            <w:tcW w:w="0" w:type="dxa"/>
            <w:vAlign w:val="bottom"/>
          </w:tcPr>
          <w:p>
            <w:pPr>
              <w:spacing w:after="0"/>
              <w:rPr>
                <w:sz w:val="1"/>
                <w:szCs w:val="1"/>
                <w:color w:val="auto"/>
              </w:rPr>
            </w:pPr>
          </w:p>
        </w:tc>
      </w:tr>
      <w:tr>
        <w:trPr>
          <w:trHeight w:val="265"/>
        </w:trPr>
        <w:tc>
          <w:tcPr>
            <w:tcW w:w="3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Cash Dividends Declared ($1.41 per share)</w:t>
            </w:r>
          </w:p>
        </w:tc>
        <w:tc>
          <w:tcPr>
            <w:tcW w:w="1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(60,663)</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(60,663)</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September 30, 2016</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42,733,513</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576</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549,064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(14,812)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1,393,231</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(764,200)</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1,163,859</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Bank of Hawaii Corporation and Subsidiaries</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80" w:type="dxa"/>
            <w:vAlign w:val="bottom"/>
          </w:tcPr>
          <w:p>
            <w:pPr>
              <w:spacing w:after="0"/>
              <w:rPr>
                <w:sz w:val="18"/>
                <w:szCs w:val="18"/>
                <w:color w:val="auto"/>
              </w:rPr>
            </w:pPr>
          </w:p>
        </w:tc>
      </w:tr>
      <w:tr>
        <w:trPr>
          <w:trHeight w:val="257"/>
        </w:trPr>
        <w:tc>
          <w:tcPr>
            <w:tcW w:w="8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r>
      <w:tr>
        <w:trPr>
          <w:trHeight w:val="33"/>
        </w:trPr>
        <w:tc>
          <w:tcPr>
            <w:tcW w:w="8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9"/>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141,719</w:t>
            </w: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137,948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12,650</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9,832</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9,734</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Deferred Loan and Lease Fees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(744)</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and Accretion of Premiums/Discounts on Investment Securities, Net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29,685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33,234</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5,332</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Benefit Plan Contributions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(11,098)</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3,871</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6,465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Gains on Sales of Loans and Leases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(5,615)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Gains on Sales of Investment Securities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(11,047)</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Sales of Loans Held for 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238,137</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152,185</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Originations of Loans Held for Sale</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(231,464)</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(187,117)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Tax Benefits from 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2,515</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Excess Tax Benefits from 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Change in Other Assets and 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(37,405)</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(14,297)</w:t>
            </w:r>
          </w:p>
        </w:tc>
      </w:tr>
      <w:tr>
        <w:trPr>
          <w:trHeight w:val="231"/>
        </w:trPr>
        <w:tc>
          <w:tcPr>
            <w:tcW w:w="8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146,368</w:t>
            </w: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123,137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278,719</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288,928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Sales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11,052</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10,766</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(417,899)</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(248,839)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654,484</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545,133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(795,272)</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(394,547)</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Change in Loans and Leases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(722,352)</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(954,616)</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Sales of Loans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137,717</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118,089</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(21,489)</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(8,823)</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(875,040)</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(643,909)</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Change in Deposits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727,920</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557,262</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(27,701)</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(74,891)</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75,000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Tax Benefits from 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916</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11,679</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6,903</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(36,371)</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Dividends Paid</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(64,946)</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(60,663)</w:t>
            </w:r>
          </w:p>
        </w:tc>
      </w:tr>
      <w:tr>
        <w:trPr>
          <w:trHeight w:val="231"/>
        </w:trPr>
        <w:tc>
          <w:tcPr>
            <w:tcW w:w="82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610,581</w:t>
            </w: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403,162</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(118,091)</w:t>
            </w: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(117,610)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879,607</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755,721</w:t>
            </w:r>
          </w:p>
        </w:tc>
      </w:tr>
      <w:tr>
        <w:trPr>
          <w:trHeight w:val="231"/>
        </w:trPr>
        <w:tc>
          <w:tcPr>
            <w:tcW w:w="8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761,516</w:t>
            </w:r>
          </w:p>
        </w:tc>
        <w:tc>
          <w:tcPr>
            <w:tcW w:w="8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638,111</w:t>
            </w:r>
          </w:p>
        </w:tc>
      </w:tr>
      <w:tr>
        <w:trPr>
          <w:trHeight w:val="73"/>
        </w:trPr>
        <w:tc>
          <w:tcPr>
            <w:tcW w:w="82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31"/>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32,331</w:t>
            </w: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28,952</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49,957</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51,257</w:t>
            </w:r>
          </w:p>
        </w:tc>
      </w:tr>
      <w:tr>
        <w:trPr>
          <w:trHeight w:val="23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Transfer from Loans to Foreclosed Real Estate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2,559</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1,058</w:t>
            </w: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Transfers from Loans to Loans Held for Sale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86,625</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140,439</w:t>
            </w:r>
          </w:p>
        </w:tc>
      </w:tr>
    </w:tbl>
    <w:p>
      <w:pPr>
        <w:spacing w:after="0" w:line="200" w:lineRule="exact"/>
        <w:rPr>
          <w:sz w:val="20"/>
          <w:szCs w:val="20"/>
          <w:color w:val="auto"/>
        </w:rPr>
      </w:pPr>
    </w:p>
    <w:p>
      <w:pPr>
        <w:sectPr>
          <w:pgSz w:w="11900" w:h="16838" w:orient="portrait"/>
          <w:cols w:equalWidth="0" w:num="1">
            <w:col w:w="11420"/>
          </w:cols>
          <w:pgMar w:left="240" w:top="126" w:right="239" w:bottom="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 (Unaudited).</w:t>
      </w:r>
    </w:p>
    <w:p>
      <w:pPr>
        <w:sectPr>
          <w:pgSz w:w="11900" w:h="16838" w:orient="portrait"/>
          <w:cols w:equalWidth="0" w:num="1">
            <w:col w:w="11420"/>
          </w:cols>
          <w:pgMar w:left="240" w:top="126" w:right="239" w:bottom="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121" w:right="1440" w:bottom="1440" w:gutter="0" w:footer="0" w:header="0"/>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Times New Roman" w:cs="Times New Roman" w:eastAsia="Times New Roman" w:hAnsi="Times New Roman"/>
          <w:sz w:val="18"/>
          <w:szCs w:val="18"/>
          <w:i w:val="1"/>
          <w:iCs w:val="1"/>
          <w:color w:val="auto"/>
        </w:rPr>
        <w:t>“Accounting for Investments in Qualified Affordable Housing Projects”</w:t>
      </w:r>
      <w:r>
        <w:rPr>
          <w:rFonts w:ascii="Times New Roman" w:cs="Times New Roman" w:eastAsia="Times New Roman" w:hAnsi="Times New Roman"/>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Unfunded commitments to fund these low-income housing partnerships were $26.5 million and $16.2 million as of September 30, 2017 and December 31, 2016, respectively. These unfunded commitments are unconditional and legally binding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and are recorded in other liabilities in the consolidated statements of condition. See Note 5 </w:t>
      </w:r>
      <w:r>
        <w:rPr>
          <w:rFonts w:ascii="Times New Roman" w:cs="Times New Roman" w:eastAsia="Times New Roman" w:hAnsi="Times New Roman"/>
          <w:sz w:val="18"/>
          <w:szCs w:val="18"/>
          <w:i w:val="1"/>
          <w:iCs w:val="1"/>
          <w:color w:val="auto"/>
        </w:rPr>
        <w:t>Affordable Housing Projects Tax Credit Partnerships</w:t>
      </w:r>
      <w:r>
        <w:rPr>
          <w:rFonts w:ascii="Times New Roman" w:cs="Times New Roman" w:eastAsia="Times New Roman" w:hAnsi="Times New Roman"/>
          <w:sz w:val="18"/>
          <w:szCs w:val="18"/>
          <w:color w:val="auto"/>
        </w:rPr>
        <w:t xml:space="preserve"> for more information.</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six years.</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investments in these entities are initially recorded at cost, which approximates the maximum exposure to loss as a result of the Company’s involvement with these unconsolidated entities. The balance of the Company’s investments in these entities was $83.3 million and $78.9 million as of September 30, 2017 and December 31, 2016, respectively, and is included in other assets in the consolidated statements of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Correction of an Immaterial Error to the Financial Statements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determined during the fourth quarter of 2016 the proceeds from the sale of residential mortgage loans transferred from portfolio to held for sale were incorrectly reported on the consolidated statements of cash flows. The consolidated statement of cash flows for the nine months ended September 30, 2016 was adjusted to decrease the originations of loans held for sale by $136.7 million, decrease the proceeds from sales of loans held for sale by $116.6 million, and decrease the net change in other assets and other liabilities by $0.1 million. The net result was a $20.1 million increase to the net cash provided by operating activities. In addition, the net change in loans and leases was increased by $138.2 million, and a new line item, proceeds from sales of loans, was inserted for $118.1 million, resulting in a $20.1 million increase to net cash used in investing activities. Lastly, listed in the Supplemental Information section as a non-cash investing activity, transfers from loans to loans held for sale was decreased by $3.5 million. These corrections did not impact the consolidated statements of income or the consolidated statements of condition. The Company evaluated the effect of the incorrect presentation of the consolidated statements of cash flows, both qualitatively and quantitatively, and concluded it did not materially misstate the Company’s previously issued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2017</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This ASU includes provisions intended to simplify various aspects related to how share-based payments are accounted for and presented in the financial statements. Some of the key provisions of this new ASU include: (1) companies will no longer record excess tax benefits and certain tax deficiencies in additional paid-in capital (“APIC”). Instead, they will record all excess tax benefits and tax deficiencies as income tax expense or benefit in the income statement, and APIC pools will be eliminated. The guidance also eliminates the requirement that excess tax benefits be realized before companies can recognize them. In addition, the guidance requires companies to present excess tax benefits as an operating activity on the statement of cash flows rather than as a financing activity; (2) increase the amount an employer can withhold to cover income taxes on awards and still qualify for the exception to liability classification for shares used to satisfy the employer’s statutory income tax withholding obligation. The new guidance will also require an employer to classify the cash paid to a tax authority when shares are withheld to satisfy its statutory income tax withholding obligation as a financing activity on its statement of cash flows (current guidance did not specify how these cash flows should be classified); and (3) permit companies to make an accounting policy election for the impact of forfeitures on the recognition of expense for share-based payment awards. Forfeitures can be estimated, as required today, or recognized when they occur. ASU No. 2016-09 is effective for interim and annual reporting periods beginning after December 15, 2016. The Company adopted ASU No. 2016-09 on January 1, 2017 and elected to recognize forfeitures as they occur. As allowed by the ASU, the Company’s adoption was prospective; therefore, prior periods have not been adjusted. The adoption of ASU No. 2016-09 could result in increased volatility to reported income tax expense related to excess tax benefits and tax deficiencies for employee share-based transactions. However, the actual amounts recognized in income tax expense will be dependent on the amount of employee share-based transactions and the stock price at the time of vesting or exercise. For the first nine months of 2017, the adoption of ASU No. 2016-09 resulted in a decrease to the provision for income taxes primarily due to the tax benefit from the exercise of stock options and the vesting of restricted stock.</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6" w:right="25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“Stock Compensation, Scope of Modification Accounting.”</w:t>
      </w:r>
      <w:r>
        <w:rPr>
          <w:rFonts w:ascii="Times New Roman" w:cs="Times New Roman" w:eastAsia="Times New Roman" w:hAnsi="Times New Roman"/>
          <w:sz w:val="18"/>
          <w:szCs w:val="18"/>
          <w:color w:val="auto"/>
        </w:rPr>
        <w:t xml:space="preserve"> This ASU clarifies when changes to the terms of conditions of a share-based payment award must be accounted for as modifications. Companies will apply the modification accounting guidance if the value, vesting conditions or classification of the award changes. The new guidance should reduce diversity in practice and result in fewer changes to the terms of an award being accounted for as modifications, as the guidance will allow companies to make certain non-substantive changes to awards without accounting for them as modifications. It does not change the accounting for modifications. ASU No. 2017-09 is effective for interim and annual reporting periods beginning after December 15, 2017; early adoption is permitted. The Company elected to early adopt ASU No. 2017-09 in 2017. ASU No. 2017-09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Pending Adoption</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May 2014, the FASB and the International Accounting Standards Board (the “IASB”) jointly issued a comprehensive new revenue recognition standard that will supersede nearly all existing revenue recognition guidance under GAAP and International Financial Reporting Standards (“IFRS”). Previous revenue recognition guidance in GAAP consisted of broad revenue recognition concepts together with numerous revenue requirements for particular industries or transactions, which sometimes resulted in different accounting for economically similar transactions. In contrast, IFRS provided limited revenue recognition guidance and, consequently, could be difficult to apply to complex transactions. Accordingly, the FASB and the IASB initiated a joint project to clarify the principles for recognizing revenue and to develop a common revenue standard for U.S. GAAP and IFRS that would: (1) remove inconsistencies and weaknesses in revenue requirements; (2) provide a more robust framework for addressing revenue issues; (3) improve comparability of revenue recognition practices across entities, industries, jurisdictions, and capital markets; (4) provide more useful information to users of financial statements through improved disclosure requirements; and (5) simplify the preparation of financial statements by reducing the number of requirements to which an entity must refer. To meet those objectives,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generally will be required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The standard was initially effective for public entities for interim and annual reporting periods beginning after December 15, 2016; early adoption was not permitted. However, in August 2015, the FASB issued ASU No. 2015-14, </w:t>
      </w:r>
      <w:r>
        <w:rPr>
          <w:rFonts w:ascii="Times New Roman" w:cs="Times New Roman" w:eastAsia="Times New Roman" w:hAnsi="Times New Roman"/>
          <w:sz w:val="18"/>
          <w:szCs w:val="18"/>
          <w:i w:val="1"/>
          <w:iCs w:val="1"/>
          <w:color w:val="auto"/>
        </w:rPr>
        <w:t>“Revenue from Contracts with Customers - Deferral of the Effective Date”</w:t>
      </w:r>
      <w:r>
        <w:rPr>
          <w:rFonts w:ascii="Times New Roman" w:cs="Times New Roman" w:eastAsia="Times New Roman" w:hAnsi="Times New Roman"/>
          <w:sz w:val="18"/>
          <w:szCs w:val="18"/>
          <w:color w:val="auto"/>
        </w:rPr>
        <w:t xml:space="preserve"> which deferred the effective date by one year (i.e., to interim and annual reporting periods beginning after December 15, 2017). For financial reporting purposes, the standard allows for either full retrospective adoption, meaning the standard is applied to all of the periods presented, or modified retrospective adoption, meaning the standard is applied only to the most current period presented in the financial statements with the cumulative effect of initially applying the standard recognized at the date of initial application. In addition, the FASB has begun to issue targeted updates to clarify specific implementation issues of ASU 2014-09. These updates include ASU No. 2016-08, </w:t>
      </w:r>
      <w:r>
        <w:rPr>
          <w:rFonts w:ascii="Times New Roman" w:cs="Times New Roman" w:eastAsia="Times New Roman" w:hAnsi="Times New Roman"/>
          <w:sz w:val="18"/>
          <w:szCs w:val="18"/>
          <w:i w:val="1"/>
          <w:iCs w:val="1"/>
          <w:color w:val="auto"/>
        </w:rPr>
        <w:t xml:space="preserve">“Principal versus Agent Considerations (Reporting Revenue Gross versus Net),” </w:t>
      </w:r>
      <w:r>
        <w:rPr>
          <w:rFonts w:ascii="Times New Roman" w:cs="Times New Roman" w:eastAsia="Times New Roman" w:hAnsi="Times New Roman"/>
          <w:sz w:val="18"/>
          <w:szCs w:val="18"/>
          <w:color w:val="auto"/>
        </w:rPr>
        <w:t>ASU No. 2016-10,</w:t>
      </w:r>
      <w:r>
        <w:rPr>
          <w:rFonts w:ascii="Times New Roman" w:cs="Times New Roman" w:eastAsia="Times New Roman" w:hAnsi="Times New Roman"/>
          <w:sz w:val="18"/>
          <w:szCs w:val="18"/>
          <w:i w:val="1"/>
          <w:iCs w:val="1"/>
          <w:color w:val="auto"/>
        </w:rPr>
        <w:t xml:space="preserve"> “Identifying Performance Obligations and Licensing,” </w:t>
      </w:r>
      <w:r>
        <w:rPr>
          <w:rFonts w:ascii="Times New Roman" w:cs="Times New Roman" w:eastAsia="Times New Roman" w:hAnsi="Times New Roman"/>
          <w:sz w:val="18"/>
          <w:szCs w:val="18"/>
          <w:color w:val="auto"/>
        </w:rPr>
        <w:t xml:space="preserve">ASU No. 2016-12, </w:t>
      </w:r>
      <w:r>
        <w:rPr>
          <w:rFonts w:ascii="Times New Roman" w:cs="Times New Roman" w:eastAsia="Times New Roman" w:hAnsi="Times New Roman"/>
          <w:sz w:val="18"/>
          <w:szCs w:val="18"/>
          <w:i w:val="1"/>
          <w:iCs w:val="1"/>
          <w:color w:val="auto"/>
        </w:rPr>
        <w:t>“Narrow-Scope Improvements and Practical Expedients,”</w:t>
      </w:r>
      <w:r>
        <w:rPr>
          <w:rFonts w:ascii="Times New Roman" w:cs="Times New Roman" w:eastAsia="Times New Roman" w:hAnsi="Times New Roman"/>
          <w:sz w:val="18"/>
          <w:szCs w:val="18"/>
          <w:color w:val="auto"/>
        </w:rPr>
        <w:t xml:space="preserve"> and ASU No. 2016-20 </w:t>
      </w:r>
      <w:r>
        <w:rPr>
          <w:rFonts w:ascii="Times New Roman" w:cs="Times New Roman" w:eastAsia="Times New Roman" w:hAnsi="Times New Roman"/>
          <w:sz w:val="18"/>
          <w:szCs w:val="18"/>
          <w:i w:val="1"/>
          <w:iCs w:val="1"/>
          <w:color w:val="auto"/>
        </w:rPr>
        <w:t>“Technical Corrections and Improvements to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Since the guidance does not apply to revenue associated with financial instruments, including loans and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accounted for under other GAAP, the Company does not expect the new guidance to have a material impact on revenue most closely associated with financial instruments, including interest income and expense. The Company is substantially complete with its overall assessment of revenue streams and reviewing of related contracts potentially affected by the ASU, including trust and asset management fees, deposit related fees, interchange fees, merchant income, and annuity and insurance commissions. The Company’s assessment suggests that adoption of this ASU should not materially change the method in which we currently recognize revenue for these revenue streams. The Company is also substantially complete with its evaluation of certain costs related to these revenue streams to determine whether such costs should be presented as expenses or contra-revenue (i.e., gross vs. net). In addition, the Company is evaluating the ASU’s expanded disclosure requirements. The Company plans to adopt ASU No. 2014-09 on January 1, 2018 utilizing the modified retrospective approach with a cumulative effect adjustment to opening retained earnings, if such adjustment is deemed to be material.</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xml:space="preserve"> This ASU addresses certain aspects of recognition, measurement, presentation, and disclosure of financial instruments by making targeted improvements to GAAP as follows: (1) require equity investments (except those accounted for under the equity method of accounting or those that result in consolidation of the investee) to be measured at fair value with changes in fair value recognized in net income. However, an entity may choose to measure equity investments that do not have readily determinable fair values at cost minus impairment, if any, plus or minus changes resulting from observable price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26" w:right="25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changes in orderly transactions for the identical or a similar investment of the same issuer; (2)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(3) eliminate the requirement to disclose the fair value of financial instruments measured at amortized cost for entities that are not public business entities; (4) eliminate the requirement for public business entities to disclose the method(s) and significant assumptions used to estimate the fair value that is required to be disclosed for financial instruments measured at amortized cost on the balance sheet; (5) require public business entities to use the exit price notion when measuring the fair value of financial instruments for disclosure purposes; (6)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(7) require separate presentation of financial assets and financial liabilities by measurement category and form of financial asset (that is, securities or loans and receivables) on the balance sheet or the accompanying notes to the financial statements; and (8) clarify that an entity should evaluate the need for a valuation allowance on a deferred tax asset related to available-for-sale securities in combination with the entity’s other deferred tax assets. ASU No. 2016-01 is effective for interim and annual reporting periods beginning after December 15, 2017. Although the Company has not finalized its evaluation of the impact of adopting ASU No. 2016-01, adoption is not expected to have a material impact on the Company’s Consolidated Financial Statements.</w:t>
      </w:r>
    </w:p>
    <w:p>
      <w:pPr>
        <w:spacing w:after="0" w:line="19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early adoption is permitted. All entities are required to use a modified retrospective approach for leases that exist or are entered into after the beginning of the earliest comparative period in the financial statements. They have the option to use certain relief; full retrospective application is prohibited. The Company has several lease agreements, such as branch locations, which are currently considered operating leases, and therefore, not recognized on the Company’s consolidated statements of condition. The Company expects the new guidance will require these lease agreements to now be recognized on the consolidated statements of condition as a right-of-use asset and a corresponding lease liability. Therefore, the Company’s preliminary evaluation indicates the provisions of ASU No. 2016-02 are expected to impact the Company’s consolidated statements of condition, along with our regulatory capital ratios. However, the Company continues to evaluate the extent of potential impact the new guidance will have on the Company’s Consolidated Financial Statements. In addition, the Company is considering obtaining new software to aid in the transition to the new leasing guidance.</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early adoption is permitted for interim and annual reporting periods beginning after December 15, 2018. Entities will apply the standard’s provisions as a cumulative-effect adjustment to retained earnings as of the beginning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implementation team meets periodically to discuss the latest developments and ensure progress is being made. The team also keeps current on evolving interpretations and industry practices related to ASU 2016-13 via webcasts, publications, conferences, and peer bank meetings. Currently the team is in the process of gathering and reviewing historical data and evaluating different loss methodologies. The Company’s preliminary evaluation indicates the provisions of ASU No. 2016-13 are expected to impact the Company’s Consolidated Financial Statements, in particular the level of the reserve for credit losses. However, the Company continues to evaluate the extent of the potential impact.</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xml:space="preserve"> Current GAAP is unclear or does not include specific guidance on how to classify certain transactions in the statement of cash flows. This ASU is intended to reduce diversity in practice in how eight particular transactions are classified in the statement of cash flows. ASU No. 2016-15 is effective for interim and annual reporting periods beginning after December 15, 2017. Early adoption is permitted, provided that all of the amendments are adopted in the same period. Entities will be required to apply the guidance retrospectively. If it is impracticable to apply the guidance retrospectively for an issue, the amendments related to that issue would be applied prospectively. As this guidance only affects the classification within the statement of cash flows, ASU No. 2016-15 is not expected to have a material impact on the Company’s Consolidated Financial Statements.</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The guidance removes Step 2 of the goodwill impairment test, which requires a hypothetical purchase price allocation. Goodwill impairment will now be the amount by which a reporting unit’s carrying value exceeds its fair value, not to exceed the carrying amount of goodwill. All other goodwill impairment guidance will remain largely unchanged. ASU No. 2017-04 is effective for interim and annual reporting periods beginning after December 15, 2019, applied prospectively. Early adoption is permitted for any impairment tests performed after January 1, 2017. The Company expects to early adopt upon the next goodwill impairment test in 2017. ASU No. 2017-04 is not expected to have a material impact on the Company’s Consolidated Financial Statements.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 </w:t>
      </w:r>
      <w:r>
        <w:rPr>
          <w:rFonts w:ascii="Times New Roman" w:cs="Times New Roman" w:eastAsia="Times New Roman" w:hAnsi="Times New Roman"/>
          <w:sz w:val="18"/>
          <w:szCs w:val="18"/>
          <w:color w:val="auto"/>
        </w:rPr>
        <w:t>Under the new guidance, employers will present the service cost component of the net periodic benefit cost in the same income statement line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(e.g., Salaries and Benefits) as other employee compensation costs arising from services rendered during the period. In addition, only the service cost component will be eligible for capitalization in assets. Employers will present the other components separately (e.g., Other Noninterest Expense) from the line item that includes the service cost. ASU No. 2017-07 is effective for interim and annual reporting periods beginning after December 15, 2017. Early adoption is permitted: however, the Company has decided not to early adopt. Employers will apply the guidance on the presentation of the components of net periodic benefit cost in the income statement retrospectively. The guidance limiting the capitalization of net periodic benefit cost in assets to the service cost component will be applied prospectively. The Company expects to utilize the ASU’s practical expedient allowing entities to estimate amounts for comparative periods using the information previously disclosed in their pension and other postretirement benefit plan footnote. ASU No. 2017-07 is not expected to have a material impact on the Company’s Consolidated Financial Statements.</w:t>
      </w:r>
    </w:p>
    <w:p>
      <w:pPr>
        <w:spacing w:after="0" w:line="18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2017-08, </w:t>
      </w:r>
      <w:r>
        <w:rPr>
          <w:rFonts w:ascii="Times New Roman" w:cs="Times New Roman" w:eastAsia="Times New Roman" w:hAnsi="Times New Roman"/>
          <w:sz w:val="18"/>
          <w:szCs w:val="18"/>
          <w:i w:val="1"/>
          <w:iCs w:val="1"/>
          <w:color w:val="auto"/>
        </w:rPr>
        <w:t>“Premium Amortization on Purchased Callable Debt Securities.”</w:t>
      </w:r>
      <w:r>
        <w:rPr>
          <w:rFonts w:ascii="Times New Roman" w:cs="Times New Roman" w:eastAsia="Times New Roman" w:hAnsi="Times New Roman"/>
          <w:sz w:val="18"/>
          <w:szCs w:val="18"/>
          <w:color w:val="auto"/>
        </w:rPr>
        <w:t xml:space="preserve"> This ASU shortens the amortization period for the premium on certain purchased callable debt securities to the earliest call date. Today, entities generally amortize the premium over the contractual life of the security. The new guidance does not change the accounting for purchased callable debt securities held at a discount; the discount continues to be amortized to maturity. ASU No. 2017-08 is effective for interim and annual reporting periods beginning after December 15, 2018; early adoption is permitted. The guidance calls for a modified retrospective transition approach under which a cumulative-effect adjustment will be made to retained earnings as of the beginning of the first reporting period in which the guidance is adopted. The Company is currently evaluating the provisions of ASU No. 2017-08 to determine the potential impact the new standard will have on the Company’s Consolidated Financial Statements.</w:t>
      </w:r>
    </w:p>
    <w:p>
      <w:pPr>
        <w:spacing w:after="0" w:line="18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 xml:space="preserve">In August 2017, the FASB issued ASU No. 2017-12, </w:t>
      </w:r>
      <w:r>
        <w:rPr>
          <w:rFonts w:ascii="Times New Roman" w:cs="Times New Roman" w:eastAsia="Times New Roman" w:hAnsi="Times New Roman"/>
          <w:sz w:val="17"/>
          <w:szCs w:val="17"/>
          <w:i w:val="1"/>
          <w:iCs w:val="1"/>
          <w:color w:val="auto"/>
        </w:rPr>
        <w:t>“Targeted Improvements to Accounting for Hedging Activities.”</w:t>
      </w:r>
      <w:r>
        <w:rPr>
          <w:rFonts w:ascii="Times New Roman" w:cs="Times New Roman" w:eastAsia="Times New Roman" w:hAnsi="Times New Roman"/>
          <w:sz w:val="17"/>
          <w:szCs w:val="17"/>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early adoption is permitted. The Company currently does not designate any derivative financial instruments as formal hedging relationships, and therefore, does not utilize hedge accounting. However, the Company is currently evaluating this ASU to determine whether its provisions will enhance the Company’s ability to employ risk management strategies, while improving the transparency and understanding of those strategies for financial statement users.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Securities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the Company’s investment securities as of September 30, 2017 and December 31, 2016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0"/>
        </w:trPr>
        <w:tc>
          <w:tcPr>
            <w:tcW w:w="5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446,205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3,952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449,204</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624,203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17,783</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641,963</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268,013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265,846</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247,418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3,605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249,976</w:t>
            </w:r>
          </w:p>
        </w:tc>
      </w:tr>
      <w:tr>
        <w:trPr>
          <w:trHeight w:val="237"/>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646,013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1,056</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(4,956)</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642,113</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76,260</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(2,694)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73,566</w:t>
            </w:r>
          </w:p>
        </w:tc>
      </w:tr>
      <w:tr>
        <w:trPr>
          <w:trHeight w:val="231"/>
        </w:trPr>
        <w:tc>
          <w:tcPr>
            <w:tcW w:w="5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969,691</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4,661</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(8,697)</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965,655</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2,308,112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26,534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(11,978)</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2,322,668</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425,086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424,731</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239,462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14,283</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253,745</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123,660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478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122,982</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2,168,568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14,781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(21,313)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2,162,036</w:t>
            </w:r>
          </w:p>
        </w:tc>
      </w:tr>
      <w:tr>
        <w:trPr>
          <w:trHeight w:val="237"/>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795,992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1,637</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(6,918)</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790,711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207,830</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1,972</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(3,051)</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206,751</w:t>
            </w:r>
          </w:p>
        </w:tc>
      </w:tr>
      <w:tr>
        <w:trPr>
          <w:trHeight w:val="231"/>
        </w:trPr>
        <w:tc>
          <w:tcPr>
            <w:tcW w:w="5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3,172,390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18,390</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(31,282)</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3,159,498</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3,960,598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33,531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(33,173)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3,960,956</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407,478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2,531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(1,294)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408,715</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662,231</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11,455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(1,887)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671,799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273,044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(3,870)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269,179</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240,412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4,577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(1,145)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243,844</w:t>
            </w:r>
          </w:p>
        </w:tc>
      </w:tr>
      <w:tr>
        <w:trPr>
          <w:trHeight w:val="237"/>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511,234</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971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(5,218)</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506,987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89,544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(4,027)</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85,517</w:t>
            </w:r>
          </w:p>
        </w:tc>
      </w:tr>
      <w:tr>
        <w:trPr>
          <w:trHeight w:val="231"/>
        </w:trPr>
        <w:tc>
          <w:tcPr>
            <w:tcW w:w="5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841,190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5,548</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(10,390)</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836,348</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2,183,943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19,539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(17,441)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2,186,041</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530,149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1,562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(771)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530,940</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242,295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9,991</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252,286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135,620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416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134,508</w:t>
            </w:r>
          </w:p>
        </w:tc>
      </w:tr>
      <w:tr>
        <w:trPr>
          <w:trHeight w:val="237"/>
        </w:trPr>
        <w:tc>
          <w:tcPr>
            <w:tcW w:w="5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1,940,076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20,567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(23,861)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1,936,782</w:t>
            </w:r>
          </w:p>
        </w:tc>
      </w:tr>
      <w:tr>
        <w:trPr>
          <w:trHeight w:val="237"/>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752,768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798</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(10,919)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742,647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232,089</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940</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(2,665)</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230,364</w:t>
            </w:r>
          </w:p>
        </w:tc>
      </w:tr>
      <w:tr>
        <w:trPr>
          <w:trHeight w:val="231"/>
        </w:trPr>
        <w:tc>
          <w:tcPr>
            <w:tcW w:w="5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2,924,933</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22,305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(37,445)</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2,909,793</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3,832,997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34,274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(39,744)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3,827,527</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type w:val="continuous"/>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an analysis of the contractual maturities of the Company’s investment securities as of September 30, 2017.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9"/>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in One Year or Less</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79,756</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80,005</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622,846</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628,796</w:t>
            </w: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164,664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172,362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25,501</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27,186</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892,767</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908,349</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445,654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448,664</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247,418</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249,976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646,013</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642,113</w:t>
            </w:r>
          </w:p>
        </w:tc>
      </w:tr>
      <w:tr>
        <w:trPr>
          <w:trHeight w:val="237"/>
        </w:trPr>
        <w:tc>
          <w:tcPr>
            <w:tcW w:w="6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76,260</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73,566</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969,691</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965,655</w:t>
            </w:r>
          </w:p>
        </w:tc>
      </w:tr>
      <w:tr>
        <w:trPr>
          <w:trHeight w:val="231"/>
        </w:trPr>
        <w:tc>
          <w:tcPr>
            <w:tcW w:w="6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2,308,112</w:t>
            </w:r>
          </w:p>
        </w:tc>
        <w:tc>
          <w:tcPr>
            <w:tcW w:w="4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2,322,668</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240,105</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239,988</w:t>
            </w: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255,274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257,753</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254,585</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262,701</w:t>
            </w: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After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38,244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41,016</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788,208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801,458</w:t>
            </w:r>
          </w:p>
        </w:tc>
      </w:tr>
      <w:tr>
        <w:trPr>
          <w:trHeight w:val="237"/>
        </w:trPr>
        <w:tc>
          <w:tcPr>
            <w:tcW w:w="6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2,168,568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2,162,036</w:t>
            </w:r>
          </w:p>
        </w:tc>
      </w:tr>
      <w:tr>
        <w:trPr>
          <w:trHeight w:val="237"/>
        </w:trPr>
        <w:tc>
          <w:tcPr>
            <w:tcW w:w="62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795,992</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790,711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207,830</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206,751</w:t>
            </w:r>
          </w:p>
        </w:tc>
      </w:tr>
      <w:tr>
        <w:trPr>
          <w:trHeight w:val="231"/>
        </w:trPr>
        <w:tc>
          <w:tcPr>
            <w:tcW w:w="6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3,172,390</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3,159,498</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3,960,598</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3,960,956</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Investment securities with carrying values of $2.7 billion and $2.4 billion as of September 30, 2017 and December 31, 2016, respectively, were pledged to secure deposits of governmental entities and securities sold under agreements to repurchase.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gains and losses from the sales of investment securities for the three and nine months ended September 30, 2017 and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00" w:type="dxa"/>
            <w:vAlign w:val="bottom"/>
          </w:tcPr>
          <w:p>
            <w:pPr>
              <w:spacing w:after="0"/>
              <w:rPr>
                <w:sz w:val="17"/>
                <w:szCs w:val="17"/>
                <w:color w:val="auto"/>
              </w:rPr>
            </w:pPr>
          </w:p>
        </w:tc>
      </w:tr>
      <w:tr>
        <w:trPr>
          <w:trHeight w:val="212"/>
        </w:trPr>
        <w:tc>
          <w:tcPr>
            <w:tcW w:w="5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9"/>
        </w:trPr>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7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Gains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12,467</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11,180</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Losses on Sales of Investment Securities</w:t>
            </w:r>
          </w:p>
        </w:tc>
        <w:tc>
          <w:tcPr>
            <w:tcW w:w="3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(566)</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(1,420)</w:t>
            </w:r>
          </w:p>
        </w:tc>
        <w:tc>
          <w:tcPr>
            <w:tcW w:w="7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33"/>
        </w:trPr>
        <w:tc>
          <w:tcPr>
            <w:tcW w:w="5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Gains (Losses)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(566)</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11,047</w:t>
            </w:r>
          </w:p>
        </w:tc>
        <w:tc>
          <w:tcPr>
            <w:tcW w:w="76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10,540</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losses during the three and nine months ended September 30, 2017 and 2016 were due to fees paid to the counterparties of our prior Visa Class B share sale transactions.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 securities in an unrealized loss position, segregated by continuous length of loss,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Debt Securities Issued by the U.S. Treasury</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77,995</w:t>
            </w:r>
          </w:p>
        </w:tc>
        <w:tc>
          <w:tcPr>
            <w:tcW w:w="3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152,914</w:t>
            </w:r>
          </w:p>
        </w:tc>
        <w:tc>
          <w:tcPr>
            <w:tcW w:w="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230,909</w:t>
            </w:r>
          </w:p>
        </w:tc>
        <w:tc>
          <w:tcPr>
            <w:tcW w:w="3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Government Agencies</w:t>
            </w: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11,064</w:t>
            </w:r>
          </w:p>
        </w:tc>
        <w:tc>
          <w:tcPr>
            <w:tcW w:w="30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746</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11,810</w:t>
            </w:r>
          </w:p>
        </w:tc>
        <w:tc>
          <w:tcPr>
            <w:tcW w:w="3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4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Political Subdivisions</w:t>
            </w: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22,995</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202,713</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225,708</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 Government Agencies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17,046</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12,048</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29,094</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65"/>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 U.S. Government-Sponsored Enterprises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389,869</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55,238</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445,107</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73,566</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73,566</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406,915</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140,852</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547,767</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518,969</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(3,964)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497,225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1,016,194</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Debt Securities Issued by the U.S. Treasury</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159,956</w:t>
            </w:r>
          </w:p>
        </w:tc>
        <w:tc>
          <w:tcPr>
            <w:tcW w:w="3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49,804</w:t>
            </w:r>
          </w:p>
        </w:tc>
        <w:tc>
          <w:tcPr>
            <w:tcW w:w="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209,760</w:t>
            </w:r>
          </w:p>
        </w:tc>
        <w:tc>
          <w:tcPr>
            <w:tcW w:w="3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Government Agencies</w:t>
            </w: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46,726</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14,589</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61,315</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 Government Agencies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897,044</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516,479</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1,413,523</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(21,313)</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 U.S. Government-Sponsored Enterprises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508,545</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59,202</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567,747</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Commercial - Government Agencies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32,799</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55,820</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88,619</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1,438,388</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(11,986)</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631,501</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2,069,889</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(31,282)</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1,645,070</w:t>
            </w:r>
          </w:p>
        </w:tc>
        <w:tc>
          <w:tcPr>
            <w:tcW w:w="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(12,940)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695,894</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(20,233)</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2,340,964</w:t>
            </w:r>
          </w:p>
        </w:tc>
        <w:tc>
          <w:tcPr>
            <w:tcW w:w="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(33,173)</w:t>
            </w:r>
          </w:p>
        </w:tc>
        <w:tc>
          <w:tcPr>
            <w:tcW w:w="0" w:type="dxa"/>
            <w:vAlign w:val="bottom"/>
          </w:tcPr>
          <w:p>
            <w:pPr>
              <w:spacing w:after="0"/>
              <w:rPr>
                <w:sz w:val="1"/>
                <w:szCs w:val="1"/>
                <w:color w:val="auto"/>
              </w:rPr>
            </w:pPr>
          </w:p>
        </w:tc>
      </w:tr>
      <w:tr>
        <w:trPr>
          <w:trHeight w:val="215"/>
        </w:trPr>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Debt Securities Issued by the U.S. Treasury</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143,715</w:t>
            </w:r>
          </w:p>
        </w:tc>
        <w:tc>
          <w:tcPr>
            <w:tcW w:w="3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89,211</w:t>
            </w:r>
          </w:p>
        </w:tc>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232,926</w:t>
            </w:r>
          </w:p>
        </w:tc>
        <w:tc>
          <w:tcPr>
            <w:tcW w:w="3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193"/>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Government Agencies</w:t>
            </w: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7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Debt Securities Issued by States</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211,188</w:t>
            </w:r>
          </w:p>
        </w:tc>
        <w:tc>
          <w:tcPr>
            <w:tcW w:w="3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6,725</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217,913</w:t>
            </w:r>
          </w:p>
        </w:tc>
        <w:tc>
          <w:tcPr>
            <w:tcW w:w="3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Political Subdivisions</w:t>
            </w: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67,332</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196,838</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264,170</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 - Government Agencies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38,355</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11,185</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49,540</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 U.S. Government-Sponsored Enterprises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397,385</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397,385</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Commercial - Government Agencies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5,097</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80,420</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85,517</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440,837</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(5,471)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91,605</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532,442</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(10,390)</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863,072</w:t>
            </w:r>
          </w:p>
        </w:tc>
        <w:tc>
          <w:tcPr>
            <w:tcW w:w="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384,379</w:t>
            </w:r>
          </w:p>
        </w:tc>
        <w:tc>
          <w:tcPr>
            <w:tcW w:w="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1,247,451</w:t>
            </w:r>
          </w:p>
        </w:tc>
        <w:tc>
          <w:tcPr>
            <w:tcW w:w="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(17,441)</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7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Debt Securities Issued by the U.S. Treasury</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169,926</w:t>
            </w:r>
          </w:p>
        </w:tc>
        <w:tc>
          <w:tcPr>
            <w:tcW w:w="3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169,926</w:t>
            </w:r>
          </w:p>
        </w:tc>
        <w:tc>
          <w:tcPr>
            <w:tcW w:w="3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9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Government Agencies</w:t>
            </w: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69,601</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15,933</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85,534</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 Government Agencies</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835,227</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231,377</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1,066,604</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(23,861)</w:t>
            </w:r>
          </w:p>
        </w:tc>
        <w:tc>
          <w:tcPr>
            <w:tcW w:w="0" w:type="dxa"/>
            <w:vAlign w:val="bottom"/>
          </w:tcPr>
          <w:p>
            <w:pPr>
              <w:spacing w:after="0"/>
              <w:rPr>
                <w:sz w:val="1"/>
                <w:szCs w:val="1"/>
                <w:color w:val="auto"/>
              </w:rPr>
            </w:pPr>
          </w:p>
        </w:tc>
      </w:tr>
      <w:tr>
        <w:trPr>
          <w:trHeight w:val="265"/>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Residential - U.S. Government-Sponsored Enterprises</w:t>
            </w:r>
          </w:p>
        </w:tc>
        <w:tc>
          <w:tcPr>
            <w:tcW w:w="1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693,047</w:t>
            </w:r>
          </w:p>
        </w:tc>
        <w:tc>
          <w:tcPr>
            <w:tcW w:w="3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693,047</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87,586</w:t>
            </w: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(2,597)</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18,653</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106,239</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1,615,860</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(28,829)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250,030</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1,865,890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1,855,387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(30,571)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265,963</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2,121,350</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6" w:right="239" w:bottom="1440" w:gutter="0" w:footer="0" w:header="0"/>
          <w:type w:val="continuous"/>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does not believe that the investment securities that were in an unrealized loss position as of September 30, 2017, which were comprised of 306 securities, represent an other-than-temporary impairment. Total gross unrealized losses were primarily attributable to changes in interest rates, relative to when the investment securities were purchased, and not due to the credit quality of the investment securities. As of September 30, 2017 and December 31, 2016,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taxable and non-taxable investment securities for the three and nine months ended September 30, 2017 and 2016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60" w:type="dxa"/>
            <w:vAlign w:val="bottom"/>
          </w:tcPr>
          <w:p>
            <w:pPr>
              <w:spacing w:after="0"/>
              <w:rPr>
                <w:sz w:val="17"/>
                <w:szCs w:val="17"/>
                <w:color w:val="auto"/>
              </w:rPr>
            </w:pPr>
          </w:p>
        </w:tc>
      </w:tr>
      <w:tr>
        <w:trPr>
          <w:trHeight w:val="212"/>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9"/>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27,441</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24,558</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79,949</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76,112</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4,880</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5,070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14,915</w:t>
            </w:r>
          </w:p>
        </w:tc>
        <w:tc>
          <w:tcPr>
            <w:tcW w:w="8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15,410</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32,321</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29,628</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94,864</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91,522</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September 30, 2017, included in the Company’s investment securities portfolio were debt securities issued by political subdivisions within the State of Hawaii of $510.3 million, representing 57% of the total fair value of the Company’s municipal debt securities. Of the entire Hawaii municipal bond portfolio, 95% were credit-rated Aa2 or better by Moody’s while the remaining Hawaii municipal bonds were credit-rated A2 or better by at least one nationally recognized statistical rating organization. Of the Company’s total Hawaii municipal bond holdings, 78% were general obligation issuances. As of September 30, 2017, there were no other holdings of municipal debt securities that were issued by a single state or political subdivision which comprised more than 10% of the total fair value of the Company’s municipal debt securities.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2017 and December 31, 2016, the carrying value of the Company’s Federal Home Loan Bank of Des Moines stock and Federal Reserve Bank stock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20,000</w:t>
            </w:r>
          </w:p>
        </w:tc>
      </w:tr>
      <w:tr>
        <w:trPr>
          <w:trHeight w:val="237"/>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3340" w:type="dxa"/>
            <w:vAlign w:val="bottom"/>
          </w:tcPr>
          <w:p>
            <w:pPr>
              <w:spacing w:after="0"/>
              <w:rPr>
                <w:sz w:val="20"/>
                <w:szCs w:val="20"/>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20,645</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20,063</w:t>
            </w:r>
          </w:p>
        </w:tc>
      </w:tr>
      <w:tr>
        <w:trPr>
          <w:trHeight w:val="33"/>
        </w:trPr>
        <w:tc>
          <w:tcPr>
            <w:tcW w:w="53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40,645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40,063</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Class B Restricted Shares</w:t>
      </w:r>
    </w:p>
    <w:p>
      <w:pPr>
        <w:spacing w:after="0" w:line="22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September 30, 2017, the conversion ratio was 1.6483.</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first quarter of 2017, the Company recorded a $12.5 million gain on the sale of 90,000 Visa Class B shares. Concurrent with every sale of Visa Class B shares, the Company has entered into an agreement with the buyer that requires payment to the buyer in the event Visa further reduces the conversion ratio. Based on the existing transfer restriction and the uncertainty of the outcome of the Visa litigation mentioned above, the remaining 90,914 Class B shares (149,854 Class A equivalents) that the Company owns as of September 30, 2017 are carried at a zero cost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Loans and Leases and the Allowance for Loan and Lease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and lease portfolio was comprised of the following as of September 30, 2017 and December 31, 2016:</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1,252,238</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1,249,791</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Commercial Mortgage</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2,050,998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1,889,551</w:t>
            </w:r>
          </w:p>
        </w:tc>
      </w:tr>
      <w:tr>
        <w:trPr>
          <w:trHeight w:val="237"/>
        </w:trPr>
        <w:tc>
          <w:tcPr>
            <w:tcW w:w="5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Construction</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232,487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270,018</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Lease Financing</w:t>
            </w:r>
          </w:p>
        </w:tc>
        <w:tc>
          <w:tcPr>
            <w:tcW w:w="3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204,240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208,332</w:t>
            </w:r>
          </w:p>
        </w:tc>
      </w:tr>
      <w:tr>
        <w:trPr>
          <w:trHeight w:val="231"/>
        </w:trPr>
        <w:tc>
          <w:tcPr>
            <w:tcW w:w="5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3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3,739,963</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3,617,692</w:t>
            </w:r>
          </w:p>
        </w:tc>
      </w:tr>
      <w:tr>
        <w:trPr>
          <w:trHeight w:val="33"/>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Residential Mortgage</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3,366,634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3,163,073</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Home Equity</w:t>
            </w:r>
          </w:p>
        </w:tc>
        <w:tc>
          <w:tcPr>
            <w:tcW w:w="3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1,528,353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1,334,163</w:t>
            </w:r>
          </w:p>
        </w:tc>
      </w:tr>
      <w:tr>
        <w:trPr>
          <w:trHeight w:val="237"/>
        </w:trPr>
        <w:tc>
          <w:tcPr>
            <w:tcW w:w="5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Automobile</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506,102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454,333</w:t>
            </w:r>
          </w:p>
        </w:tc>
      </w:tr>
      <w:tr>
        <w:trPr>
          <w:trHeight w:val="33"/>
        </w:trPr>
        <w:tc>
          <w:tcPr>
            <w:tcW w:w="52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3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432,904</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380,524</w:t>
            </w:r>
          </w:p>
        </w:tc>
      </w:tr>
      <w:tr>
        <w:trPr>
          <w:trHeight w:val="231"/>
        </w:trPr>
        <w:tc>
          <w:tcPr>
            <w:tcW w:w="5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32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5,833,993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5,332,093</w:t>
            </w:r>
          </w:p>
        </w:tc>
      </w:tr>
      <w:tr>
        <w:trPr>
          <w:trHeight w:val="33"/>
        </w:trPr>
        <w:tc>
          <w:tcPr>
            <w:tcW w:w="5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3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9,573,956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8,949,785</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80" w:hanging="72"/>
        <w:spacing w:after="0"/>
        <w:tabs>
          <w:tab w:leader="none" w:pos="8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1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majority of the Company’s lending activity is with customers located in the State of Hawaii. A substantial portion of the Company’s real estate loans are secured by real estate in Hawaii.</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gains related to sales of residential mortgage loans, recorded as a component of mortgage banking income were $1.4 million and $3.6 million for the three months ended September 30, 2017 and 2016, respectively, and $4.6 million and $9.8 million for the nine months ended September 30, 2017 and 2016,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and Lease Losses (the “Allowance”)</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presents by portfolio segment, the activity in the Allowance for the three and nine months ended September 30, 2017 and 2016. The following also presents by portfolio segment, the balance in the Allowance disaggregated on the basis of the Company’s impairment measurement method and the related recorded investment in loans and leases as of September 30, 2017 and 2016.</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Three Months Ended 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66,182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40,171</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106,353</w:t>
            </w:r>
          </w:p>
        </w:tc>
      </w:tr>
      <w:tr>
        <w:trPr>
          <w:trHeight w:val="237"/>
        </w:trPr>
        <w:tc>
          <w:tcPr>
            <w:tcW w:w="66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(611)</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(5,607)</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598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2,148</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2,746</w:t>
            </w:r>
          </w:p>
        </w:tc>
      </w:tr>
      <w:tr>
        <w:trPr>
          <w:trHeight w:val="231"/>
        </w:trPr>
        <w:tc>
          <w:tcPr>
            <w:tcW w:w="66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(3,459)</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295</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3,705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w:t>
            </w:r>
          </w:p>
        </w:tc>
      </w:tr>
      <w:tr>
        <w:trPr>
          <w:trHeight w:val="309"/>
        </w:trPr>
        <w:tc>
          <w:tcPr>
            <w:tcW w:w="664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66,464</w:t>
            </w:r>
          </w:p>
        </w:tc>
        <w:tc>
          <w:tcPr>
            <w:tcW w:w="5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40,417</w:t>
            </w:r>
          </w:p>
        </w:tc>
        <w:tc>
          <w:tcPr>
            <w:tcW w:w="5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106,881</w:t>
            </w:r>
          </w:p>
        </w:tc>
      </w:tr>
      <w:tr>
        <w:trPr>
          <w:trHeight w:val="231"/>
        </w:trPr>
        <w:tc>
          <w:tcPr>
            <w:tcW w:w="6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65,680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38,593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104,273</w:t>
            </w:r>
          </w:p>
        </w:tc>
      </w:tr>
      <w:tr>
        <w:trPr>
          <w:trHeight w:val="237"/>
        </w:trPr>
        <w:tc>
          <w:tcPr>
            <w:tcW w:w="66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(909)</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(16,500)</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(17,409)</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1,200</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6,167</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7,367</w:t>
            </w:r>
          </w:p>
        </w:tc>
      </w:tr>
      <w:tr>
        <w:trPr>
          <w:trHeight w:val="231"/>
        </w:trPr>
        <w:tc>
          <w:tcPr>
            <w:tcW w:w="66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291</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(10,333)</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12,157</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12,650</w:t>
            </w:r>
          </w:p>
        </w:tc>
      </w:tr>
      <w:tr>
        <w:trPr>
          <w:trHeight w:val="231"/>
        </w:trPr>
        <w:tc>
          <w:tcPr>
            <w:tcW w:w="66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66,464</w:t>
            </w:r>
          </w:p>
        </w:tc>
        <w:tc>
          <w:tcPr>
            <w:tcW w:w="5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40,417</w:t>
            </w:r>
          </w:p>
        </w:tc>
        <w:tc>
          <w:tcPr>
            <w:tcW w:w="5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106,881</w:t>
            </w:r>
          </w:p>
        </w:tc>
      </w:tr>
      <w:tr>
        <w:trPr>
          <w:trHeight w:val="73"/>
        </w:trPr>
        <w:tc>
          <w:tcPr>
            <w:tcW w:w="6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2017</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136</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3,762</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3,898</w:t>
            </w:r>
          </w:p>
        </w:tc>
      </w:tr>
      <w:tr>
        <w:trPr>
          <w:trHeight w:val="237"/>
        </w:trPr>
        <w:tc>
          <w:tcPr>
            <w:tcW w:w="6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66,328</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36,655</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102,983</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66,464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40,417</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106,881</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Recorded Investment in Loans and Leases: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21,738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39,385</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61,123</w:t>
            </w:r>
          </w:p>
        </w:tc>
      </w:tr>
      <w:tr>
        <w:trPr>
          <w:trHeight w:val="237"/>
        </w:trPr>
        <w:tc>
          <w:tcPr>
            <w:tcW w:w="6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3,718,225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5,794,608</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9,512,833</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3,739,963</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5,833,993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9,573,956</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2016</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62,029</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41,903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103,932</w:t>
            </w:r>
          </w:p>
        </w:tc>
      </w:tr>
      <w:tr>
        <w:trPr>
          <w:trHeight w:val="237"/>
        </w:trPr>
        <w:tc>
          <w:tcPr>
            <w:tcW w:w="66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(209)</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(4,707)</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296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2,221</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2,517</w:t>
            </w:r>
          </w:p>
        </w:tc>
      </w:tr>
      <w:tr>
        <w:trPr>
          <w:trHeight w:val="231"/>
        </w:trPr>
        <w:tc>
          <w:tcPr>
            <w:tcW w:w="66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87</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(2,486)</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442</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2,058</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w:t>
            </w:r>
          </w:p>
        </w:tc>
      </w:tr>
      <w:tr>
        <w:trPr>
          <w:trHeight w:val="231"/>
        </w:trPr>
        <w:tc>
          <w:tcPr>
            <w:tcW w:w="66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62,558</w:t>
            </w:r>
          </w:p>
        </w:tc>
        <w:tc>
          <w:tcPr>
            <w:tcW w:w="5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41,475</w:t>
            </w:r>
          </w:p>
        </w:tc>
        <w:tc>
          <w:tcPr>
            <w:tcW w:w="5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104,033</w:t>
            </w:r>
          </w:p>
        </w:tc>
      </w:tr>
      <w:tr>
        <w:trPr>
          <w:trHeight w:val="73"/>
        </w:trPr>
        <w:tc>
          <w:tcPr>
            <w:tcW w:w="6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60,714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42,166</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102,880</w:t>
            </w:r>
          </w:p>
        </w:tc>
      </w:tr>
      <w:tr>
        <w:trPr>
          <w:trHeight w:val="237"/>
        </w:trPr>
        <w:tc>
          <w:tcPr>
            <w:tcW w:w="66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(670)</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(12,888)</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7,619</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5,592</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13,211</w:t>
            </w:r>
          </w:p>
        </w:tc>
      </w:tr>
      <w:tr>
        <w:trPr>
          <w:trHeight w:val="231"/>
        </w:trPr>
        <w:tc>
          <w:tcPr>
            <w:tcW w:w="664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6,949</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(7,296)</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(5,105)</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6,605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r>
      <w:tr>
        <w:trPr>
          <w:trHeight w:val="231"/>
        </w:trPr>
        <w:tc>
          <w:tcPr>
            <w:tcW w:w="66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62,558</w:t>
            </w:r>
          </w:p>
        </w:tc>
        <w:tc>
          <w:tcPr>
            <w:tcW w:w="5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41,475</w:t>
            </w:r>
          </w:p>
        </w:tc>
        <w:tc>
          <w:tcPr>
            <w:tcW w:w="5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104,033</w:t>
            </w:r>
          </w:p>
        </w:tc>
      </w:tr>
      <w:tr>
        <w:trPr>
          <w:trHeight w:val="73"/>
        </w:trPr>
        <w:tc>
          <w:tcPr>
            <w:tcW w:w="6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2016</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3,436</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3,447</w:t>
            </w:r>
          </w:p>
        </w:tc>
      </w:tr>
      <w:tr>
        <w:trPr>
          <w:trHeight w:val="237"/>
        </w:trPr>
        <w:tc>
          <w:tcPr>
            <w:tcW w:w="6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62,547</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38,039</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100,586</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62,558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41,475</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104,033</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Recorded Investment in Loans and Leases: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21,793</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38,450</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60,243</w:t>
            </w:r>
          </w:p>
        </w:tc>
      </w:tr>
      <w:tr>
        <w:trPr>
          <w:trHeight w:val="237"/>
        </w:trPr>
        <w:tc>
          <w:tcPr>
            <w:tcW w:w="6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3,467,761</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5,166,093</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8,633,854</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3,489,554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5,204,543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8,694,097</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6" w:right="239"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364" w:right="1440"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definitions of the Company’s credit quality indicators:</w:t>
      </w:r>
    </w:p>
    <w:p>
      <w:pPr>
        <w:sectPr>
          <w:pgSz w:w="11900" w:h="16838" w:orient="portrait"/>
          <w:cols w:equalWidth="0" w:num="1">
            <w:col w:w="11400"/>
          </w:cols>
          <w:pgMar w:left="240" w:top="126"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58" w:lineRule="exact"/>
        <w:rPr>
          <w:sz w:val="20"/>
          <w:szCs w:val="20"/>
          <w:color w:val="auto"/>
        </w:rPr>
      </w:pPr>
    </w:p>
    <w:p>
      <w:pPr>
        <w:sectPr>
          <w:pgSz w:w="11900" w:h="16838" w:orient="portrait"/>
          <w:cols w:equalWidth="0" w:num="2">
            <w:col w:w="1240" w:space="720"/>
            <w:col w:w="9440"/>
          </w:cols>
          <w:pgMar w:left="240" w:top="126" w:right="2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Special Mention:</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80" w:lineRule="exact"/>
        <w:rPr>
          <w:sz w:val="20"/>
          <w:szCs w:val="20"/>
          <w:color w:val="auto"/>
        </w:rPr>
      </w:pPr>
    </w:p>
    <w:p>
      <w:pPr>
        <w:sectPr>
          <w:pgSz w:w="11900" w:h="16838" w:orient="portrait"/>
          <w:cols w:equalWidth="0" w:num="2">
            <w:col w:w="1720" w:space="240"/>
            <w:col w:w="9440"/>
          </w:cols>
          <w:pgMar w:left="240" w:top="126" w:right="25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Classified:</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26" w:right="25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6" w:right="259" w:bottom="1440" w:gutter="0" w:footer="0" w:header="0"/>
          <w:type w:val="continuous"/>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credit quality indicators are periodically updated on a case-by-case basis. The following presents by class and by credit quality indicator, the recorded investment in the Company’s loans and leases as of September 30, 2017 and December 31, 2016.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0"/>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Commercial</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1,206,294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1,997,523</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231,033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203,806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3,638,656</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18,593</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30,744</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49,350</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27,351</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22,731</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1,441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51,957</w:t>
            </w:r>
          </w:p>
        </w:tc>
      </w:tr>
      <w:tr>
        <w:trPr>
          <w:trHeight w:val="231"/>
        </w:trPr>
        <w:tc>
          <w:tcPr>
            <w:tcW w:w="4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1,252,238</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2,050,998</w:t>
            </w: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232,487</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204,240</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3,739,963</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4"/>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Home</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3,357,447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1,521,919</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505,296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432,211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5,816,873</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1,764</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9,187</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806</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693</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15,356</w:t>
            </w:r>
          </w:p>
        </w:tc>
      </w:tr>
      <w:tr>
        <w:trPr>
          <w:trHeight w:val="231"/>
        </w:trPr>
        <w:tc>
          <w:tcPr>
            <w:tcW w:w="4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3,366,634</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1,528,353</w:t>
            </w: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506,102</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432,904</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5,833,993</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Recorded Investment in Loans and Leases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9,573,956</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0"/>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Commercial</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1,203,025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1,792,119</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264,287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207,386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3,466,817</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20,253</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66,734</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4,218</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91,210</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26,513</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30,698</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1,513</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59,665</w:t>
            </w:r>
          </w:p>
        </w:tc>
      </w:tr>
      <w:tr>
        <w:trPr>
          <w:trHeight w:val="231"/>
        </w:trPr>
        <w:tc>
          <w:tcPr>
            <w:tcW w:w="4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1,249,791</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1,889,551</w:t>
            </w: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270,018</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208,332</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3,617,692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4"/>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Home</w:t>
            </w: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4"/>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3,149,294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1,327,676</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453,439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379,793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5,310,202</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5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2,964</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13,779</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894</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18,927</w:t>
            </w:r>
          </w:p>
        </w:tc>
      </w:tr>
      <w:tr>
        <w:trPr>
          <w:trHeight w:val="231"/>
        </w:trPr>
        <w:tc>
          <w:tcPr>
            <w:tcW w:w="4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3,163,073</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1,334,163</w:t>
            </w:r>
          </w:p>
        </w:tc>
        <w:tc>
          <w:tcPr>
            <w:tcW w:w="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454,333</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380,524</w:t>
            </w:r>
          </w:p>
        </w:tc>
        <w:tc>
          <w:tcPr>
            <w:tcW w:w="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5,332,093</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Recorded Investment in Loans and Leases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8,949,785</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80" w:hanging="72"/>
        <w:spacing w:after="0"/>
        <w:tabs>
          <w:tab w:leader="none" w:pos="8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class, an aging analysis of the Company’s loan and lease portfolio as of September 30, 2017 and December 31, 2016.</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30 - 59</w:t>
            </w:r>
          </w:p>
        </w:tc>
        <w:tc>
          <w:tcPr>
            <w:tcW w:w="300" w:type="dxa"/>
            <w:vAlign w:val="bottom"/>
          </w:tcPr>
          <w:p>
            <w:pPr>
              <w:spacing w:after="0"/>
              <w:rPr>
                <w:sz w:val="13"/>
                <w:szCs w:val="13"/>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60 - 89</w:t>
            </w:r>
          </w:p>
        </w:tc>
        <w:tc>
          <w:tcPr>
            <w:tcW w:w="300" w:type="dxa"/>
            <w:vAlign w:val="bottom"/>
          </w:tcPr>
          <w:p>
            <w:pPr>
              <w:spacing w:after="0"/>
              <w:rPr>
                <w:sz w:val="13"/>
                <w:szCs w:val="13"/>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Past Due and</w:t>
            </w:r>
          </w:p>
        </w:tc>
        <w:tc>
          <w:tcPr>
            <w:tcW w:w="3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Leases that</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are Current </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69"/>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2017</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2,063</w:t>
            </w:r>
          </w:p>
        </w:tc>
        <w:tc>
          <w:tcPr>
            <w:tcW w:w="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w:t>
            </w:r>
          </w:p>
        </w:tc>
        <w:tc>
          <w:tcPr>
            <w:tcW w:w="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901</w:t>
            </w:r>
          </w:p>
        </w:tc>
        <w:tc>
          <w:tcPr>
            <w:tcW w:w="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3,175</w:t>
            </w:r>
          </w:p>
        </w:tc>
        <w:tc>
          <w:tcPr>
            <w:tcW w:w="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1,249,063</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1,252,238</w:t>
            </w:r>
          </w:p>
        </w:tc>
        <w:tc>
          <w:tcPr>
            <w:tcW w:w="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65"/>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 Mortgage</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1,321</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619</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1,425</w:t>
            </w:r>
          </w:p>
        </w:tc>
        <w:tc>
          <w:tcPr>
            <w:tcW w:w="3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3,365</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2,047,633</w:t>
            </w:r>
          </w:p>
        </w:tc>
        <w:tc>
          <w:tcPr>
            <w:tcW w:w="3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2,050,998</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Construction</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232,487</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232,487</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Lease Financing</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204,240</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204,240</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3,384</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825</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2,326</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6,540</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3,733,423</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3,739,963</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Residential Mortgage</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3,838</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1,456</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2,933</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9,188</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17,415</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3,349,219</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3,366,634</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265"/>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Home Equity</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2,588</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1,017</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1,392</w:t>
            </w:r>
          </w:p>
        </w:tc>
        <w:tc>
          <w:tcPr>
            <w:tcW w:w="3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4,128</w:t>
            </w:r>
          </w:p>
        </w:tc>
        <w:tc>
          <w:tcPr>
            <w:tcW w:w="3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9,125</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1,519,228</w:t>
            </w:r>
          </w:p>
        </w:tc>
        <w:tc>
          <w:tcPr>
            <w:tcW w:w="3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1,528,353</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Automobile</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9,743</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1,623</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806</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12,172</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493,930</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506,102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8"/>
                <w:szCs w:val="8"/>
                <w:color w:val="auto"/>
              </w:rPr>
              <w:t>1</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2,772</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1,912</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1,528</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6,212</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426,692</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432,904</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18,941</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6,008</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6,659</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13,316</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44,924</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5,789,069</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5,833,993</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22,325</w:t>
            </w:r>
          </w:p>
        </w:tc>
        <w:tc>
          <w:tcPr>
            <w:tcW w:w="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6,833</w:t>
            </w:r>
          </w:p>
        </w:tc>
        <w:tc>
          <w:tcPr>
            <w:tcW w:w="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6,664</w:t>
            </w:r>
          </w:p>
        </w:tc>
        <w:tc>
          <w:tcPr>
            <w:tcW w:w="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15,642</w:t>
            </w:r>
          </w:p>
        </w:tc>
        <w:tc>
          <w:tcPr>
            <w:tcW w:w="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51,464</w:t>
            </w:r>
          </w:p>
        </w:tc>
        <w:tc>
          <w:tcPr>
            <w:tcW w:w="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9,522,492</w:t>
            </w:r>
          </w:p>
        </w:tc>
        <w:tc>
          <w:tcPr>
            <w:tcW w:w="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9,573,956</w:t>
            </w:r>
          </w:p>
        </w:tc>
        <w:tc>
          <w:tcPr>
            <w:tcW w:w="3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3,383</w:t>
            </w:r>
          </w:p>
        </w:tc>
        <w:tc>
          <w:tcPr>
            <w:tcW w:w="0" w:type="dxa"/>
            <w:vAlign w:val="bottom"/>
          </w:tcPr>
          <w:p>
            <w:pPr>
              <w:spacing w:after="0"/>
              <w:rPr>
                <w:sz w:val="1"/>
                <w:szCs w:val="1"/>
                <w:color w:val="auto"/>
              </w:rPr>
            </w:pPr>
          </w:p>
        </w:tc>
      </w:tr>
      <w:tr>
        <w:trPr>
          <w:trHeight w:val="256"/>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10,698</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1,016</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11,865</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1,237,926</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1,249,791</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Mortgage</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997</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1,142</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1,888,409</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1,889,551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65"/>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Construction</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270,018</w:t>
            </w:r>
          </w:p>
        </w:tc>
        <w:tc>
          <w:tcPr>
            <w:tcW w:w="3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270,018</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208,332</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208,332</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10,826</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1,033</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1,148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13,007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3,604,685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3,617,692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69"/>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Residential Mortgage</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6,491</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3,127</w:t>
            </w:r>
          </w:p>
        </w:tc>
        <w:tc>
          <w:tcPr>
            <w:tcW w:w="3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13,780</w:t>
            </w:r>
          </w:p>
        </w:tc>
        <w:tc>
          <w:tcPr>
            <w:tcW w:w="3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23,504</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3,139,569</w:t>
            </w:r>
          </w:p>
        </w:tc>
        <w:tc>
          <w:tcPr>
            <w:tcW w:w="3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3,163,073</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Home Equity</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3,063</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2,244</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1,457</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3,147</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9,911</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1,324,252</w:t>
            </w: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1,334,163</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265"/>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Automobile</w:t>
            </w:r>
          </w:p>
        </w:tc>
        <w:tc>
          <w:tcPr>
            <w:tcW w:w="3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11,692</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2,162</w:t>
            </w:r>
          </w:p>
        </w:tc>
        <w:tc>
          <w:tcPr>
            <w:tcW w:w="30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894</w:t>
            </w:r>
          </w:p>
        </w:tc>
        <w:tc>
          <w:tcPr>
            <w:tcW w:w="32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14,748</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439,585</w:t>
            </w:r>
          </w:p>
        </w:tc>
        <w:tc>
          <w:tcPr>
            <w:tcW w:w="3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454,333</w:t>
            </w: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3,200</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1,532</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1,592</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6,324</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374,200</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380,524</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24,446</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6,044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7,070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16,927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54,487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5,277,606</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5,332,093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2,643</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35,272</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7,077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7,070</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18,075</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67,494</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8,882,291</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8,949,785</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3,059</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17" w:lineRule="exact"/>
        <w:rPr>
          <w:sz w:val="20"/>
          <w:szCs w:val="20"/>
          <w:color w:val="auto"/>
        </w:rPr>
      </w:pPr>
    </w:p>
    <w:p>
      <w:pPr>
        <w:ind w:left="80" w:hanging="72"/>
        <w:spacing w:after="0"/>
        <w:tabs>
          <w:tab w:leader="none" w:pos="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non-accrual loans that are not past due 30 days or more; however, full payment of principal and interest is still not expected.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Impaired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class, information related to impaired loans as of September 30, 2017 and December 31, 2016.</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Allowance for</w:t>
            </w:r>
          </w:p>
        </w:tc>
        <w:tc>
          <w:tcPr>
            <w:tcW w:w="0" w:type="dxa"/>
            <w:vAlign w:val="bottom"/>
          </w:tcPr>
          <w:p>
            <w:pPr>
              <w:spacing w:after="0"/>
              <w:rPr>
                <w:sz w:val="1"/>
                <w:szCs w:val="1"/>
                <w:color w:val="auto"/>
              </w:rPr>
            </w:pPr>
          </w:p>
        </w:tc>
      </w:tr>
      <w:tr>
        <w:trPr>
          <w:trHeight w:val="240"/>
        </w:trPr>
        <w:tc>
          <w:tcPr>
            <w:tcW w:w="5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Loan Losses</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8,967</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16,279</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9,450</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12,950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1,441</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1,440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19,858</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30,669</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19,858</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30,669</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656</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656</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1,224</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1,224</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1,880</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1,880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21,401</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26,140</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1,810</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1,810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13,612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13,612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2,562</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2,562</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39,385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44,124</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41,265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46,004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3,898</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21,738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32,549</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39,385</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44,124</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61,123</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76,673</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3,898</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9,556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16,518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9,373</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12,873</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1,513</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1,513</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20,442</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30,904</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20,442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30,904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1,130</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1,130</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25,625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30,615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1,516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1,516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9,660</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9,660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2,325</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2,325</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39,126</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44,116</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3,510</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40,256</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45,246</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3,555</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21,572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32,034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39,126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44,116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60,698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76,150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3,555</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6" w:right="239" w:bottom="0" w:gutter="0" w:footer="0" w:header="0"/>
        </w:sectPr>
      </w:pPr>
    </w:p>
    <w:bookmarkStart w:id="25" w:name="page26"/>
    <w:bookmarkEnd w:id="25"/>
    <w:p>
      <w:pPr>
        <w:ind w:left="80" w:hanging="72"/>
        <w:spacing w:after="0"/>
        <w:tabs>
          <w:tab w:leader="none" w:pos="8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Comprised of other revolving credit and installment financing.</w:t>
      </w:r>
    </w:p>
    <w:p>
      <w:pPr>
        <w:spacing w:after="0" w:line="32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219"/>
          </w:cols>
          <w:pgMar w:left="240" w:top="98" w:right="1440"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presents by class, information related to the average recorded investment and interest income recognized on impaired loans for the three and nine months ended September 30, 2017 and 2016.</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92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2"/>
                <w:szCs w:val="12"/>
                <w:color w:val="auto"/>
              </w:rPr>
            </w:pPr>
          </w:p>
        </w:tc>
        <w:tc>
          <w:tcPr>
            <w:tcW w:w="14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Average Recorded</w:t>
            </w:r>
          </w:p>
        </w:tc>
        <w:tc>
          <w:tcPr>
            <w:tcW w:w="420" w:type="dxa"/>
            <w:vAlign w:val="bottom"/>
          </w:tcPr>
          <w:p>
            <w:pPr>
              <w:spacing w:after="0"/>
              <w:rPr>
                <w:sz w:val="12"/>
                <w:szCs w:val="12"/>
                <w:color w:val="auto"/>
              </w:rPr>
            </w:pPr>
          </w:p>
        </w:tc>
        <w:tc>
          <w:tcPr>
            <w:tcW w:w="1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22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Average Recorded</w:t>
            </w:r>
          </w:p>
        </w:tc>
        <w:tc>
          <w:tcPr>
            <w:tcW w:w="340" w:type="dxa"/>
            <w:vAlign w:val="bottom"/>
          </w:tcPr>
          <w:p>
            <w:pPr>
              <w:spacing w:after="0"/>
              <w:rPr>
                <w:sz w:val="12"/>
                <w:szCs w:val="12"/>
                <w:color w:val="auto"/>
              </w:rPr>
            </w:pPr>
          </w:p>
        </w:tc>
        <w:tc>
          <w:tcPr>
            <w:tcW w:w="11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Impaired Loans with No Related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8,592</w:t>
            </w:r>
          </w:p>
        </w:tc>
        <w:tc>
          <w:tcPr>
            <w:tcW w:w="4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9,762</w:t>
            </w:r>
          </w:p>
        </w:tc>
        <w:tc>
          <w:tcPr>
            <w:tcW w:w="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65"/>
        </w:trPr>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Commercial Mortgage</w:t>
            </w:r>
          </w:p>
        </w:tc>
        <w:tc>
          <w:tcPr>
            <w:tcW w:w="220" w:type="dxa"/>
            <w:vAlign w:val="bottom"/>
          </w:tcPr>
          <w:p>
            <w:pPr>
              <w:spacing w:after="0"/>
              <w:rPr>
                <w:sz w:val="23"/>
                <w:szCs w:val="23"/>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9,512</w:t>
            </w:r>
          </w:p>
        </w:tc>
        <w:tc>
          <w:tcPr>
            <w:tcW w:w="4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9,848</w:t>
            </w:r>
          </w:p>
        </w:tc>
        <w:tc>
          <w:tcPr>
            <w:tcW w:w="34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1,453</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1,548</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19,557</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21,158</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Impaired Loans with No Related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19,557</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21,158</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Impaired Loans with an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640</w:t>
            </w:r>
          </w:p>
        </w:tc>
        <w:tc>
          <w:tcPr>
            <w:tcW w:w="4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681</w:t>
            </w:r>
          </w:p>
        </w:tc>
        <w:tc>
          <w:tcPr>
            <w:tcW w:w="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Commercial Mortgage</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771</w:t>
            </w:r>
          </w:p>
        </w:tc>
        <w:tc>
          <w:tcPr>
            <w:tcW w:w="4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194</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1,411</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875</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64"/>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Consumer</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21,674</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27,172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65"/>
        </w:trPr>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tcPr>
          <w:p>
            <w:pPr>
              <w:spacing w:after="0"/>
              <w:rPr>
                <w:sz w:val="23"/>
                <w:szCs w:val="23"/>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1,773</w:t>
            </w:r>
          </w:p>
        </w:tc>
        <w:tc>
          <w:tcPr>
            <w:tcW w:w="4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1,428</w:t>
            </w:r>
          </w:p>
        </w:tc>
        <w:tc>
          <w:tcPr>
            <w:tcW w:w="34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Automobile</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12,895</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7,908</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8"/>
                <w:szCs w:val="8"/>
                <w:color w:val="auto"/>
              </w:rPr>
              <w:t>1</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2,615</w:t>
            </w:r>
          </w:p>
        </w:tc>
        <w:tc>
          <w:tcPr>
            <w:tcW w:w="4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2,064</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Consumer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38,957</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38,572</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Impaired Loans with an Allowance Recorded</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40,368</w:t>
            </w:r>
          </w:p>
        </w:tc>
        <w:tc>
          <w:tcPr>
            <w:tcW w:w="4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39,447</w:t>
            </w:r>
          </w:p>
        </w:tc>
        <w:tc>
          <w:tcPr>
            <w:tcW w:w="3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Impaired Loans:</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20,968</w:t>
            </w:r>
          </w:p>
        </w:tc>
        <w:tc>
          <w:tcPr>
            <w:tcW w:w="4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22,033</w:t>
            </w:r>
          </w:p>
        </w:tc>
        <w:tc>
          <w:tcPr>
            <w:tcW w:w="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Consumer</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38,957</w:t>
            </w:r>
          </w:p>
        </w:tc>
        <w:tc>
          <w:tcPr>
            <w:tcW w:w="4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38,572</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Impaired Loans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59,925</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730</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60,605</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292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2"/>
                <w:szCs w:val="12"/>
                <w:color w:val="auto"/>
              </w:rPr>
            </w:pPr>
          </w:p>
        </w:tc>
        <w:tc>
          <w:tcPr>
            <w:tcW w:w="14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Average Recorded</w:t>
            </w:r>
          </w:p>
        </w:tc>
        <w:tc>
          <w:tcPr>
            <w:tcW w:w="420" w:type="dxa"/>
            <w:vAlign w:val="bottom"/>
          </w:tcPr>
          <w:p>
            <w:pPr>
              <w:spacing w:after="0"/>
              <w:rPr>
                <w:sz w:val="12"/>
                <w:szCs w:val="12"/>
                <w:color w:val="auto"/>
              </w:rPr>
            </w:pPr>
          </w:p>
        </w:tc>
        <w:tc>
          <w:tcPr>
            <w:tcW w:w="14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22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Average Recorded</w:t>
            </w:r>
          </w:p>
        </w:tc>
        <w:tc>
          <w:tcPr>
            <w:tcW w:w="340" w:type="dxa"/>
            <w:vAlign w:val="bottom"/>
          </w:tcPr>
          <w:p>
            <w:pPr>
              <w:spacing w:after="0"/>
              <w:rPr>
                <w:sz w:val="12"/>
                <w:szCs w:val="12"/>
                <w:color w:val="auto"/>
              </w:rPr>
            </w:pPr>
          </w:p>
        </w:tc>
        <w:tc>
          <w:tcPr>
            <w:tcW w:w="11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Impaired Loans with No Related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8,989</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24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11,061</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Commercial Mortgage</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9,390</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10,040</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1,477</w:t>
            </w:r>
          </w:p>
        </w:tc>
        <w:tc>
          <w:tcPr>
            <w:tcW w:w="4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1,570</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19,856</w:t>
            </w:r>
          </w:p>
        </w:tc>
        <w:tc>
          <w:tcPr>
            <w:tcW w:w="4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22,671</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Impaired Loans with No Related Allowance Recorded</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19,856</w:t>
            </w:r>
          </w:p>
        </w:tc>
        <w:tc>
          <w:tcPr>
            <w:tcW w:w="4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542</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22,671</w:t>
            </w:r>
          </w:p>
        </w:tc>
        <w:tc>
          <w:tcPr>
            <w:tcW w:w="3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Impaired Loans with an Allowance Recorded:</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684</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983</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Commercial Mortgage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562</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1,246</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1,080</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Consumer</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tcPr>
          <w:p>
            <w:pPr>
              <w:spacing w:after="0"/>
              <w:rPr>
                <w:sz w:val="23"/>
                <w:szCs w:val="23"/>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23,331</w:t>
            </w:r>
          </w:p>
        </w:tc>
        <w:tc>
          <w:tcPr>
            <w:tcW w:w="4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27,889</w:t>
            </w:r>
          </w:p>
        </w:tc>
        <w:tc>
          <w:tcPr>
            <w:tcW w:w="34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1,365</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65"/>
        </w:trPr>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Automobile</w:t>
            </w:r>
          </w:p>
        </w:tc>
        <w:tc>
          <w:tcPr>
            <w:tcW w:w="220" w:type="dxa"/>
            <w:vAlign w:val="bottom"/>
          </w:tcPr>
          <w:p>
            <w:pPr>
              <w:spacing w:after="0"/>
              <w:rPr>
                <w:sz w:val="23"/>
                <w:szCs w:val="23"/>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11,592</w:t>
            </w:r>
          </w:p>
        </w:tc>
        <w:tc>
          <w:tcPr>
            <w:tcW w:w="4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581</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7,553</w:t>
            </w:r>
          </w:p>
        </w:tc>
        <w:tc>
          <w:tcPr>
            <w:tcW w:w="34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8"/>
                <w:szCs w:val="8"/>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2,553</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1,922</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39,118</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38,729</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1,288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Impaired Loans with an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40,364</w:t>
            </w:r>
          </w:p>
        </w:tc>
        <w:tc>
          <w:tcPr>
            <w:tcW w:w="4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1,505</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39,809</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Impaired Loans:</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21,102</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24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23,751</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Consumer</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39,118</w:t>
            </w:r>
          </w:p>
        </w:tc>
        <w:tc>
          <w:tcPr>
            <w:tcW w:w="4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1,435</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38,729</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0" w:gutter="0" w:footer="0" w:header="0"/>
        </w:sectPr>
      </w:pPr>
    </w:p>
    <w:bookmarkStart w:id="27" w:name="page28"/>
    <w:bookmarkEnd w:id="27"/>
    <w:p>
      <w:pPr>
        <w:ind w:left="272"/>
        <w:spacing w:after="0"/>
        <w:tabs>
          <w:tab w:leader="none" w:pos="4692" w:val="left"/>
          <w:tab w:leader="none" w:pos="5772" w:val="left"/>
          <w:tab w:leader="none" w:pos="6552" w:val="left"/>
          <w:tab w:leader="none" w:pos="7572" w:val="left"/>
          <w:tab w:leader="none" w:pos="8272" w:val="left"/>
          <w:tab w:leader="none" w:pos="9312" w:val="left"/>
          <w:tab w:leader="none" w:pos="10072" w:val="left"/>
          <w:tab w:leader="none" w:pos="10952" w:val="left"/>
        </w:tabs>
        <w:rPr>
          <w:sz w:val="20"/>
          <w:szCs w:val="20"/>
          <w:color w:val="auto"/>
        </w:rPr>
      </w:pPr>
      <w:r>
        <w:rPr>
          <w:rFonts w:ascii="Times New Roman" w:cs="Times New Roman" w:eastAsia="Times New Roman" w:hAnsi="Times New Roman"/>
          <w:sz w:val="14"/>
          <w:szCs w:val="14"/>
          <w:color w:val="auto"/>
        </w:rPr>
        <w:t>Total Impaired Loans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60,220</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2,047</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62,480</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left="72" w:hanging="72"/>
        <w:spacing w:after="0"/>
        <w:tabs>
          <w:tab w:leader="none" w:pos="72"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other revolving credit and installment financing.</w:t>
      </w:r>
    </w:p>
    <w:p>
      <w:pPr>
        <w:spacing w:after="0" w:line="249"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12"/>
          </w:cols>
          <w:pgMar w:left="248" w:top="118" w:right="3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2017 and 2016, the amounts of interest income recognized by the Company within the periods that the loans were impaired were primarily related to loans modified in a troubled debt restructuring that remained on accrual status. For the three and nine months ended September 30, 2017 and 2016, the amount of interest income recognized using a cash-basis method of accounting during the periods that the loans were impaired was not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$59.2 million and $60.0 million as of September 30, 2017 and December 31, 2016, respectively. As of September 30, 2017, there were no commitments to lend additional funds on loans modified in a TDR. As of December 31, 2016, there were $0.4 million of commitments to lend additional funds on loans modified in a TDR.</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are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9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consumer and commercial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6" w:right="279"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class, information related to loans modified in a TDR during the three and nine months ended September 30, 2017 and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Loans Modified as a TDR for the</w:t>
            </w:r>
          </w:p>
        </w:tc>
      </w:tr>
      <w:tr>
        <w:trPr>
          <w:trHeight w:val="212"/>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2017</w:t>
            </w:r>
          </w:p>
        </w:tc>
        <w:tc>
          <w:tcPr>
            <w:tcW w:w="4140" w:type="dxa"/>
            <w:vAlign w:val="bottom"/>
            <w:gridSpan w:val="5"/>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Three Months Ended September 30, 2016</w:t>
            </w:r>
          </w:p>
        </w:tc>
      </w:tr>
      <w:tr>
        <w:trPr>
          <w:trHeight w:val="3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4"/>
        </w:trPr>
        <w:tc>
          <w:tcPr>
            <w:tcW w:w="2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Increase in</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Increase in</w:t>
            </w:r>
          </w:p>
        </w:tc>
      </w:tr>
      <w:tr>
        <w:trPr>
          <w:trHeight w:val="27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Allowance</w:t>
            </w:r>
          </w:p>
        </w:tc>
      </w:tr>
      <w:tr>
        <w:trPr>
          <w:trHeight w:val="287"/>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period end)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(as of period end)</w:t>
            </w: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198</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1,307</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208</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r>
      <w:tr>
        <w:trPr>
          <w:trHeight w:val="231"/>
        </w:trPr>
        <w:tc>
          <w:tcPr>
            <w:tcW w:w="28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Total Commercial</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1,505</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305</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Consumer</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Residential Mortgage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547</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258</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Home Equity</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Automobile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2,636</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1,678</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383</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510</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r>
      <w:tr>
        <w:trPr>
          <w:trHeight w:val="231"/>
        </w:trPr>
        <w:tc>
          <w:tcPr>
            <w:tcW w:w="2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Consumer</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3,222</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2,735</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310</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4,727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3,040</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313</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gridSpan w:val="5"/>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Loans Modified as a TDR for the</w:t>
            </w:r>
          </w:p>
        </w:tc>
        <w:tc>
          <w:tcPr>
            <w:tcW w:w="920" w:type="dxa"/>
            <w:vAlign w:val="bottom"/>
          </w:tcPr>
          <w:p>
            <w:pPr>
              <w:spacing w:after="0"/>
              <w:rPr>
                <w:sz w:val="17"/>
                <w:szCs w:val="17"/>
                <w:color w:val="auto"/>
              </w:rPr>
            </w:pPr>
          </w:p>
        </w:tc>
        <w:tc>
          <w:tcPr>
            <w:tcW w:w="3220" w:type="dxa"/>
            <w:vAlign w:val="bottom"/>
            <w:gridSpan w:val="4"/>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Loans Modified as a TDR for the</w:t>
            </w:r>
          </w:p>
        </w:tc>
      </w:tr>
      <w:tr>
        <w:trPr>
          <w:trHeight w:val="212"/>
        </w:trPr>
        <w:tc>
          <w:tcPr>
            <w:tcW w:w="2880" w:type="dxa"/>
            <w:vAlign w:val="bottom"/>
          </w:tcPr>
          <w:p>
            <w:pPr>
              <w:spacing w:after="0"/>
              <w:rPr>
                <w:sz w:val="18"/>
                <w:szCs w:val="18"/>
                <w:color w:val="auto"/>
              </w:rPr>
            </w:pPr>
          </w:p>
        </w:tc>
        <w:tc>
          <w:tcPr>
            <w:tcW w:w="44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4140" w:type="dxa"/>
            <w:vAlign w:val="bottom"/>
            <w:gridSpan w:val="5"/>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r>
      <w:tr>
        <w:trPr>
          <w:trHeight w:val="33"/>
        </w:trPr>
        <w:tc>
          <w:tcPr>
            <w:tcW w:w="2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4"/>
        </w:trPr>
        <w:tc>
          <w:tcPr>
            <w:tcW w:w="2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Increase in</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Increase in</w:t>
            </w:r>
          </w:p>
        </w:tc>
      </w:tr>
      <w:tr>
        <w:trPr>
          <w:trHeight w:val="27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Troubled Debt Restructurings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Allowance</w:t>
            </w:r>
          </w:p>
        </w:tc>
      </w:tr>
      <w:tr>
        <w:trPr>
          <w:trHeight w:val="275"/>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(dollars in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period end)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(as of period end)</w:t>
            </w:r>
          </w:p>
        </w:tc>
      </w:tr>
      <w:tr>
        <w:trPr>
          <w:trHeight w:val="236"/>
        </w:trPr>
        <w:tc>
          <w:tcPr>
            <w:tcW w:w="2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Commercial</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7,485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3,084</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Mortgage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2,007</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208</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Commercial</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9,492</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3,292</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r>
      <w:tr>
        <w:trPr>
          <w:trHeight w:val="231"/>
        </w:trPr>
        <w:tc>
          <w:tcPr>
            <w:tcW w:w="28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Consumer</w:t>
            </w:r>
          </w:p>
        </w:tc>
        <w:tc>
          <w:tcPr>
            <w:tcW w:w="9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Residential Mortgage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3,025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274</w:t>
            </w:r>
          </w:p>
        </w:tc>
      </w:tr>
      <w:tr>
        <w:trPr>
          <w:trHeight w:val="237"/>
        </w:trPr>
        <w:tc>
          <w:tcPr>
            <w:tcW w:w="2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Home Equity</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442</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476</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2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Automobile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6,657</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3,617</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w:t>
            </w:r>
          </w:p>
        </w:tc>
      </w:tr>
      <w:tr>
        <w:trPr>
          <w:trHeight w:val="270"/>
        </w:trPr>
        <w:tc>
          <w:tcPr>
            <w:tcW w:w="2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1,131</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1,127</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Consumer</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8,230</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8,245</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392</w:t>
            </w:r>
          </w:p>
        </w:tc>
      </w:tr>
      <w:tr>
        <w:trPr>
          <w:trHeight w:val="231"/>
        </w:trPr>
        <w:tc>
          <w:tcPr>
            <w:tcW w:w="28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17,722</w:t>
            </w:r>
          </w:p>
        </w:tc>
        <w:tc>
          <w:tcPr>
            <w:tcW w:w="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11,537</w:t>
            </w:r>
          </w:p>
        </w:tc>
        <w:tc>
          <w:tcPr>
            <w:tcW w:w="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395</w:t>
            </w:r>
          </w:p>
        </w:tc>
      </w:tr>
      <w:tr>
        <w:trPr>
          <w:trHeight w:val="33"/>
        </w:trPr>
        <w:tc>
          <w:tcPr>
            <w:tcW w:w="2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80" w:hanging="72"/>
        <w:spacing w:after="0"/>
        <w:tabs>
          <w:tab w:leader="none" w:pos="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period end balances reflect all paydowns and charge-offs since the modification date. TDRs fully paid-off, charged-off, or foreclosed upon by period end are not included.</w:t>
      </w:r>
    </w:p>
    <w:p>
      <w:pPr>
        <w:spacing w:after="0" w:line="17"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Comprised of other revolving credit and installment financing.</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presents by class, all loans modified in a TDR that defaulted during the three and nine months ended September 30, 2017 and 2016, and within twelve months of their modification date. A TDR is considered to be in default once it becomes 60 days or more past due following a modification.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32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2016</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60" w:type="dxa"/>
            <w:vAlign w:val="bottom"/>
            <w:vMerge w:val="continue"/>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87"/>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1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Automobile</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Consumer</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456</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322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2016</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60" w:type="dxa"/>
            <w:vAlign w:val="bottom"/>
            <w:vMerge w:val="continue"/>
          </w:tcPr>
          <w:p>
            <w:pPr>
              <w:spacing w:after="0"/>
              <w:rPr>
                <w:sz w:val="22"/>
                <w:szCs w:val="22"/>
                <w:color w:val="auto"/>
              </w:rPr>
            </w:pP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Within Twelve Months of their Modification Date</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(as of period end)</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36"/>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Total Commercial</w:t>
            </w:r>
          </w:p>
        </w:tc>
        <w:tc>
          <w:tcPr>
            <w:tcW w:w="1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Residential Mortgage</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1,044</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Home Equity</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Automobile</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551</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3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Consumer</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735</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784</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80" w:hanging="72"/>
        <w:spacing w:after="0"/>
        <w:tabs>
          <w:tab w:leader="none" w:pos="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period end balances reflect all paydowns and charge-offs since the modification date. TDRs fully paid-off, charged-off, or foreclosed upon by period end are not included.</w:t>
      </w:r>
    </w:p>
    <w:p>
      <w:pPr>
        <w:spacing w:after="0" w:line="17"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Comprised of other revolving credit and installment financing.</w:t>
      </w:r>
    </w:p>
    <w:p>
      <w:pPr>
        <w:spacing w:after="0" w:line="1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Foreclosure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mortgage loans collateralized by residential real estate property that are in the process of foreclosure totaled $5.5 million as of September 30,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Mortgage Servicing Rights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The Company’s portfolio of residential mortgage loans serviced for third parties was $2.9 billion as of September 30, 2017 and $2.7 billion as of December 31, 2016. Substantially all of these loans were originated by the Company and sold to third parties on a non-recourse basis with servicing rights retained. These retained servicing rights are recorded as a servicing asset and are initially recorded at fair value (see Note 13 </w:t>
      </w:r>
      <w:r>
        <w:rPr>
          <w:rFonts w:ascii="Times New Roman" w:cs="Times New Roman" w:eastAsia="Times New Roman" w:hAnsi="Times New Roman"/>
          <w:sz w:val="18"/>
          <w:szCs w:val="18"/>
          <w:i w:val="1"/>
          <w:iCs w:val="1"/>
          <w:color w:val="auto"/>
        </w:rPr>
        <w:t>Fair Value of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more information). Changes to the balance of mortgage servicing rights are recorded in mortgage banking income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income.</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and $1.7 million for the three months ended September 30, 2017 and 2016, respectively, and $5.3 million and $5.2 million for the nine months ended September 30, 2017 and 2016, respectively. Servicing income is recorded in mortgage banking income in the Company’s consolidated statements of income. The Company’s residential mortgage investor loan servicing portfolio is primarily comprised of fixed rate loans concentrated in Hawaii.</w:t>
      </w:r>
    </w:p>
    <w:p>
      <w:pPr>
        <w:sectPr>
          <w:pgSz w:w="11900" w:h="16838" w:orient="portrait"/>
          <w:cols w:equalWidth="0" w:num="1">
            <w:col w:w="11420"/>
          </w:cols>
          <w:pgMar w:left="240" w:top="126"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6" w:right="239" w:bottom="1440" w:gutter="0" w:footer="0" w:header="0"/>
          <w:type w:val="continuous"/>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2017 and 2016, the change in the carrying value of the Company’s mortgage servicing rights accounted for under the fair value measurement method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20" w:type="dxa"/>
            <w:vAlign w:val="bottom"/>
          </w:tcPr>
          <w:p>
            <w:pPr>
              <w:spacing w:after="0"/>
              <w:rPr>
                <w:sz w:val="17"/>
                <w:szCs w:val="17"/>
                <w:color w:val="auto"/>
              </w:rPr>
            </w:pPr>
          </w:p>
        </w:tc>
      </w:tr>
      <w:tr>
        <w:trPr>
          <w:trHeight w:val="212"/>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2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9"/>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1,548</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1,819</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1,655</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1,970</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5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Due to Payoffs</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9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(146)</w:t>
            </w:r>
          </w:p>
        </w:tc>
        <w:tc>
          <w:tcPr>
            <w:tcW w:w="8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Changes in Fair Value of Mortgage Servicing Rights</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(146)</w:t>
            </w:r>
          </w:p>
        </w:tc>
        <w:tc>
          <w:tcPr>
            <w:tcW w:w="8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31"/>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1,509</w:t>
            </w:r>
          </w:p>
        </w:tc>
        <w:tc>
          <w:tcPr>
            <w:tcW w:w="9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1,740</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1,509</w:t>
            </w:r>
          </w:p>
        </w:tc>
        <w:tc>
          <w:tcPr>
            <w:tcW w:w="86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1,740</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2017 and 2016, the change in the carrying value of the Company’s mortgage servicing rights accounted for under the amortization method, net of valuation allowance,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60" w:type="dxa"/>
            <w:vAlign w:val="bottom"/>
          </w:tcPr>
          <w:p>
            <w:pPr>
              <w:spacing w:after="0"/>
              <w:rPr>
                <w:sz w:val="17"/>
                <w:szCs w:val="17"/>
                <w:color w:val="auto"/>
              </w:rPr>
            </w:pPr>
          </w:p>
        </w:tc>
      </w:tr>
      <w:tr>
        <w:trPr>
          <w:trHeight w:val="212"/>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9"/>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22,923</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17,812</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22,008</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21,032</w:t>
            </w:r>
          </w:p>
        </w:tc>
      </w:tr>
      <w:tr>
        <w:trPr>
          <w:trHeight w:val="237"/>
        </w:trPr>
        <w:tc>
          <w:tcPr>
            <w:tcW w:w="5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900</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1,670</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3,176</w:t>
            </w:r>
          </w:p>
        </w:tc>
        <w:tc>
          <w:tcPr>
            <w:tcW w:w="8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2,441</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(739)</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(2,047)</w:t>
            </w: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r>
      <w:tr>
        <w:trPr>
          <w:trHeight w:val="237"/>
        </w:trPr>
        <w:tc>
          <w:tcPr>
            <w:tcW w:w="5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Valuation Allowance Provision</w:t>
            </w:r>
          </w:p>
        </w:tc>
        <w:tc>
          <w:tcPr>
            <w:tcW w:w="4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(157)</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549</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(210)</w:t>
            </w:r>
          </w:p>
        </w:tc>
        <w:tc>
          <w:tcPr>
            <w:tcW w:w="8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22,927</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19,251</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22,927</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19,251</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88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2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Valuation Allowance Provision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(157)</w:t>
            </w:r>
          </w:p>
        </w:tc>
        <w:tc>
          <w:tcPr>
            <w:tcW w:w="8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(210)</w:t>
            </w: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r>
      <w:tr>
        <w:trPr>
          <w:trHeight w:val="231"/>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(210)</w:t>
            </w:r>
          </w:p>
        </w:tc>
        <w:tc>
          <w:tcPr>
            <w:tcW w:w="88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2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(210)</w:t>
            </w:r>
          </w:p>
        </w:tc>
        <w:tc>
          <w:tcPr>
            <w:tcW w:w="8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w:t>
            </w:r>
          </w:p>
        </w:tc>
      </w:tr>
      <w:tr>
        <w:trPr>
          <w:trHeight w:val="73"/>
        </w:trPr>
        <w:tc>
          <w:tcPr>
            <w:tcW w:w="5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97"/>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2"/>
        </w:trPr>
        <w:tc>
          <w:tcPr>
            <w:tcW w:w="52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25,479</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17,812</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25,148</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24,804</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 of Period</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23,761</w:t>
            </w:r>
          </w:p>
        </w:tc>
        <w:tc>
          <w:tcPr>
            <w:tcW w:w="88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19,177</w:t>
            </w:r>
          </w:p>
        </w:tc>
        <w:tc>
          <w:tcPr>
            <w:tcW w:w="2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23,761</w:t>
            </w:r>
          </w:p>
        </w:tc>
        <w:tc>
          <w:tcPr>
            <w:tcW w:w="8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19,177</w:t>
            </w:r>
          </w:p>
        </w:tc>
      </w:tr>
    </w:tbl>
    <w:p>
      <w:pPr>
        <w:spacing w:after="0" w:line="23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key data and assumptions used in estimating the fair value of the Company’s mortgage servicing rights as of September 30, 2017 and December 31, 2016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4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840" w:type="dxa"/>
            <w:vAlign w:val="bottom"/>
          </w:tcPr>
          <w:p>
            <w:pPr>
              <w:spacing w:after="0"/>
              <w:rPr>
                <w:sz w:val="18"/>
                <w:szCs w:val="18"/>
                <w:color w:val="auto"/>
              </w:rPr>
            </w:pPr>
          </w:p>
        </w:tc>
        <w:tc>
          <w:tcPr>
            <w:tcW w:w="42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8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Weighted-Average Constant Prepayment Rate </w:t>
            </w:r>
            <w:r>
              <w:rPr>
                <w:rFonts w:ascii="Times New Roman" w:cs="Times New Roman" w:eastAsia="Times New Roman" w:hAnsi="Times New Roman"/>
                <w:sz w:val="21"/>
                <w:szCs w:val="21"/>
                <w:color w:val="auto"/>
                <w:vertAlign w:val="superscript"/>
              </w:rPr>
              <w:t>1</w:t>
            </w:r>
          </w:p>
        </w:tc>
        <w:tc>
          <w:tcPr>
            <w:tcW w:w="42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37"/>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Life (in years)</w:t>
            </w:r>
          </w:p>
        </w:tc>
        <w:tc>
          <w:tcPr>
            <w:tcW w:w="42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6.88</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7.43</w:t>
            </w:r>
          </w:p>
        </w:tc>
      </w:tr>
      <w:tr>
        <w:trPr>
          <w:trHeight w:val="33"/>
        </w:trPr>
        <w:tc>
          <w:tcPr>
            <w:tcW w:w="5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Note Rate</w:t>
            </w:r>
          </w:p>
        </w:tc>
        <w:tc>
          <w:tcPr>
            <w:tcW w:w="42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311"/>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2</w:t>
            </w:r>
          </w:p>
        </w:tc>
        <w:tc>
          <w:tcPr>
            <w:tcW w:w="4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8.89%</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r>
    </w:tbl>
    <w:p>
      <w:pPr>
        <w:spacing w:after="0" w:line="152" w:lineRule="exact"/>
        <w:rPr>
          <w:sz w:val="20"/>
          <w:szCs w:val="20"/>
          <w:color w:val="auto"/>
        </w:rPr>
      </w:pPr>
    </w:p>
    <w:p>
      <w:pPr>
        <w:ind w:left="80" w:hanging="72"/>
        <w:spacing w:after="0"/>
        <w:tabs>
          <w:tab w:leader="none" w:pos="8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annualized loan repayment rate assumption.</w:t>
      </w:r>
    </w:p>
    <w:p>
      <w:pPr>
        <w:spacing w:after="0" w:line="17" w:lineRule="exact"/>
        <w:rPr>
          <w:sz w:val="20"/>
          <w:szCs w:val="20"/>
          <w:color w:val="auto"/>
        </w:rPr>
      </w:pPr>
    </w:p>
    <w:p>
      <w:pPr>
        <w:ind w:left="80" w:hanging="72"/>
        <w:spacing w:after="0"/>
        <w:tabs>
          <w:tab w:leader="none" w:pos="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20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sensitivity analysis of the Company’s fair value of mortgage servicing rights to changes in certain key assumptions as of September 30, 2017 and December 31, 2016 is presented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6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6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Constant Prepayment Rate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basis points (“bps”) adverse change</w:t>
            </w: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(284)</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33"/>
        </w:trPr>
        <w:tc>
          <w:tcPr>
            <w:tcW w:w="6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(563)</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37"/>
        </w:trPr>
        <w:tc>
          <w:tcPr>
            <w:tcW w:w="6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Discount Rate</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bps adverse change</w:t>
            </w:r>
          </w:p>
        </w:tc>
        <w:tc>
          <w:tcPr>
            <w:tcW w:w="2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37"/>
        </w:trPr>
        <w:tc>
          <w:tcPr>
            <w:tcW w:w="6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21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(504)</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bl>
    <w:p>
      <w:pPr>
        <w:spacing w:after="0" w:line="200" w:lineRule="exact"/>
        <w:rPr>
          <w:sz w:val="20"/>
          <w:szCs w:val="20"/>
          <w:color w:val="auto"/>
        </w:rPr>
      </w:pPr>
    </w:p>
    <w:p>
      <w:pPr>
        <w:sectPr>
          <w:pgSz w:w="11900" w:h="16838" w:orient="portrait"/>
          <w:cols w:equalWidth="0" w:num="1">
            <w:col w:w="11420"/>
          </w:cols>
          <w:pgMar w:left="240" w:top="126" w:right="239" w:bottom="671"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671" w:gutter="0" w:footer="0" w:header="0"/>
          <w:type w:val="continuous"/>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Affordable Housing Projects Tax Credit Partnerships</w:t>
      </w:r>
    </w:p>
    <w:p>
      <w:pPr>
        <w:spacing w:after="0" w:line="24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a limited partner in each LIHTC limited partnership. Each limited partnership is managed by an unrelated third party general partner who exercises significant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86"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$73.5 million and $66.6 million as of September 30, 2017 and December 31, 2016, respectively, and are included in other assets in the consolidated statements of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2017, the expected payments for unfunded affordable housing commitments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35"/>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8,760</w:t>
            </w:r>
          </w:p>
        </w:tc>
      </w:tr>
      <w:tr>
        <w:trPr>
          <w:trHeight w:val="224"/>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14,164</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2,382</w:t>
            </w:r>
          </w:p>
        </w:tc>
      </w:tr>
      <w:tr>
        <w:trPr>
          <w:trHeight w:val="224"/>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24"/>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1,065</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26,459</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tax credits and other tax benefits recognized and amortization expense related to affordable housing for the three and nine months ended September 30, 2017 and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4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9"/>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Yield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3,414</w:t>
            </w:r>
          </w:p>
        </w:tc>
        <w:tc>
          <w:tcPr>
            <w:tcW w:w="8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3,352</w:t>
            </w:r>
          </w:p>
        </w:tc>
        <w:tc>
          <w:tcPr>
            <w:tcW w:w="2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10,282</w:t>
            </w: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10,384</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2,105</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6,403</w:t>
            </w: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5,667</w:t>
            </w:r>
          </w:p>
        </w:tc>
      </w:tr>
      <w:tr>
        <w:trPr>
          <w:trHeight w:val="270"/>
        </w:trPr>
        <w:tc>
          <w:tcPr>
            <w:tcW w:w="6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Proportional Amortization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440</w:t>
            </w:r>
          </w:p>
        </w:tc>
        <w:tc>
          <w:tcPr>
            <w:tcW w:w="8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c>
          <w:tcPr>
            <w:tcW w:w="2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1,201</w:t>
            </w: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777</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358</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969</w:t>
            </w: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r>
      <w:tr>
        <w:trPr>
          <w:trHeight w:val="33"/>
        </w:trPr>
        <w:tc>
          <w:tcPr>
            <w:tcW w:w="6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related to LIHTC investments during the nine months ended September 30, 2017 and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Balance Sheet Offsetting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 (“Swap Agreements”)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$4.8 million and $5.5 million as of September 30, 2017 and December 31, 2016, respectively. See Note 11 </w:t>
      </w:r>
      <w:r>
        <w:rPr>
          <w:rFonts w:ascii="Times New Roman" w:cs="Times New Roman" w:eastAsia="Times New Roman" w:hAnsi="Times New Roman"/>
          <w:sz w:val="18"/>
          <w:szCs w:val="18"/>
          <w:i w:val="1"/>
          <w:iCs w:val="1"/>
          <w:color w:val="auto"/>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for more information.</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Parties to a centrally cleared over-the-counter derivative exchange daily payments that reflect the daily change in value of the derivative. Effective 2017, these payments, commonly referred to as variation margin, will be recorded as settlements of the derivatives’ mark-to-market exposure rather than collateral against the exposures. During the second quarter of 2017, the Company executed its first centrally cleared swap agreements. This rule change effectively results in any centrally cleared derivative having a fair value that approximates zero on a daily basis, and therefore, these swap agreements were not included in the offsetting table at the end of this section. See Note 11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 (“Repurchase Agreements”)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contractual maturities of the Company’s repurchase agreements as of September 30, 2017 and December 31, 2016, disaggregated by the class of collateral pledged.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7"/>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0"/>
        </w:trPr>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September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69,717</w:t>
            </w:r>
          </w:p>
        </w:tc>
        <w:tc>
          <w:tcPr>
            <w:tcW w:w="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243,168</w:t>
            </w:r>
          </w:p>
        </w:tc>
        <w:tc>
          <w:tcPr>
            <w:tcW w:w="4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312,885</w:t>
            </w:r>
          </w:p>
        </w:tc>
      </w:tr>
      <w:tr>
        <w:trPr>
          <w:trHeight w:val="266"/>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5"/>
                <w:szCs w:val="15"/>
                <w:color w:val="auto"/>
              </w:rPr>
              <w:t>1,198</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3,300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4,498</w:t>
            </w:r>
          </w:p>
        </w:tc>
      </w:tr>
      <w:tr>
        <w:trPr>
          <w:trHeight w:val="274"/>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5"/>
                <w:szCs w:val="15"/>
                <w:color w:val="auto"/>
              </w:rPr>
              <w:t>795</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98,253</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99,048</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5,283</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83,579</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88,862</w:t>
            </w:r>
          </w:p>
        </w:tc>
      </w:tr>
      <w:tr>
        <w:trPr>
          <w:trHeight w:val="304"/>
        </w:trPr>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5"/>
                <w:szCs w:val="15"/>
                <w:color w:val="auto"/>
              </w:rPr>
              <w:t>1,993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3,300</w:t>
            </w: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75,000</w:t>
            </w: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425,000</w:t>
            </w:r>
          </w:p>
        </w:tc>
        <w:tc>
          <w:tcPr>
            <w:tcW w:w="4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505,293</w:t>
            </w:r>
          </w:p>
        </w:tc>
      </w:tr>
      <w:tr>
        <w:trPr>
          <w:trHeight w:val="160"/>
        </w:trPr>
        <w:tc>
          <w:tcPr>
            <w:tcW w:w="5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37"/>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200,000</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104,681</w:t>
            </w:r>
          </w:p>
        </w:tc>
        <w:tc>
          <w:tcPr>
            <w:tcW w:w="4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304,681</w:t>
            </w:r>
          </w:p>
        </w:tc>
      </w:tr>
      <w:tr>
        <w:trPr>
          <w:trHeight w:val="274"/>
        </w:trPr>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22,050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590</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22,640</w:t>
            </w:r>
          </w:p>
        </w:tc>
      </w:tr>
      <w:tr>
        <w:trPr>
          <w:trHeight w:val="266"/>
        </w:trPr>
        <w:tc>
          <w:tcPr>
            <w:tcW w:w="5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738</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97,281</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98,019</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98,038</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98,038</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5"/>
                <w:szCs w:val="15"/>
                <w:color w:val="auto"/>
              </w:rPr>
              <w:t>22,788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590</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200,000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300,000</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523,378</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assets and liabilities subject to an enforceable master netting arrangement, or repurchase agreements, as of September 30, 2017 and December 31, 2016. The swap agreements we have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(iii) = (i)-(ii)</w:t>
            </w:r>
          </w:p>
        </w:tc>
        <w:tc>
          <w:tcPr>
            <w:tcW w:w="180" w:type="dxa"/>
            <w:vAlign w:val="bottom"/>
          </w:tcPr>
          <w:p>
            <w:pPr>
              <w:spacing w:after="0"/>
              <w:rPr>
                <w:sz w:val="18"/>
                <w:szCs w:val="18"/>
                <w:color w:val="auto"/>
              </w:rPr>
            </w:pPr>
          </w:p>
        </w:tc>
        <w:tc>
          <w:tcPr>
            <w:tcW w:w="140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(iv)</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(v) = (iii)-(iv)</w:t>
            </w: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7"/>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2"/>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Condition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7"/>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Recognized in the</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Presented in the</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per Master</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Condition</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Condition</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 Condition</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Arrangements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 xml:space="preserve">Pledged </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Amount</w:t>
            </w: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4,168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4,168</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505,293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505,293</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5,094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5,094</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895</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523,378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523,378</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85" w:lineRule="exact"/>
        <w:rPr>
          <w:sz w:val="20"/>
          <w:szCs w:val="20"/>
          <w:color w:val="auto"/>
        </w:rPr>
      </w:pPr>
    </w:p>
    <w:p>
      <w:pPr>
        <w:ind w:left="80" w:right="20" w:hanging="72"/>
        <w:spacing w:after="0" w:line="255" w:lineRule="auto"/>
        <w:tabs>
          <w:tab w:leader="none" w:pos="66"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application of collateral cannot reduce the net amount below zero. Therefore, excess collateral is not reflected in this column. For swap agreements with institutional counterparties, the fair value of investment securities pledged was $6.0 million as of September 30, 2017. For repurchase agreements with private institutions, the fair value of investment securities pledged was $567.3 million and $599.3 million as of September 30, 2017 and December 31, 2016, respectively. For repurchase agreements with government entities, the fair value of investment securities pledged was $7.0 million and $28.9 million as of September 30, 2017 and December 31, 2016,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6" w:right="25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comprehensive income (loss) for the three and nine months ended September 30, 2017 and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Net of Tax</w:t>
            </w:r>
          </w:p>
        </w:tc>
      </w:tr>
      <w:tr>
        <w:trPr>
          <w:trHeight w:val="249"/>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236</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r>
      <w:tr>
        <w:trPr>
          <w:trHeight w:val="216"/>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 that (Increase) Decrease Net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Amortization of Unrealized Holding (Gains) Losses on Held-to-Maturity Securities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497</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w:t>
            </w:r>
          </w:p>
        </w:tc>
      </w:tr>
      <w:tr>
        <w:trPr>
          <w:trHeight w:val="231"/>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289</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31"/>
        </w:trPr>
        <w:tc>
          <w:tcPr>
            <w:tcW w:w="73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241</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974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590</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2016</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(9,420)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w:t>
            </w:r>
          </w:p>
        </w:tc>
      </w:tr>
      <w:tr>
        <w:trPr>
          <w:trHeight w:val="216"/>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 that (Increase) Decrease Net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Amortization of Unrealized Holding (Gains) Losses on Held-to-Maturity Securities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286</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r>
      <w:tr>
        <w:trPr>
          <w:trHeight w:val="231"/>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(9,134)</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124</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1"/>
        </w:trPr>
        <w:tc>
          <w:tcPr>
            <w:tcW w:w="73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233</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93</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(8,901)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12,458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4,917</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7,541</w:t>
            </w:r>
          </w:p>
        </w:tc>
      </w:tr>
      <w:tr>
        <w:trPr>
          <w:trHeight w:val="216"/>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 that (Increase) Decrease Net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Amortization of Unrealized Holding (Gains) Losses on Held-to-Maturity Securities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1,492</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589</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903</w:t>
            </w:r>
          </w:p>
        </w:tc>
      </w:tr>
      <w:tr>
        <w:trPr>
          <w:trHeight w:val="231"/>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13,950</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5,506</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8,444</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967</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382</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1"/>
        </w:trPr>
        <w:tc>
          <w:tcPr>
            <w:tcW w:w="73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725</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286</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439</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14,675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5,792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12,804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5,055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7,749</w:t>
            </w:r>
          </w:p>
        </w:tc>
      </w:tr>
      <w:tr>
        <w:trPr>
          <w:trHeight w:val="216"/>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 that (Increase) Decrease Net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Amortization of Unrealized Holding (Gains) Losses on Held-to-Maturity Securities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949</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375</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574</w:t>
            </w:r>
          </w:p>
        </w:tc>
      </w:tr>
      <w:tr>
        <w:trPr>
          <w:trHeight w:val="231"/>
        </w:trPr>
        <w:tc>
          <w:tcPr>
            <w:tcW w:w="7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13,753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5,430</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8,323</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940</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371</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31"/>
        </w:trPr>
        <w:tc>
          <w:tcPr>
            <w:tcW w:w="73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698</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276</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422</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14,451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5,706</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8,745</w:t>
            </w:r>
          </w:p>
        </w:tc>
      </w:tr>
      <w:tr>
        <w:trPr>
          <w:trHeight w:val="20"/>
        </w:trPr>
        <w:tc>
          <w:tcPr>
            <w:tcW w:w="7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ind w:left="80" w:right="400" w:hanging="72"/>
        <w:spacing w:after="0" w:line="282" w:lineRule="auto"/>
        <w:tabs>
          <w:tab w:leader="none" w:pos="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 w:right="239" w:bottom="212"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212" w:gutter="0" w:footer="0" w:header="0"/>
          <w:type w:val="continuous"/>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income (loss), net of tax, for the three and nine months ended September 30, 2017 and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40"/>
        </w:trPr>
        <w:tc>
          <w:tcPr>
            <w:tcW w:w="4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9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r>
      <w:tr>
        <w:trPr>
          <w:trHeight w:val="24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2017</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8,668</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(5,682)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(28,599)</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(25,613)</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r>
      <w:tr>
        <w:trPr>
          <w:trHeight w:val="216"/>
        </w:trPr>
        <w:tc>
          <w:tcPr>
            <w:tcW w:w="4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48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8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447</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590</w:t>
            </w:r>
          </w:p>
        </w:tc>
      </w:tr>
      <w:tr>
        <w:trPr>
          <w:trHeight w:val="231"/>
        </w:trPr>
        <w:tc>
          <w:tcPr>
            <w:tcW w:w="4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8,811</w:t>
            </w:r>
          </w:p>
        </w:tc>
        <w:tc>
          <w:tcPr>
            <w:tcW w:w="4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(5,381)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(28,453)</w:t>
            </w:r>
          </w:p>
        </w:tc>
        <w:tc>
          <w:tcPr>
            <w:tcW w:w="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(25,023)</w:t>
            </w:r>
          </w:p>
        </w:tc>
      </w:tr>
      <w:tr>
        <w:trPr>
          <w:trHeight w:val="73"/>
        </w:trPr>
        <w:tc>
          <w:tcPr>
            <w:tcW w:w="48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4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2016</w:t>
            </w: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26,009</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(28,579)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w:t>
            </w:r>
          </w:p>
        </w:tc>
      </w:tr>
      <w:tr>
        <w:trPr>
          <w:trHeight w:val="237"/>
        </w:trPr>
        <w:tc>
          <w:tcPr>
            <w:tcW w:w="4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(5,701)</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(5,701)</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4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r>
      <w:tr>
        <w:trPr>
          <w:trHeight w:val="231"/>
        </w:trPr>
        <w:tc>
          <w:tcPr>
            <w:tcW w:w="4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(5,701)</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173</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(5,388)</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20,308</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1,270</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(6,284)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(28,892)</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7,541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7,541</w:t>
            </w:r>
          </w:p>
        </w:tc>
      </w:tr>
      <w:tr>
        <w:trPr>
          <w:trHeight w:val="216"/>
        </w:trPr>
        <w:tc>
          <w:tcPr>
            <w:tcW w:w="4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48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8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903</w:t>
            </w:r>
          </w:p>
        </w:tc>
        <w:tc>
          <w:tcPr>
            <w:tcW w:w="2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1,342</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7,541</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8,883</w:t>
            </w:r>
          </w:p>
        </w:tc>
      </w:tr>
      <w:tr>
        <w:trPr>
          <w:trHeight w:val="231"/>
        </w:trPr>
        <w:tc>
          <w:tcPr>
            <w:tcW w:w="4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8,811</w:t>
            </w:r>
          </w:p>
        </w:tc>
        <w:tc>
          <w:tcPr>
            <w:tcW w:w="4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(5,381)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(28,453)</w:t>
            </w:r>
          </w:p>
        </w:tc>
        <w:tc>
          <w:tcPr>
            <w:tcW w:w="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(25,023)</w:t>
            </w:r>
          </w:p>
        </w:tc>
      </w:tr>
      <w:tr>
        <w:trPr>
          <w:trHeight w:val="73"/>
        </w:trPr>
        <w:tc>
          <w:tcPr>
            <w:tcW w:w="48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4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12,559</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(28,861)</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(23,557)</w:t>
            </w:r>
          </w:p>
        </w:tc>
      </w:tr>
      <w:tr>
        <w:trPr>
          <w:trHeight w:val="237"/>
        </w:trPr>
        <w:tc>
          <w:tcPr>
            <w:tcW w:w="4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7,749</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7,749</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Amounts Reclassified from Accumulated Other</w:t>
            </w: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48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996</w:t>
            </w:r>
          </w:p>
        </w:tc>
      </w:tr>
      <w:tr>
        <w:trPr>
          <w:trHeight w:val="231"/>
        </w:trPr>
        <w:tc>
          <w:tcPr>
            <w:tcW w:w="4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7,749</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8,745</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20,308</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accumulated other comprehensive income (loss) for the three and nine months ended September 30, 2017 and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2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Statement Where Net Income Is</w:t>
            </w:r>
          </w:p>
        </w:tc>
      </w:tr>
      <w:tr>
        <w:trPr>
          <w:trHeight w:val="252"/>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Comprehensive Income (Loss)</w:t>
            </w:r>
            <w:r>
              <w:rPr>
                <w:rFonts w:ascii="Times New Roman" w:cs="Times New Roman" w:eastAsia="Times New Roman" w:hAnsi="Times New Roman"/>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Presented</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5"/>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280" w:type="dxa"/>
            <w:vAlign w:val="bottom"/>
            <w:tcBorders>
              <w:bottom w:val="single" w:sz="8" w:color="CCEEFF"/>
            </w:tcBorders>
          </w:tcPr>
          <w:p>
            <w:pPr>
              <w:spacing w:after="0"/>
              <w:rPr>
                <w:sz w:val="21"/>
                <w:szCs w:val="21"/>
                <w:color w:val="auto"/>
              </w:rPr>
            </w:pPr>
          </w:p>
        </w:tc>
      </w:tr>
      <w:tr>
        <w:trPr>
          <w:trHeight w:val="214"/>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Unrealized Holding Gains (Losses) on</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12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 xml:space="preserve">Prior Service Credit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1240" w:type="dxa"/>
            <w:vAlign w:val="bottom"/>
          </w:tcPr>
          <w:p>
            <w:pPr>
              <w:spacing w:after="0"/>
              <w:rPr>
                <w:sz w:val="23"/>
                <w:szCs w:val="23"/>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Net Actuarial Losses </w:t>
            </w:r>
            <w:r>
              <w:rPr>
                <w:rFonts w:ascii="Times New Roman" w:cs="Times New Roman" w:eastAsia="Times New Roman" w:hAnsi="Times New Roman"/>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57"/>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14"/>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2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Statement Where Net Income Is</w:t>
            </w:r>
          </w:p>
        </w:tc>
      </w:tr>
      <w:tr>
        <w:trPr>
          <w:trHeight w:val="244"/>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Comprehensive Income (Loss)</w:t>
            </w:r>
            <w:r>
              <w:rPr>
                <w:rFonts w:ascii="Times New Roman" w:cs="Times New Roman" w:eastAsia="Times New Roman" w:hAnsi="Times New Roman"/>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Presented</w:t>
            </w: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5"/>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2280" w:type="dxa"/>
            <w:vAlign w:val="bottom"/>
            <w:tcBorders>
              <w:bottom w:val="single" w:sz="8" w:color="CCEEFF"/>
            </w:tcBorders>
          </w:tcPr>
          <w:p>
            <w:pPr>
              <w:spacing w:after="0"/>
              <w:rPr>
                <w:sz w:val="21"/>
                <w:szCs w:val="21"/>
                <w:color w:val="auto"/>
              </w:rPr>
            </w:pPr>
          </w:p>
        </w:tc>
      </w:tr>
      <w:tr>
        <w:trPr>
          <w:trHeight w:val="214"/>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Unrealized Holding Gains (Losses) on</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589</w:t>
            </w:r>
          </w:p>
        </w:tc>
        <w:tc>
          <w:tcPr>
            <w:tcW w:w="12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w:t>
            </w:r>
          </w:p>
        </w:tc>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 xml:space="preserve">Prior Service Credit </w:t>
            </w:r>
            <w:r>
              <w:rPr>
                <w:rFonts w:ascii="Times New Roman" w:cs="Times New Roman" w:eastAsia="Times New Roman" w:hAnsi="Times New Roman"/>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w:t>
            </w:r>
          </w:p>
        </w:tc>
        <w:tc>
          <w:tcPr>
            <w:tcW w:w="1240" w:type="dxa"/>
            <w:vAlign w:val="bottom"/>
          </w:tcPr>
          <w:p>
            <w:pPr>
              <w:spacing w:after="0"/>
              <w:rPr>
                <w:sz w:val="23"/>
                <w:szCs w:val="23"/>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Net Actuarial Losses </w:t>
            </w:r>
            <w:r>
              <w:rPr>
                <w:rFonts w:ascii="Times New Roman" w:cs="Times New Roman" w:eastAsia="Times New Roman" w:hAnsi="Times New Roman"/>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c>
          <w:tcPr>
            <w:tcW w:w="1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50"/>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 parentheses indicate reductions to net income.</w:t>
      </w:r>
    </w:p>
    <w:p>
      <w:pPr>
        <w:spacing w:after="0" w:line="17" w:lineRule="exact"/>
        <w:rPr>
          <w:sz w:val="20"/>
          <w:szCs w:val="20"/>
          <w:color w:val="auto"/>
        </w:rPr>
      </w:pPr>
    </w:p>
    <w:p>
      <w:pPr>
        <w:ind w:left="180" w:right="380" w:hanging="172"/>
        <w:spacing w:after="0" w:line="258" w:lineRule="auto"/>
        <w:tabs>
          <w:tab w:leader="none" w:pos="18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These accumulated other comprehensive income (loss) components are included in the computation of net periodic benefit cost and are included in Salaries and Benefits on the consolidated statements of income (see Note 10 </w:t>
      </w:r>
      <w:r>
        <w:rPr>
          <w:rFonts w:ascii="Times New Roman" w:cs="Times New Roman" w:eastAsia="Times New Roman" w:hAnsi="Times New Roman"/>
          <w:sz w:val="14"/>
          <w:szCs w:val="14"/>
          <w:i w:val="1"/>
          <w:iCs w:val="1"/>
          <w:color w:val="auto"/>
        </w:rPr>
        <w:t>Pension Plans and Postretirement Benefit Plan</w:t>
      </w:r>
      <w:r>
        <w:rPr>
          <w:rFonts w:ascii="Times New Roman" w:cs="Times New Roman" w:eastAsia="Times New Roman" w:hAnsi="Times New Roman"/>
          <w:sz w:val="14"/>
          <w:szCs w:val="14"/>
          <w:color w:val="auto"/>
        </w:rPr>
        <w:t xml:space="preserve"> for additional details).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and nine months ended September 30, 2017 and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0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4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38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98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0"/>
                <w:szCs w:val="20"/>
                <w:color w:val="auto"/>
              </w:rPr>
            </w:pPr>
          </w:p>
        </w:tc>
        <w:tc>
          <w:tcPr>
            <w:tcW w:w="20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Denominator for Basic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42,251,541</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42,543,122</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42,336,441</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42,730,571</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Dilutive Effect of Equity Based Awards</w:t>
            </w:r>
          </w:p>
        </w:tc>
        <w:tc>
          <w:tcPr>
            <w:tcW w:w="19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313,823</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235,224</w:t>
            </w:r>
          </w:p>
        </w:tc>
        <w:tc>
          <w:tcPr>
            <w:tcW w:w="220" w:type="dxa"/>
            <w:vAlign w:val="bottom"/>
          </w:tcPr>
          <w:p>
            <w:pPr>
              <w:spacing w:after="0"/>
              <w:rPr>
                <w:sz w:val="20"/>
                <w:szCs w:val="20"/>
                <w:color w:val="auto"/>
              </w:rPr>
            </w:pPr>
          </w:p>
        </w:tc>
        <w:tc>
          <w:tcPr>
            <w:tcW w:w="20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325,722</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216,488</w:t>
            </w:r>
          </w:p>
        </w:tc>
      </w:tr>
      <w:tr>
        <w:trPr>
          <w:trHeight w:val="33"/>
        </w:trPr>
        <w:tc>
          <w:tcPr>
            <w:tcW w:w="5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Denominator for Diluted Earnings Per Share</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42,565,364</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42,778,346</w:t>
            </w: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42,662,163</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42,947,059</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Antidilutive Stock Options and Restricted Stock Outstanding</w:t>
            </w:r>
          </w:p>
        </w:tc>
        <w:tc>
          <w:tcPr>
            <w:tcW w:w="198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1,070</w:t>
            </w: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363</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provision for credit losses reflects the actual net charge-offs of the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allocated to business segments using a 37% effective income tax rate. However, the provision for income taxes for our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Banking</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some types of consumer insurance products. Products and services from Retail Banking are delivered to customers through 69 branch locations and 388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Services and Private Banking</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126" w:right="29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business segment financial information as of and for the three and nine months ended September 30, 2017 and 2016 were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Services and</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0"/>
        </w:trPr>
        <w:tc>
          <w:tcPr>
            <w:tcW w:w="3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Private Banking</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Interest Income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67,128</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43,438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7,321</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(1,570)</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116,317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3,512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528</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w:t>
            </w:r>
          </w:p>
        </w:tc>
      </w:tr>
      <w:tr>
        <w:trPr>
          <w:trHeight w:val="231"/>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63,616</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43,473</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7,326</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(2,098)</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112,317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21,287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5,137</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13,593</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2,393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42,410</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(51,507)</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(17,721)</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(14,925)</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(4,445)</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33,396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30,889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5,994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(4,150)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66,129</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(11,908)</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(10,891)</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(2,218)</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4,769</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21,488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19,998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3,776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45,881</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 as of September 30, 2017</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5,758,799</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3,695,606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305,015</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7,508,882</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17,268,302</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2016</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61,747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38,613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6,029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103,912</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2,574</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59,173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38,781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6,036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101,412</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24,786</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6,977</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13,662</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2,689</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48,114</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(51,892)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(17,449)</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(14,579)</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(87,532)</w:t>
            </w:r>
          </w:p>
        </w:tc>
      </w:tr>
      <w:tr>
        <w:trPr>
          <w:trHeight w:val="231"/>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32,067</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28,309</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5,119</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(3,501)</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61,994</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(11,329)</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(10,073)</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(1,894)</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4,795</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(18,501)</w:t>
            </w:r>
          </w:p>
        </w:tc>
      </w:tr>
      <w:tr>
        <w:trPr>
          <w:trHeight w:val="231"/>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20,738</w:t>
            </w:r>
          </w:p>
        </w:tc>
        <w:tc>
          <w:tcPr>
            <w:tcW w:w="3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18,236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3,225</w:t>
            </w:r>
          </w:p>
        </w:tc>
        <w:tc>
          <w:tcPr>
            <w:tcW w:w="3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1,294</w:t>
            </w:r>
          </w:p>
        </w:tc>
        <w:tc>
          <w:tcPr>
            <w:tcW w:w="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43,493</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Total Assets as of September 30, 2016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5,206,442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3,428,424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290,207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7,089,570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16,014,643</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Nine Months Ended September 30, 2017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Interest Income</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198,633</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127,106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20,685</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(7,956)</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338,468</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10,413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2,608</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12,650</w:t>
            </w:r>
          </w:p>
        </w:tc>
      </w:tr>
      <w:tr>
        <w:trPr>
          <w:trHeight w:val="231"/>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188,220</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127,461</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20,701</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(10,564)</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325,818</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64,132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16,451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43,389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19,590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143,562</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(155,786)</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(54,483)</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(45,692)</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(9,394)</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(265,355)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96,566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89,429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18,398</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204,025</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(34,323)</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(31,472)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(6,807)</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10,296</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(62,306)</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62,243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57,957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11,591</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9,928</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141,719</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 as of September 30, 2017</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5,758,799</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3,695,606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305,015</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7,508,882</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17,268,302</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179,798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115,112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18,518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310,486</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7,415</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(7,052)</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1,155</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172,383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122,164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18,536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(4,097)</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308,986</w:t>
            </w: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67,364</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21,015</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43,632</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18,829</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150,840</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(155,391)</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(52,479)</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(44,786)</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(8,333)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(260,989)</w:t>
            </w:r>
          </w:p>
        </w:tc>
      </w:tr>
      <w:tr>
        <w:trPr>
          <w:trHeight w:val="231"/>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84,356</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90,700</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17,382</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6,399</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198,837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(29,958)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(32,337)</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(6,431)</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7,837</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(60,889)</w:t>
            </w:r>
          </w:p>
        </w:tc>
      </w:tr>
      <w:tr>
        <w:trPr>
          <w:trHeight w:val="231"/>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54,398</w:t>
            </w:r>
          </w:p>
        </w:tc>
        <w:tc>
          <w:tcPr>
            <w:tcW w:w="3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58,363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10,951</w:t>
            </w:r>
          </w:p>
        </w:tc>
        <w:tc>
          <w:tcPr>
            <w:tcW w:w="3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14,236</w:t>
            </w:r>
          </w:p>
        </w:tc>
        <w:tc>
          <w:tcPr>
            <w:tcW w:w="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137,948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Total Assets as of September 30, 2016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5,206,442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3,428,424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290,207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7,089,570</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16,014,643</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type w:val="continuous"/>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Pension Plans and Postretirement Benefit Plan</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cost for the Company’s pension plans and the postretirement benefit plan are presented in the following table for the three and nine months ended September 30, 2017 and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9"/>
        </w:trPr>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2017</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Service Cost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123</w:t>
            </w:r>
          </w:p>
        </w:tc>
        <w:tc>
          <w:tcPr>
            <w:tcW w:w="94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137</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1,161</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1,210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272</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294</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(1,238)</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(81)</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433</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(111)</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1"/>
        </w:trPr>
        <w:tc>
          <w:tcPr>
            <w:tcW w:w="5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356</w:t>
            </w:r>
          </w:p>
        </w:tc>
        <w:tc>
          <w:tcPr>
            <w:tcW w:w="8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317</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203</w:t>
            </w:r>
          </w:p>
        </w:tc>
        <w:tc>
          <w:tcPr>
            <w:tcW w:w="94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275</w:t>
            </w:r>
          </w:p>
        </w:tc>
      </w:tr>
      <w:tr>
        <w:trPr>
          <w:trHeight w:val="73"/>
        </w:trPr>
        <w:tc>
          <w:tcPr>
            <w:tcW w:w="5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369</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411</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3,483</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3,628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816</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882</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(3,714)</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(242)</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37"/>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Actuarial Losses (Gains)</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1,298</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1,166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(331)</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1,067</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950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612</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825</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net periodic benefit cost for the Company’s pension plans and postretirement benefit plan are recorded as a component of salaries and benefits in the consolidated statements of income. For the three and nine months ended September 30, 2017, the Company contributed $10.2 million and $10.4 million, respectively, to the pension plans and $0.2 million and $0.7 million, respectively, to the postretirement benefit plan. The Company expects to contribute a total of $10.5 million to the pension plans and $1.0 million to the postretirement benefit plan for the year ending December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 of the Company’s derivative financial instruments as of September 30, 2017 and December 31, 2016 were as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34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88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9"/>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50,050</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55,223</w:t>
            </w:r>
          </w:p>
        </w:tc>
        <w:tc>
          <w:tcPr>
            <w:tcW w:w="6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1,067</w:t>
            </w: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Forward Commitments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51,263</w:t>
            </w: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104,962</w:t>
            </w:r>
          </w:p>
        </w:tc>
        <w:tc>
          <w:tcPr>
            <w:tcW w:w="6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847</w:t>
            </w:r>
          </w:p>
        </w:tc>
      </w:tr>
      <w:tr>
        <w:trPr>
          <w:trHeight w:val="33"/>
        </w:trPr>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Receive Fixed/Pay Variable Swaps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378,618</w:t>
            </w:r>
          </w:p>
        </w:tc>
        <w:tc>
          <w:tcPr>
            <w:tcW w:w="5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357,441</w:t>
            </w:r>
          </w:p>
        </w:tc>
        <w:tc>
          <w:tcPr>
            <w:tcW w:w="6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1,381</w:t>
            </w:r>
          </w:p>
        </w:tc>
      </w:tr>
      <w:tr>
        <w:trPr>
          <w:trHeight w:val="33"/>
        </w:trPr>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 Fixed/Receive Variable Swaps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378,618</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357,441</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56,130</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38,172</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r>
    </w:tbl>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their fair values, and their location in the consolidated statements of condition as of September 30, 2017 and December 31, 2016: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240" w:type="dxa"/>
            <w:vAlign w:val="bottom"/>
          </w:tcPr>
          <w:p>
            <w:pPr>
              <w:spacing w:after="0"/>
              <w:rPr>
                <w:sz w:val="18"/>
                <w:szCs w:val="18"/>
                <w:color w:val="auto"/>
              </w:rPr>
            </w:pPr>
          </w:p>
        </w:tc>
        <w:tc>
          <w:tcPr>
            <w:tcW w:w="27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7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Not Designated as Hedging Instruments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4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40"/>
        </w:trPr>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4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962</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1,236</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873</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10,522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11,569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11,583</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4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810</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11,586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10,929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13,731</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12,588</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80" w:hanging="72"/>
        <w:spacing w:after="0"/>
        <w:tabs>
          <w:tab w:leader="none" w:pos="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Asset derivatives are included in other assets and liability derivatives are included in other liabilities in the consolidated statements of condition.</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6" w:right="239" w:bottom="1440" w:gutter="0" w:footer="0" w:header="0"/>
          <w:type w:val="continuous"/>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and the amount and location of the net gains or losses recognized in the consolidated statements of income for the three and nine months ended September 30, 2017 and 2016: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28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Location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28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Net Gains (Losses)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2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70"/>
        </w:trPr>
        <w:tc>
          <w:tcPr>
            <w:tcW w:w="36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Not Designated as Hedging Instruments</w:t>
            </w:r>
          </w:p>
        </w:tc>
        <w:tc>
          <w:tcPr>
            <w:tcW w:w="28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Recognized in the</w:t>
            </w:r>
          </w:p>
        </w:tc>
        <w:tc>
          <w:tcPr>
            <w:tcW w:w="1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40" w:type="dxa"/>
            <w:vAlign w:val="bottom"/>
          </w:tcPr>
          <w:p>
            <w:pPr>
              <w:spacing w:after="0"/>
              <w:rPr>
                <w:sz w:val="23"/>
                <w:szCs w:val="23"/>
                <w:color w:val="auto"/>
              </w:rPr>
            </w:pPr>
          </w:p>
        </w:tc>
      </w:tr>
      <w:tr>
        <w:trPr>
          <w:trHeight w:val="33"/>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9"/>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8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8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2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Mortgage Banking  $</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1,550</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4,154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4,472</w:t>
            </w:r>
          </w:p>
        </w:tc>
        <w:tc>
          <w:tcPr>
            <w:tcW w:w="6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8,113</w:t>
            </w: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Forward Commitments</w:t>
            </w:r>
          </w:p>
        </w:tc>
        <w:tc>
          <w:tcPr>
            <w:tcW w:w="28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Mortgage Banking</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(434)</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(1,322)</w:t>
            </w:r>
          </w:p>
        </w:tc>
        <w:tc>
          <w:tcPr>
            <w:tcW w:w="6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33"/>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28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1,595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690</w:t>
            </w: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2,416</w:t>
            </w: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8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754</w:t>
            </w:r>
          </w:p>
        </w:tc>
        <w:tc>
          <w:tcPr>
            <w:tcW w:w="8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2,600</w:t>
            </w:r>
          </w:p>
        </w:tc>
        <w:tc>
          <w:tcPr>
            <w:tcW w:w="6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2,245</w:t>
            </w:r>
          </w:p>
        </w:tc>
      </w:tr>
      <w:tr>
        <w:trPr>
          <w:trHeight w:val="33"/>
        </w:trPr>
        <w:tc>
          <w:tcPr>
            <w:tcW w:w="3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1,880</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5,587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6,440</w:t>
            </w:r>
          </w:p>
        </w:tc>
        <w:tc>
          <w:tcPr>
            <w:tcW w:w="6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10,344</w:t>
            </w:r>
          </w:p>
        </w:tc>
      </w:tr>
      <w:tr>
        <w:trPr>
          <w:trHeight w:val="20"/>
        </w:trPr>
        <w:tc>
          <w:tcPr>
            <w:tcW w:w="366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30, 2017 and December 31, 2016,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6 </w:t>
      </w:r>
      <w:r>
        <w:rPr>
          <w:rFonts w:ascii="Times New Roman" w:cs="Times New Roman" w:eastAsia="Times New Roman" w:hAnsi="Times New Roman"/>
          <w:sz w:val="18"/>
          <w:szCs w:val="18"/>
          <w:i w:val="1"/>
          <w:iCs w:val="1"/>
          <w:color w:val="auto"/>
        </w:rPr>
        <w:t>Balance Sheet Offsetting</w:t>
      </w:r>
      <w:r>
        <w:rPr>
          <w:rFonts w:ascii="Times New Roman" w:cs="Times New Roman" w:eastAsia="Times New Roman" w:hAnsi="Times New Roman"/>
          <w:sz w:val="18"/>
          <w:szCs w:val="18"/>
          <w:color w:val="auto"/>
        </w:rPr>
        <w:t xml:space="preserve"> for more information.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rating),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agreement. Other credit-risk-related contingent features may also allow the counterparty to require immediate settlement of the swap agreement if the Company fails to maintain a specified minimum level of capitalization.</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With regard to derivative contracts not centrally cleared through a clearinghouse, new regulations require collateral to be posted by the party with a net liability position (i.e., the threshold for posting collateral was reduced to zero, subject to certain minimum transfer amounts). The requirements generally apply to new derivative contracts entered into after the applicable compliance date of the regulation (March 1, 2017 for the Company), although certain counterparties may elect to apply lower thresholds to existing contracts.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results in any derivative cleared through the clearinghouses to have a fair value that approximates zero on a daily basis. During the second quarter of 2017, the Company executed its first swap agreements cleared through the clearinghouses. As of September 30, 2017, the application of the rule change reduced the swap agreement liability by $0.4 million, as reflected in the table above. Going forward, the Company expects most of the swap agreements executed with third party financial institutions will be required to be cleared through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9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September 30, 2017, the conversion rate swap agreement was valued at zero (i.e., no contingent liability recorded) as further reductions to the conversion ratio were deemed neither probable nor reasonably estimable by management. See Note 2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for more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Contingencies, and Guarantees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commitments as of September 30, 2017 and December 31, 2016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9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5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Unfunded Commitments to Extend Credit</w:t>
            </w:r>
          </w:p>
        </w:tc>
        <w:tc>
          <w:tcPr>
            <w:tcW w:w="296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BFE4FF"/>
            </w:tcBorders>
            <w:shd w:val="clear" w:color="auto" w:fill="BFE4FF"/>
          </w:tcPr>
          <w:p>
            <w:pPr>
              <w:jc w:val="right"/>
              <w:ind w:right="99"/>
              <w:spacing w:after="0"/>
              <w:rPr>
                <w:sz w:val="20"/>
                <w:szCs w:val="20"/>
                <w:color w:val="auto"/>
              </w:rPr>
            </w:pPr>
            <w:r>
              <w:rPr>
                <w:rFonts w:ascii="Times New Roman" w:cs="Times New Roman" w:eastAsia="Times New Roman" w:hAnsi="Times New Roman"/>
                <w:sz w:val="16"/>
                <w:szCs w:val="16"/>
                <w:color w:val="auto"/>
              </w:rPr>
              <w:t>2,793,531</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Times New Roman" w:cs="Times New Roman" w:eastAsia="Times New Roman" w:hAnsi="Times New Roman"/>
                <w:sz w:val="16"/>
                <w:szCs w:val="16"/>
                <w:color w:val="auto"/>
              </w:rPr>
              <w:t>2,732,734</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96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122,137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112,830</w:t>
            </w:r>
          </w:p>
        </w:tc>
      </w:tr>
      <w:tr>
        <w:trPr>
          <w:trHeight w:val="33"/>
        </w:trPr>
        <w:tc>
          <w:tcPr>
            <w:tcW w:w="5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2960" w:type="dxa"/>
            <w:vAlign w:val="bottom"/>
            <w:tcBorders>
              <w:bottom w:val="single" w:sz="8" w:color="BFE4FF"/>
            </w:tcBorders>
            <w:shd w:val="clear" w:color="auto" w:fill="BFE4FF"/>
          </w:tcPr>
          <w:p>
            <w:pPr>
              <w:spacing w:after="0"/>
              <w:rPr>
                <w:sz w:val="23"/>
                <w:szCs w:val="23"/>
                <w:color w:val="auto"/>
              </w:rPr>
            </w:pPr>
          </w:p>
        </w:tc>
        <w:tc>
          <w:tcPr>
            <w:tcW w:w="1340" w:type="dxa"/>
            <w:vAlign w:val="bottom"/>
            <w:tcBorders>
              <w:bottom w:val="single" w:sz="8" w:color="BFE4FF"/>
            </w:tcBorders>
            <w:shd w:val="clear" w:color="auto" w:fill="BFE4FF"/>
          </w:tcPr>
          <w:p>
            <w:pPr>
              <w:jc w:val="right"/>
              <w:ind w:right="99"/>
              <w:spacing w:after="0"/>
              <w:rPr>
                <w:sz w:val="20"/>
                <w:szCs w:val="20"/>
                <w:color w:val="auto"/>
              </w:rPr>
            </w:pPr>
            <w:r>
              <w:rPr>
                <w:rFonts w:ascii="Times New Roman" w:cs="Times New Roman" w:eastAsia="Times New Roman" w:hAnsi="Times New Roman"/>
                <w:sz w:val="16"/>
                <w:szCs w:val="16"/>
                <w:color w:val="auto"/>
              </w:rPr>
              <w:t>18,601</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Times New Roman" w:cs="Times New Roman" w:eastAsia="Times New Roman" w:hAnsi="Times New Roman"/>
                <w:sz w:val="16"/>
                <w:szCs w:val="16"/>
                <w:color w:val="auto"/>
              </w:rPr>
              <w:t>16,269</w:t>
            </w:r>
          </w:p>
        </w:tc>
      </w:tr>
      <w:tr>
        <w:trPr>
          <w:trHeight w:val="231"/>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Credit Commitments</w:t>
            </w:r>
          </w:p>
        </w:tc>
        <w:tc>
          <w:tcPr>
            <w:tcW w:w="2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2,934,269</w:t>
            </w:r>
          </w:p>
        </w:tc>
        <w:tc>
          <w:tcPr>
            <w:tcW w:w="4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2,861,833</w:t>
            </w:r>
          </w:p>
        </w:tc>
      </w:tr>
      <w:tr>
        <w:trPr>
          <w:trHeight w:val="33"/>
        </w:trPr>
        <w:tc>
          <w:tcPr>
            <w:tcW w:w="55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 to Extend Credit</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and Commercial Letters of Credit</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pending and threatened legal proceedings arising within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Representation and Warranty Provisions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September 30, 2017,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nine months ended September 30, 2017, there was one residential mortgage loan repurchased with an aggregate unpaid principal balance of $0.2 million as a result of the representation and warranty provisions contained in these contracts. As of September 30, 2017, there were no pending repurchase requests related to representation and warranty provisions.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Residential Mortgage Loan Servicing Activities</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nine months ended September 30, 2017, there were no loans repurchased related to loan servicing activities. As of September 30, 2017, there were no pending repurchase requests related to loan servicing activities.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September 30, 2017, management believes that this exposure is not material due to the historical level of repurchase requests and loss trends and thus has not established a liability for losses related to mortgage loan repurchases. As of September 30, 2017,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2" w:lineRule="exact"/>
        <w:rPr>
          <w:sz w:val="20"/>
          <w:szCs w:val="20"/>
          <w:color w:val="auto"/>
        </w:rPr>
      </w:pPr>
    </w:p>
    <w:p>
      <w:pPr>
        <w:jc w:val="both"/>
        <w:ind w:left="1500" w:right="720" w:hanging="1052"/>
        <w:spacing w:after="0" w:line="266" w:lineRule="auto"/>
        <w:tabs>
          <w:tab w:leader="none" w:pos="14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33" w:lineRule="exact"/>
        <w:rPr>
          <w:sz w:val="20"/>
          <w:szCs w:val="20"/>
          <w:color w:val="auto"/>
        </w:rPr>
      </w:pPr>
    </w:p>
    <w:p>
      <w:pPr>
        <w:ind w:left="1500" w:right="580" w:hanging="1052"/>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37" w:lineRule="exact"/>
        <w:rPr>
          <w:sz w:val="20"/>
          <w:szCs w:val="20"/>
          <w:color w:val="auto"/>
        </w:rPr>
      </w:pPr>
    </w:p>
    <w:p>
      <w:pPr>
        <w:ind w:left="1500" w:right="620" w:hanging="1052"/>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maximizes the use of observable inputs and minimizes the use of unobservable inputs when determining fair value measurements. Management reviews and updates the fair value hierarchy classifications of the Company’s assets and liabilities on a quarterly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6" w:right="25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provided by the Company’s third-party pricing service, fair value may be estimated by the use of secondary pricing services or through the use of non-binding third-party broker quotes.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 quarterly basis, management reviews the pricing information received from the Company’s third-party pricing service. This review process includes a comparison to non-binding third-party broker quotes, as well as a review of market-related conditions impacting the information provided by the Company’s third-party pricing service. Management primarily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Investment securities that are deemed to have been trading in illiquid or inactive markets may require the use of significant unobservable inputs to determine fair value. As of September 30, 2017 and December 31, 2016, management did not make adjustments to prices provided by the third-party pricing service as a result of illiquid or inactive markets. On a quarterly basis, management also reviews a sample of securities priced by the Company’s third-party pricing service to review the significant assumptions and valuation methodologies used by the service. Based on this review, management determines whether the current placement of the security in the fair value hierarchy is appropriate or whether transfers may be warranted. The Company’s third-party pricing service has also established processes for us to submit inquiries regarding quoted prices. Periodically, we will challenge the quoted prices provided by our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Derivative financial instruments recorded at fair value on a recurring basis are comprised of interest rate lock commitments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6" w:right="25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September 30, 2017 and December 31, 2016, the conversion rate swap agreements were valued at zero as reductions to the conversion ratio were neither probable nor reasonably estimable by management. See Note 11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26" w:right="27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balances of assets and liabilities measured at fair value on a recurring basis as of September 30, 2017 and December 31,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4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or Liabilities</w:t>
            </w:r>
          </w:p>
        </w:tc>
        <w:tc>
          <w:tcPr>
            <w:tcW w:w="4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4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7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6"/>
        </w:trPr>
        <w:tc>
          <w:tcPr>
            <w:tcW w:w="4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Securities Issued by the U.S. Treasury</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and Government Agencies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541</w:t>
            </w: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448,663</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449,204</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641,963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641,963</w:t>
            </w:r>
          </w:p>
        </w:tc>
      </w:tr>
      <w:tr>
        <w:trPr>
          <w:trHeight w:val="237"/>
        </w:trPr>
        <w:tc>
          <w:tcPr>
            <w:tcW w:w="4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265,846</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265,846</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249,976</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249,976</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642,113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642,113</w:t>
            </w:r>
          </w:p>
        </w:tc>
      </w:tr>
      <w:tr>
        <w:trPr>
          <w:trHeight w:val="237"/>
        </w:trPr>
        <w:tc>
          <w:tcPr>
            <w:tcW w:w="4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73,566</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73,566</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965,655</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965,655</w:t>
            </w:r>
          </w:p>
        </w:tc>
      </w:tr>
      <w:tr>
        <w:trPr>
          <w:trHeight w:val="231"/>
        </w:trPr>
        <w:tc>
          <w:tcPr>
            <w:tcW w:w="4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541</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2,322,127</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2,322,668</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9,752</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9,752</w:t>
            </w:r>
          </w:p>
        </w:tc>
      </w:tr>
      <w:tr>
        <w:trPr>
          <w:trHeight w:val="237"/>
        </w:trPr>
        <w:tc>
          <w:tcPr>
            <w:tcW w:w="4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1,509</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1,509</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28,064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28,064</w:t>
            </w:r>
          </w:p>
        </w:tc>
      </w:tr>
      <w:tr>
        <w:trPr>
          <w:trHeight w:val="264"/>
        </w:trPr>
        <w:tc>
          <w:tcPr>
            <w:tcW w:w="4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Derivatives </w:t>
            </w:r>
            <w:r>
              <w:rPr>
                <w:rFonts w:ascii="Times New Roman" w:cs="Times New Roman" w:eastAsia="Times New Roman" w:hAnsi="Times New Roman"/>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102</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11,484</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11,586</w:t>
            </w:r>
          </w:p>
        </w:tc>
      </w:tr>
      <w:tr>
        <w:trPr>
          <w:trHeight w:val="214"/>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Recurring Basis as of September 30,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28,605</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2,331,981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12,993</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2,373,579</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Derivatives </w:t>
            </w:r>
            <w:r>
              <w:rPr>
                <w:rFonts w:ascii="Times New Roman" w:cs="Times New Roman" w:eastAsia="Times New Roman" w:hAnsi="Times New Roman"/>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760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10,169</w:t>
            </w:r>
          </w:p>
        </w:tc>
        <w:tc>
          <w:tcPr>
            <w:tcW w:w="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10,929</w:t>
            </w:r>
          </w:p>
        </w:tc>
      </w:tr>
      <w:tr>
        <w:trPr>
          <w:trHeight w:val="208"/>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Recurring Basis as of September 30,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10,169</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10,929</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6"/>
        </w:trPr>
        <w:tc>
          <w:tcPr>
            <w:tcW w:w="4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Securities Issued by the U.S. Treasury</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8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and Government Agencies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539</w:t>
            </w: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408,176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408,715</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671,799</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671,799</w:t>
            </w:r>
          </w:p>
        </w:tc>
      </w:tr>
      <w:tr>
        <w:trPr>
          <w:trHeight w:val="237"/>
        </w:trPr>
        <w:tc>
          <w:tcPr>
            <w:tcW w:w="4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269,179</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269,179</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243,844</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243,844</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506,987</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506,987</w:t>
            </w:r>
          </w:p>
        </w:tc>
      </w:tr>
      <w:tr>
        <w:trPr>
          <w:trHeight w:val="237"/>
        </w:trPr>
        <w:tc>
          <w:tcPr>
            <w:tcW w:w="4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85,517</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85,517</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836,348</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836,348</w:t>
            </w:r>
          </w:p>
        </w:tc>
      </w:tr>
      <w:tr>
        <w:trPr>
          <w:trHeight w:val="231"/>
        </w:trPr>
        <w:tc>
          <w:tcPr>
            <w:tcW w:w="4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539</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2,185,502</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2,186,041</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62,499</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62,499</w:t>
            </w:r>
          </w:p>
        </w:tc>
      </w:tr>
      <w:tr>
        <w:trPr>
          <w:trHeight w:val="237"/>
        </w:trPr>
        <w:tc>
          <w:tcPr>
            <w:tcW w:w="4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1,655</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1,655</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21,952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21,952</w:t>
            </w:r>
          </w:p>
        </w:tc>
      </w:tr>
      <w:tr>
        <w:trPr>
          <w:trHeight w:val="264"/>
        </w:trPr>
        <w:tc>
          <w:tcPr>
            <w:tcW w:w="4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Derivatives </w:t>
            </w:r>
            <w:r>
              <w:rPr>
                <w:rFonts w:ascii="Times New Roman" w:cs="Times New Roman" w:eastAsia="Times New Roman" w:hAnsi="Times New Roman"/>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926</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12,805</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13,731</w:t>
            </w:r>
          </w:p>
        </w:tc>
      </w:tr>
      <w:tr>
        <w:trPr>
          <w:trHeight w:val="214"/>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Recurring Basis as of December 31, 2016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22,491</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2,248,927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14,460</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2,285,878</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Derivatives </w:t>
            </w:r>
            <w:r>
              <w:rPr>
                <w:rFonts w:ascii="Times New Roman" w:cs="Times New Roman" w:eastAsia="Times New Roman" w:hAnsi="Times New Roman"/>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836</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11,752</w:t>
            </w:r>
          </w:p>
        </w:tc>
        <w:tc>
          <w:tcPr>
            <w:tcW w:w="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12,588</w:t>
            </w:r>
          </w:p>
        </w:tc>
      </w:tr>
      <w:tr>
        <w:trPr>
          <w:trHeight w:val="208"/>
        </w:trPr>
        <w:tc>
          <w:tcPr>
            <w:tcW w:w="4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Recurring Basis as of December 31, 2016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836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11,752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12,588</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80" w:hanging="72"/>
        <w:spacing w:after="0"/>
        <w:tabs>
          <w:tab w:leader="none" w:pos="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fair value of each class of derivatives is shown in Note 11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ectPr>
          <w:pgSz w:w="11900" w:h="16838" w:orient="portrait"/>
          <w:cols w:equalWidth="0" w:num="1">
            <w:col w:w="11420"/>
          </w:cols>
          <w:pgMar w:left="240" w:top="126" w:right="239" w:bottom="171"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171" w:gutter="0" w:footer="0" w:header="0"/>
          <w:type w:val="continuous"/>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2017 and 2016, the changes in Level 3 assets and liabilities measured at fair value on a recurring basis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0" w:type="dxa"/>
            <w:vAlign w:val="bottom"/>
          </w:tcPr>
          <w:p>
            <w:pPr>
              <w:spacing w:after="0"/>
              <w:rPr>
                <w:sz w:val="1"/>
                <w:szCs w:val="1"/>
                <w:color w:val="auto"/>
              </w:rPr>
            </w:pPr>
          </w:p>
        </w:tc>
      </w:tr>
      <w:tr>
        <w:trPr>
          <w:trHeight w:val="253"/>
        </w:trPr>
        <w:tc>
          <w:tcPr>
            <w:tcW w:w="6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xml:space="preserve">Servicing Rights </w:t>
            </w:r>
            <w:r>
              <w:rPr>
                <w:rFonts w:ascii="Times New Roman" w:cs="Times New Roman" w:eastAsia="Times New Roman" w:hAnsi="Times New Roman"/>
                <w:sz w:val="17"/>
                <w:szCs w:val="17"/>
                <w:b w:val="1"/>
                <w:bCs w:val="1"/>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Liabilities </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2017</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July 1, 2017</w:t>
            </w:r>
          </w:p>
        </w:tc>
        <w:tc>
          <w:tcPr>
            <w:tcW w:w="2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1,548</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1,369</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1,561</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1,509</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Unrealized Net Gains (Losses) Included in Net Income</w:t>
            </w:r>
          </w:p>
        </w:tc>
        <w:tc>
          <w:tcPr>
            <w:tcW w:w="2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Related to Assets Still Held as of September 30, 2017</w:t>
            </w:r>
          </w:p>
        </w:tc>
        <w:tc>
          <w:tcPr>
            <w:tcW w:w="2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2016</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July 1, 2016</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1,819</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1,908</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4,149</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2016</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1,740</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Unrealized Net Gains (Losses) Included in Net Income</w:t>
            </w:r>
          </w:p>
        </w:tc>
        <w:tc>
          <w:tcPr>
            <w:tcW w:w="2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Related to Assets Still Held as of September 30, 2016</w:t>
            </w:r>
          </w:p>
        </w:tc>
        <w:tc>
          <w:tcPr>
            <w:tcW w:w="2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January 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4,469</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2017</w:t>
            </w:r>
          </w:p>
        </w:tc>
        <w:tc>
          <w:tcPr>
            <w:tcW w:w="2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1,509</w:t>
            </w:r>
          </w:p>
        </w:tc>
        <w:tc>
          <w:tcPr>
            <w:tcW w:w="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Unrealized Net Gains (Losses) Included in Net Income</w:t>
            </w:r>
          </w:p>
        </w:tc>
        <w:tc>
          <w:tcPr>
            <w:tcW w:w="2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Related to Assets Still Held as of September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January 1, 2016</w:t>
            </w:r>
          </w:p>
        </w:tc>
        <w:tc>
          <w:tcPr>
            <w:tcW w:w="2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1,970</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8,003</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2016</w:t>
            </w:r>
          </w:p>
        </w:tc>
        <w:tc>
          <w:tcPr>
            <w:tcW w:w="2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1,740</w:t>
            </w:r>
          </w:p>
        </w:tc>
        <w:tc>
          <w:tcPr>
            <w:tcW w:w="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Unrealized Net Gains (Losses) Included in Net Income</w:t>
            </w:r>
          </w:p>
        </w:tc>
        <w:tc>
          <w:tcPr>
            <w:tcW w:w="2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Related to Assets Still Held as of September 30, 2016</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80" w:hanging="72"/>
        <w:spacing w:after="0"/>
        <w:tabs>
          <w:tab w:leader="none" w:pos="8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Realized and unrealized gains and losses related to mortgage servicing rights are reported as a component of mortgage banking income in the Company’s consolidated statements of income.</w:t>
      </w:r>
    </w:p>
    <w:p>
      <w:pPr>
        <w:spacing w:after="0" w:line="17" w:lineRule="exact"/>
        <w:rPr>
          <w:sz w:val="20"/>
          <w:szCs w:val="20"/>
          <w:color w:val="auto"/>
        </w:rPr>
      </w:pPr>
    </w:p>
    <w:p>
      <w:pPr>
        <w:ind w:left="80" w:right="140" w:hanging="72"/>
        <w:spacing w:after="0" w:line="258" w:lineRule="auto"/>
        <w:tabs>
          <w:tab w:leader="none" w:pos="8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or nonrecurring basis as of September 30, 2017 and December 31, 2016, the significant unobservable inputs used in the fair value measurements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2"/>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7"/>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2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Dec. 31,</w:t>
            </w:r>
          </w:p>
        </w:tc>
      </w:tr>
      <w:tr>
        <w:trPr>
          <w:trHeight w:val="240"/>
        </w:trPr>
        <w:tc>
          <w:tcPr>
            <w:tcW w:w="2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2017</w:t>
            </w:r>
          </w:p>
        </w:tc>
        <w:tc>
          <w:tcPr>
            <w:tcW w:w="9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69"/>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4"/>
                <w:szCs w:val="14"/>
                <w:color w:val="auto"/>
              </w:rPr>
              <w:t xml:space="preserve">Constant Prepayment Rate </w:t>
            </w:r>
            <w:r>
              <w:rPr>
                <w:rFonts w:ascii="Times New Roman" w:cs="Times New Roman" w:eastAsia="Times New Roman" w:hAnsi="Times New Roman"/>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9.21%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25,270</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26,803</w:t>
            </w:r>
          </w:p>
        </w:tc>
      </w:tr>
      <w:tr>
        <w:trPr>
          <w:trHeight w:val="265"/>
        </w:trPr>
        <w:tc>
          <w:tcPr>
            <w:tcW w:w="27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360" w:type="dxa"/>
            <w:vAlign w:val="bottom"/>
          </w:tcPr>
          <w:p>
            <w:pPr>
              <w:jc w:val="right"/>
              <w:ind w:right="164"/>
              <w:spacing w:after="0"/>
              <w:rPr>
                <w:sz w:val="20"/>
                <w:szCs w:val="20"/>
                <w:color w:val="auto"/>
              </w:rPr>
            </w:pPr>
            <w:r>
              <w:rPr>
                <w:rFonts w:ascii="Times New Roman" w:cs="Times New Roman" w:eastAsia="Times New Roman" w:hAnsi="Times New Roman"/>
                <w:sz w:val="14"/>
                <w:szCs w:val="14"/>
                <w:color w:val="auto"/>
              </w:rPr>
              <w:t xml:space="preserve">Discount Rate </w:t>
            </w:r>
            <w:r>
              <w:rPr>
                <w:rFonts w:ascii="Times New Roman" w:cs="Times New Roman" w:eastAsia="Times New Roman" w:hAnsi="Times New Roman"/>
                <w:sz w:val="8"/>
                <w:szCs w:val="8"/>
                <w:color w:val="auto"/>
              </w:rPr>
              <w:t>2</w:t>
            </w:r>
          </w:p>
        </w:tc>
        <w:tc>
          <w:tcPr>
            <w:tcW w:w="1220" w:type="dxa"/>
            <w:vAlign w:val="bottom"/>
          </w:tcPr>
          <w:p>
            <w:pPr>
              <w:jc w:val="right"/>
              <w:ind w:right="225"/>
              <w:spacing w:after="0"/>
              <w:rPr>
                <w:sz w:val="20"/>
                <w:szCs w:val="20"/>
                <w:color w:val="auto"/>
              </w:rPr>
            </w:pPr>
            <w:r>
              <w:rPr>
                <w:rFonts w:ascii="Times New Roman" w:cs="Times New Roman" w:eastAsia="Times New Roman" w:hAnsi="Times New Roman"/>
                <w:sz w:val="14"/>
                <w:szCs w:val="14"/>
                <w:color w:val="auto"/>
              </w:rPr>
              <w:t>8.89%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278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5"/>
        </w:trPr>
        <w:tc>
          <w:tcPr>
            <w:tcW w:w="2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Derivative Assets and Liabilities:</w:t>
            </w:r>
          </w:p>
        </w:tc>
        <w:tc>
          <w:tcPr>
            <w:tcW w:w="20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5"/>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4"/>
                <w:szCs w:val="14"/>
                <w:color w:val="auto"/>
              </w:rPr>
              <w:t>93.40%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958</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1,067</w:t>
            </w:r>
          </w:p>
        </w:tc>
      </w:tr>
      <w:tr>
        <w:trPr>
          <w:trHeight w:val="260"/>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Rate Swap Agreements</w:t>
            </w:r>
          </w:p>
        </w:tc>
        <w:tc>
          <w:tcPr>
            <w:tcW w:w="2040" w:type="dxa"/>
            <w:vAlign w:val="bottom"/>
          </w:tcPr>
          <w:p>
            <w:pPr>
              <w:jc w:val="right"/>
              <w:ind w:right="64"/>
              <w:spacing w:after="0"/>
              <w:rPr>
                <w:sz w:val="20"/>
                <w:szCs w:val="20"/>
                <w:color w:val="auto"/>
              </w:rPr>
            </w:pPr>
            <w:r>
              <w:rPr>
                <w:rFonts w:ascii="Times New Roman" w:cs="Times New Roman" w:eastAsia="Times New Roman" w:hAnsi="Times New Roman"/>
                <w:sz w:val="14"/>
                <w:szCs w:val="14"/>
                <w:color w:val="auto"/>
              </w:rPr>
              <w:t>Discounted Cash Flow</w:t>
            </w:r>
          </w:p>
        </w:tc>
        <w:tc>
          <w:tcPr>
            <w:tcW w:w="2360" w:type="dxa"/>
            <w:vAlign w:val="bottom"/>
          </w:tcPr>
          <w:p>
            <w:pPr>
              <w:jc w:val="right"/>
              <w:ind w:right="164"/>
              <w:spacing w:after="0"/>
              <w:rPr>
                <w:sz w:val="20"/>
                <w:szCs w:val="20"/>
                <w:color w:val="auto"/>
              </w:rPr>
            </w:pPr>
            <w:r>
              <w:rPr>
                <w:rFonts w:ascii="Times New Roman" w:cs="Times New Roman" w:eastAsia="Times New Roman" w:hAnsi="Times New Roman"/>
                <w:sz w:val="14"/>
                <w:szCs w:val="14"/>
                <w:color w:val="auto"/>
              </w:rPr>
              <w:t>Credit Factor</w:t>
            </w:r>
          </w:p>
        </w:tc>
        <w:tc>
          <w:tcPr>
            <w:tcW w:w="1220" w:type="dxa"/>
            <w:vAlign w:val="bottom"/>
          </w:tcPr>
          <w:p>
            <w:pPr>
              <w:jc w:val="right"/>
              <w:ind w:right="225"/>
              <w:spacing w:after="0"/>
              <w:rPr>
                <w:sz w:val="20"/>
                <w:szCs w:val="20"/>
                <w:color w:val="auto"/>
              </w:rPr>
            </w:pPr>
            <w:r>
              <w:rPr>
                <w:rFonts w:ascii="Times New Roman" w:cs="Times New Roman" w:eastAsia="Times New Roman" w:hAnsi="Times New Roman"/>
                <w:sz w:val="14"/>
                <w:szCs w:val="14"/>
                <w:color w:val="auto"/>
              </w:rPr>
              <w:t>0.16%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4"/>
                <w:szCs w:val="14"/>
                <w:color w:val="auto"/>
              </w:rPr>
              <w:t>357</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bl>
    <w:p>
      <w:pPr>
        <w:spacing w:after="0" w:line="95" w:lineRule="exact"/>
        <w:rPr>
          <w:sz w:val="20"/>
          <w:szCs w:val="20"/>
          <w:color w:val="auto"/>
        </w:rPr>
      </w:pPr>
    </w:p>
    <w:p>
      <w:pPr>
        <w:ind w:left="80" w:hanging="72"/>
        <w:spacing w:after="0"/>
        <w:tabs>
          <w:tab w:leader="none" w:pos="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annualized loan repayment rate assumption.</w:t>
      </w:r>
    </w:p>
    <w:p>
      <w:pPr>
        <w:spacing w:after="0" w:line="17" w:lineRule="exact"/>
        <w:rPr>
          <w:sz w:val="20"/>
          <w:szCs w:val="20"/>
          <w:color w:val="auto"/>
        </w:rPr>
      </w:pPr>
    </w:p>
    <w:p>
      <w:pPr>
        <w:ind w:left="80" w:hanging="72"/>
        <w:spacing w:after="0"/>
        <w:tabs>
          <w:tab w:leader="none" w:pos="8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1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fair value and constant prepayment rate are also compared to forward-looking estimates to assess reasonableness. The Treasury Division also compares the fair value of the Company’s mortgage servicing rights to a value calculated by an independent third party. 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our secondary marketing system using historical data and the ratio is periodically reviewed by the Company’s Secondary Marketing Department of the Mortgage Banking Division for reasonableness.</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 a nonrecurring basis as of September 30, 2017. There were no assets measured at fair value on a nonrecurring basis as of December 31, 2016.</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Valuation</w:t>
            </w:r>
          </w:p>
        </w:tc>
      </w:tr>
      <w:tr>
        <w:trPr>
          <w:trHeight w:val="240"/>
        </w:trPr>
        <w:tc>
          <w:tcPr>
            <w:tcW w:w="5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24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 Servicing Rights - amortization method</w:t>
            </w:r>
          </w:p>
        </w:tc>
        <w:tc>
          <w:tcPr>
            <w:tcW w:w="2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Level 3</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22,927</w:t>
            </w:r>
          </w:p>
        </w:tc>
        <w:tc>
          <w:tcPr>
            <w:tcW w:w="6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r>
    </w:tbl>
    <w:p>
      <w:pPr>
        <w:spacing w:after="0" w:line="23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unpaid principal balance of the Company’s residential mortgage loans held for sale as of September 30, 2017 and December 31,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Aggregate Fair Value</w:t>
            </w:r>
          </w:p>
        </w:tc>
      </w:t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Less Aggregate</w:t>
            </w:r>
          </w:p>
        </w:tc>
      </w:tr>
      <w:tr>
        <w:trPr>
          <w:trHeight w:val="240"/>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Unpaid Principal</w:t>
            </w:r>
          </w:p>
        </w:tc>
        <w:tc>
          <w:tcPr>
            <w:tcW w:w="19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Unpaid Principal</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Loans Held for Sale</w:t>
            </w:r>
          </w:p>
        </w:tc>
        <w:tc>
          <w:tcPr>
            <w:tcW w:w="2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9,752</w:t>
            </w: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9,458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Loans Held for Sale</w:t>
            </w:r>
          </w:p>
        </w:tc>
        <w:tc>
          <w:tcPr>
            <w:tcW w:w="2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62,499</w:t>
            </w:r>
          </w:p>
        </w:tc>
        <w:tc>
          <w:tcPr>
            <w:tcW w:w="6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61,782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717</w:t>
            </w:r>
          </w:p>
        </w:tc>
      </w:tr>
      <w:tr>
        <w:trPr>
          <w:trHeight w:val="33"/>
        </w:trPr>
        <w:tc>
          <w:tcPr>
            <w:tcW w:w="3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Changes in the estimated fair value of residential mortgage loans held for sale are reported as a component of mortgage banking income in the Company’s consolidated statements of income. For the three and nine months ended September 30, 2017 and 2016, the net gains or losses from the change in fair value of the Company’s residential mortgage loans held for sale were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below are expected to approximate those that market participants would use in valuing these financial instruments.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Held-to-Maturity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investment securities held-to-maturity was primarily measured using information from a third-party pricing service. Level 1 investment securities are comprised of debt securities issued by the U.S. Treasury as quoted prices were available, unadjusted, for identical securities in active markets. If quoted prices were not available,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loans was estimated by discounting the expected future cash flows using the current interest rates at which similar loans would be made to borrowers with similar credit ratings and for the same remaining maturities. Loans were first segregated by type such as commercial, real estate, and consumer, and were then further segmented into fixed and variable rate. Expected future cash flows were projected based on contractual cash flows, adjusted for estimated prepayments.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 Deposits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Company’s time deposits was calculated using discounted cash flow analyses, applying discount rates based on market yield curve rates for similar maturities. The fair values of the Company’s time deposit liabilities do not take into consideration the value of the Company’s long-term relationships with depositors, which may have significant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securities sold under agreements to repurchase was calculated using discounted cash flow analyses, applying discount rates based on market yield curve rates for similar maturities.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other debt was calculated using a discounted cash flow analyses, applying discount rates based on market yield curve rates for similar maturities.</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20"/>
          </w:cols>
          <w:pgMar w:left="240" w:top="126" w:right="33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following presents the carrying amount, fair value, and placement in the fair value hierarchy of the Company’s financial instruments not recorded at fair value on a recurring basis as of September 30, 2017 and December 31, 2016.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1"/>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1" w:lineRule="exact"/>
              <w:rPr>
                <w:sz w:val="20"/>
                <w:szCs w:val="20"/>
                <w:color w:val="auto"/>
              </w:rPr>
            </w:pPr>
            <w:r>
              <w:rPr>
                <w:rFonts w:ascii="Times New Roman" w:cs="Times New Roman" w:eastAsia="Times New Roman" w:hAnsi="Times New Roman"/>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r>
      <w:tr>
        <w:trPr>
          <w:trHeight w:val="202"/>
        </w:trPr>
        <w:tc>
          <w:tcPr>
            <w:tcW w:w="3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56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6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tcBorders>
              <w:bottom w:val="single" w:sz="8" w:color="BFE4FF"/>
            </w:tcBorders>
            <w:shd w:val="clear" w:color="auto" w:fill="BFE4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3,960,598</w:t>
            </w:r>
          </w:p>
        </w:tc>
        <w:tc>
          <w:tcPr>
            <w:tcW w:w="460" w:type="dxa"/>
            <w:vAlign w:val="bottom"/>
            <w:tcBorders>
              <w:bottom w:val="single" w:sz="8" w:color="BFE4FF"/>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Times New Roman" w:cs="Times New Roman" w:eastAsia="Times New Roman" w:hAnsi="Times New Roman"/>
                <w:sz w:val="16"/>
                <w:szCs w:val="16"/>
                <w:color w:val="auto"/>
              </w:rPr>
              <w:t>3,960,956</w:t>
            </w:r>
          </w:p>
        </w:tc>
        <w:tc>
          <w:tcPr>
            <w:tcW w:w="260" w:type="dxa"/>
            <w:vAlign w:val="bottom"/>
            <w:tcBorders>
              <w:bottom w:val="single" w:sz="8" w:color="BFE4FF"/>
            </w:tcBorders>
            <w:shd w:val="clear" w:color="auto" w:fill="BFE4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Times New Roman" w:cs="Times New Roman" w:eastAsia="Times New Roman" w:hAnsi="Times New Roman"/>
                <w:sz w:val="16"/>
                <w:szCs w:val="16"/>
                <w:color w:val="auto"/>
              </w:rPr>
              <w:t>424,731</w:t>
            </w:r>
          </w:p>
        </w:tc>
        <w:tc>
          <w:tcPr>
            <w:tcW w:w="380" w:type="dxa"/>
            <w:vAlign w:val="bottom"/>
            <w:tcBorders>
              <w:bottom w:val="single" w:sz="8" w:color="BFE4FF"/>
            </w:tcBorders>
            <w:shd w:val="clear" w:color="auto" w:fill="BFE4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3,536,225</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3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9,193,837</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9,361,879</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9,361,879</w:t>
            </w:r>
          </w:p>
        </w:tc>
      </w:tr>
      <w:tr>
        <w:trPr>
          <w:trHeight w:val="271"/>
        </w:trPr>
        <w:tc>
          <w:tcPr>
            <w:tcW w:w="3820" w:type="dxa"/>
            <w:vAlign w:val="bottom"/>
            <w:shd w:val="clear" w:color="auto" w:fill="BFE4FF"/>
          </w:tcPr>
          <w:p>
            <w:pPr>
              <w:spacing w:after="0"/>
              <w:rPr>
                <w:sz w:val="23"/>
                <w:szCs w:val="23"/>
                <w:color w:val="auto"/>
              </w:rPr>
            </w:pP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spacing w:after="0"/>
              <w:rPr>
                <w:sz w:val="23"/>
                <w:szCs w:val="23"/>
                <w:color w:val="auto"/>
              </w:rPr>
            </w:pP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spacing w:after="0"/>
              <w:rPr>
                <w:sz w:val="23"/>
                <w:szCs w:val="23"/>
                <w:color w:val="auto"/>
              </w:rPr>
            </w:pP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6"/>
                <w:szCs w:val="16"/>
                <w:color w:val="auto"/>
              </w:rPr>
              <w:t>Time Deposits</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1,962,092</w:t>
            </w: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Times New Roman" w:cs="Times New Roman" w:eastAsia="Times New Roman" w:hAnsi="Times New Roman"/>
                <w:sz w:val="16"/>
                <w:szCs w:val="16"/>
                <w:color w:val="auto"/>
              </w:rPr>
              <w:t>1,956,957</w:t>
            </w: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1,956,957</w:t>
            </w: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505,293</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505,278</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505,278</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2</w:t>
            </w: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257,153</w:t>
            </w: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jc w:val="right"/>
              <w:ind w:right="279"/>
              <w:spacing w:after="0"/>
              <w:rPr>
                <w:sz w:val="20"/>
                <w:szCs w:val="20"/>
                <w:color w:val="auto"/>
              </w:rPr>
            </w:pPr>
            <w:r>
              <w:rPr>
                <w:rFonts w:ascii="Times New Roman" w:cs="Times New Roman" w:eastAsia="Times New Roman" w:hAnsi="Times New Roman"/>
                <w:sz w:val="16"/>
                <w:szCs w:val="16"/>
                <w:color w:val="auto"/>
              </w:rPr>
              <w:t>256,548</w:t>
            </w: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256,548</w:t>
            </w: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tcBorders>
              <w:bottom w:val="single" w:sz="8" w:color="BFE4FF"/>
            </w:tcBorders>
            <w:shd w:val="clear" w:color="auto" w:fill="BFE4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3,832,997</w:t>
            </w:r>
          </w:p>
        </w:tc>
        <w:tc>
          <w:tcPr>
            <w:tcW w:w="460" w:type="dxa"/>
            <w:vAlign w:val="bottom"/>
            <w:tcBorders>
              <w:bottom w:val="single" w:sz="8" w:color="BFE4FF"/>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Times New Roman" w:cs="Times New Roman" w:eastAsia="Times New Roman" w:hAnsi="Times New Roman"/>
                <w:sz w:val="16"/>
                <w:szCs w:val="16"/>
                <w:color w:val="auto"/>
              </w:rPr>
              <w:t>3,827,527</w:t>
            </w:r>
          </w:p>
        </w:tc>
        <w:tc>
          <w:tcPr>
            <w:tcW w:w="260" w:type="dxa"/>
            <w:vAlign w:val="bottom"/>
            <w:tcBorders>
              <w:bottom w:val="single" w:sz="8" w:color="BFE4FF"/>
            </w:tcBorders>
            <w:shd w:val="clear" w:color="auto" w:fill="BFE4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Times New Roman" w:cs="Times New Roman" w:eastAsia="Times New Roman" w:hAnsi="Times New Roman"/>
                <w:sz w:val="16"/>
                <w:szCs w:val="16"/>
                <w:color w:val="auto"/>
              </w:rPr>
              <w:t>530,940</w:t>
            </w:r>
          </w:p>
        </w:tc>
        <w:tc>
          <w:tcPr>
            <w:tcW w:w="380" w:type="dxa"/>
            <w:vAlign w:val="bottom"/>
            <w:tcBorders>
              <w:bottom w:val="single" w:sz="8" w:color="BFE4FF"/>
            </w:tcBorders>
            <w:shd w:val="clear" w:color="auto" w:fill="BFE4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3,296,587</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3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8,583,726</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8,743,191</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8,743,191</w:t>
            </w:r>
          </w:p>
        </w:tc>
      </w:tr>
      <w:tr>
        <w:trPr>
          <w:trHeight w:val="271"/>
        </w:trPr>
        <w:tc>
          <w:tcPr>
            <w:tcW w:w="3820" w:type="dxa"/>
            <w:vAlign w:val="bottom"/>
            <w:shd w:val="clear" w:color="auto" w:fill="BFE4FF"/>
          </w:tcPr>
          <w:p>
            <w:pPr>
              <w:spacing w:after="0"/>
              <w:rPr>
                <w:sz w:val="23"/>
                <w:szCs w:val="23"/>
                <w:color w:val="auto"/>
              </w:rPr>
            </w:pP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spacing w:after="0"/>
              <w:rPr>
                <w:sz w:val="23"/>
                <w:szCs w:val="23"/>
                <w:color w:val="auto"/>
              </w:rPr>
            </w:pP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spacing w:after="0"/>
              <w:rPr>
                <w:sz w:val="23"/>
                <w:szCs w:val="23"/>
                <w:color w:val="auto"/>
              </w:rPr>
            </w:pP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6"/>
                <w:szCs w:val="16"/>
                <w:color w:val="auto"/>
              </w:rPr>
              <w:t>Time Deposits</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1,217,707</w:t>
            </w: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Times New Roman" w:cs="Times New Roman" w:eastAsia="Times New Roman" w:hAnsi="Times New Roman"/>
                <w:sz w:val="16"/>
                <w:szCs w:val="16"/>
                <w:color w:val="auto"/>
              </w:rPr>
              <w:t>1,213,705</w:t>
            </w: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1,213,705</w:t>
            </w: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523,378</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523,374</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523,374</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BFE4FF"/>
          </w:tcPr>
          <w:p>
            <w:pPr>
              <w:ind w:left="28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2</w:t>
            </w: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6"/>
                <w:szCs w:val="16"/>
                <w:color w:val="auto"/>
              </w:rPr>
              <w:t>257,153</w:t>
            </w: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jc w:val="right"/>
              <w:ind w:right="279"/>
              <w:spacing w:after="0"/>
              <w:rPr>
                <w:sz w:val="20"/>
                <w:szCs w:val="20"/>
                <w:color w:val="auto"/>
              </w:rPr>
            </w:pPr>
            <w:r>
              <w:rPr>
                <w:rFonts w:ascii="Times New Roman" w:cs="Times New Roman" w:eastAsia="Times New Roman" w:hAnsi="Times New Roman"/>
                <w:sz w:val="16"/>
                <w:szCs w:val="16"/>
                <w:color w:val="auto"/>
              </w:rPr>
              <w:t>256,718</w:t>
            </w: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220"/>
              <w:spacing w:after="0"/>
              <w:rPr>
                <w:sz w:val="20"/>
                <w:szCs w:val="20"/>
                <w:color w:val="auto"/>
              </w:rPr>
            </w:pPr>
            <w:r>
              <w:rPr>
                <w:rFonts w:ascii="Times New Roman" w:cs="Times New Roman" w:eastAsia="Times New Roman" w:hAnsi="Times New Roman"/>
                <w:sz w:val="16"/>
                <w:szCs w:val="16"/>
                <w:color w:val="auto"/>
              </w:rPr>
              <w:t>256,718</w:t>
            </w: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bl>
    <w:p>
      <w:pPr>
        <w:spacing w:after="0" w:line="8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of unearned income and the Allowance.</w:t>
      </w:r>
    </w:p>
    <w:p>
      <w:pPr>
        <w:spacing w:after="0" w:line="17"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the current administration’s review of potential changes to such initiatives;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or the interpretation of such laws and regulations; 10) 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2016,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26" w:right="25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7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Our business strategy is to use our unique market knowledge, prudent management discipline and brand strength to deliver exceptional value to our stakeholders.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Hawaii Economy</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General economic conditions in Hawaii remained positive during the third quarter of 2017 due to a continuation of the strong tourism market, active construction industry, low unemployment, and robust real estate market. For the first eight months of 2017, total visitor arrivals increased 4.7% while total visitor spending increased 8.5% compared to the same period in 2016. The Hawaii statewide seasonally-adjusted unemployment rate was 2.5% in September 2017 compared to 4.2% nationally. For the first nine months of 2017, the volume of single-family home sales on Oahu increased 5.0%, while the volume of condominium sales on Oahu increased 5.8% compared with the same period in 2016. The median price of single-family home sales and condominium sales on Oahu increased 3.4% and 5.4%, respectively, for the first nine months of 2017 compared to the same period in 2016. As of September 30, 2017, months of inventory of single-family homes and condominiums on Oahu remained low at 2.4 months and 2.6 months,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Summary</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income for the third quarter of 2017 was $45.9 million, an increase of $2.4 million or 5% compared to the same period in 2016. Diluted earnings per share was $1.08 for the third quarter of 2017, an increase of $0.06 or 6% compared to the same period in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higher earnings for the third quarter of 2017 were primarily due to the following:</w:t>
      </w:r>
    </w:p>
    <w:p>
      <w:pPr>
        <w:spacing w:after="0" w:line="225" w:lineRule="exact"/>
        <w:rPr>
          <w:sz w:val="20"/>
          <w:szCs w:val="20"/>
          <w:color w:val="auto"/>
        </w:rPr>
      </w:pPr>
    </w:p>
    <w:p>
      <w:pPr>
        <w:ind w:left="340" w:hanging="332"/>
        <w:spacing w:after="0" w:line="255"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for the third quarter of 2017 was $116.3 million, an increase of $12.4 million or 12% compared to the same period in 2016. This increase was primarily due to a higher level of earning assets, including growth in both our commercial and consumer lending portfolios, combined with a higher net interest margin. The higher level of earning assets was primarily funded by higher deposit balances. Our net interest margin was 2.92% in the third quarter of 2017, an increase of 12 basis points compared to the same period in 2016. The higher margin in 2017 was primarily due to our loans, which generally have higher yields than our investment securities, comprising a larger percentage of our earning assets compared to 2016. In addition, our yields increased, particularly in our commercial loans and investments portfolio. This increase was partially offset by an increase in rates offered on our deposit products.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partially offset by the following:</w:t>
      </w:r>
    </w:p>
    <w:p>
      <w:pPr>
        <w:spacing w:after="0" w:line="144" w:lineRule="exact"/>
        <w:rPr>
          <w:sz w:val="20"/>
          <w:szCs w:val="20"/>
          <w:color w:val="auto"/>
        </w:rPr>
      </w:pPr>
    </w:p>
    <w:p>
      <w:pPr>
        <w:ind w:left="340" w:right="6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banking income for the third quarter of 2017 was $3.2 million, a decrease of $3.1 million or 49% compared to the same period in 2016 primarily due to lower loan sales and reduced margins on those sales.</w:t>
      </w:r>
    </w:p>
    <w:p>
      <w:pPr>
        <w:spacing w:after="0" w:line="80"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income for the third quarter of 2017 was $3.4 million, a decrease of $1.5 million or 30% compared to the same period in 2016 primarily due to $1.6 million in fees received in the third quarter of 2016 related to our customer interest rate swap derivatives.</w:t>
      </w:r>
    </w:p>
    <w:p>
      <w:pPr>
        <w:spacing w:after="0" w:line="80"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for the third quarter of 2017 was $51.6 million, an increase of $1.9 million or 4% compared to the same period in 2016 primarily due to $2.1 million of separation expense.</w:t>
      </w:r>
    </w:p>
    <w:p>
      <w:pPr>
        <w:spacing w:after="0" w:line="80" w:lineRule="exact"/>
        <w:rPr>
          <w:rFonts w:ascii="Times New Roman" w:cs="Times New Roman" w:eastAsia="Times New Roman" w:hAnsi="Times New Roman"/>
          <w:sz w:val="18"/>
          <w:szCs w:val="18"/>
          <w:color w:val="auto"/>
        </w:rPr>
      </w:pPr>
    </w:p>
    <w:p>
      <w:pPr>
        <w:ind w:left="340" w:right="400" w:hanging="332"/>
        <w:spacing w:after="0" w:line="313" w:lineRule="auto"/>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 for income taxes for the third quarter of 2017 was $20.2 million, an increase of $1.7 million or 9% compared to the same period in 2016 primarily due to higher pretax income. The effective tax rate for the third quarter of 2017 was 30.62%, up from 29.84% for the same period in 2016.</w:t>
      </w:r>
    </w:p>
    <w:p>
      <w:pPr>
        <w:spacing w:after="0" w:line="57" w:lineRule="exact"/>
        <w:rPr>
          <w:rFonts w:ascii="Times New Roman" w:cs="Times New Roman" w:eastAsia="Times New Roman" w:hAnsi="Times New Roman"/>
          <w:sz w:val="17"/>
          <w:szCs w:val="17"/>
          <w:color w:val="auto"/>
        </w:rPr>
      </w:pPr>
    </w:p>
    <w:p>
      <w:pPr>
        <w:ind w:left="340" w:right="2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credit losses for the third quarter of 2017 was $4.0 million, an increase of $1.5 million compared to the same period in 2016. The level of the provision recorded is reflective of our evaluation of the adequacy of the Allowance.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income for the first nine months of 2017 was $141.7 million, an increase of $3.8 million or 3% compared to the same period in 2016. Diluted earnings per share was $3.32 for the first nine months of 2017, an increase of $0.11 or 3% compared to the same period in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higher earnings for the first nine months of 2017 were primarily due to the following:</w:t>
      </w:r>
    </w:p>
    <w:p>
      <w:pPr>
        <w:spacing w:after="0" w:line="225" w:lineRule="exact"/>
        <w:rPr>
          <w:sz w:val="20"/>
          <w:szCs w:val="20"/>
          <w:color w:val="auto"/>
        </w:rPr>
      </w:pPr>
    </w:p>
    <w:p>
      <w:pPr>
        <w:ind w:left="340" w:right="100" w:hanging="332"/>
        <w:spacing w:after="0" w:line="277" w:lineRule="auto"/>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income for the first nine months of 2017 was $338.5 million, an increase of $28.0 million or 9% compared to the same period in 2016. This increase was primarily due to a higher level of earning assets, including growth in both our commercial and consumer lending portfolios, combined with a higher net interest margin. The higher level of earning assets was primarily funded by higher deposit balances. Our net interest margin was 2.91% for the first nine months of 2017, an increase of 7 basis points compared to the same period in 2016. The higher margin in 2017 was primarily due to our loans, which generally have higher yields than our investment securities, comprising a larger percentage of our earning assets compared to 2016.</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partially offset by the following:</w:t>
      </w:r>
    </w:p>
    <w:p>
      <w:pPr>
        <w:spacing w:after="0" w:line="225" w:lineRule="exact"/>
        <w:rPr>
          <w:sz w:val="20"/>
          <w:szCs w:val="20"/>
          <w:color w:val="auto"/>
        </w:rPr>
      </w:pPr>
    </w:p>
    <w:p>
      <w:pPr>
        <w:ind w:left="340" w:right="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credit losses for the first nine months of 2017 was $12.7 million compared to a $1.5 million provision in the same period in 2016. The level of the provision recorded is reflective of our evaluation of the adequacy of the Allowance.</w:t>
      </w:r>
    </w:p>
    <w:p>
      <w:pPr>
        <w:spacing w:after="0" w:line="80"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banking income for the first nine months of 2017 was $10.4 million, a decrease of $3.3 million or 24% compared to the same period in 2016 primarily due to lower loan sales and reduced margins on those sales.</w:t>
      </w:r>
    </w:p>
    <w:p>
      <w:pPr>
        <w:spacing w:after="0" w:line="80"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noninterest income for the first nine months of 2017 was $11.8 million, a decrease of $2.8 million or 19% compared to the same period in 2016 primarily due to a $1.8 million decrease in fees for our customer interest rate swap derivatives, and a $1.5 million decrease in net gain on sale of leased assets. This decrease was partially offset by a $0.4 million increase in profit from foreign exchange contracts.</w:t>
      </w:r>
    </w:p>
    <w:p>
      <w:pPr>
        <w:spacing w:after="0" w:line="9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salaries and benefits for the first nine months of 2017 was $153.3 million, an increase of $2.8 million or 2% compared to the same period in 2016. Salaries increased by $3.9 million primarily due to merit increases. In addition, separation expense increased by $1.3 million. These increases were partially offset by a $1.9 million decrease in incentive compensation and a $0.9 million decrease in share-based compensation.</w:t>
      </w:r>
    </w:p>
    <w:p>
      <w:pPr>
        <w:spacing w:after="0" w:line="9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occupancy expense for the first nine months of 2017 was $24.0 million, an increase of $1.4 million or 6% compared to the same period in 2016. This increase was primarily due to a $2.4 million decrease in net gain on sale of real estate property, partially offset by a $0.7 million decrease in net rental expense primarily due to an increase in sublease rental income.</w:t>
      </w:r>
    </w:p>
    <w:p>
      <w:pPr>
        <w:spacing w:after="0" w:line="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maintained a strong balance sheet during the third quarter of 2017, with what we believe are adequate reserves for credit losses and high levels of liquidity and capital.</w:t>
      </w:r>
    </w:p>
    <w:p>
      <w:pPr>
        <w:spacing w:after="0" w:line="81" w:lineRule="exact"/>
        <w:rPr>
          <w:sz w:val="20"/>
          <w:szCs w:val="20"/>
          <w:color w:val="auto"/>
        </w:rPr>
      </w:pPr>
    </w:p>
    <w:p>
      <w:pPr>
        <w:ind w:left="340" w:right="8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$9.6 billion as of September 30, 2017, an increase of $624.2 million or 7% from December 31, 2016 primarily due to growth in our consumer lending portfolio.</w:t>
      </w:r>
    </w:p>
    <w:p>
      <w:pPr>
        <w:spacing w:after="0" w:line="80"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loan and lease losses (the “Allowance”) was $106.9 million as of September 30, 2017, an increase of $2.6 million or 3% from December 31, 2016. The Allowance represents 1.12% of total loans and leases outstanding as of September 30, 2017 and 1.17% of total loans and leases outstanding as of December 31, 2016. The level of our Allowance was commensurate with the Company’s credit risk profile, loan portfolio growth and composition, and a healthy Hawaii economy.</w:t>
      </w:r>
    </w:p>
    <w:p>
      <w:pPr>
        <w:spacing w:after="0" w:line="99" w:lineRule="exact"/>
        <w:rPr>
          <w:rFonts w:ascii="Times New Roman" w:cs="Times New Roman" w:eastAsia="Times New Roman" w:hAnsi="Times New Roman"/>
          <w:sz w:val="18"/>
          <w:szCs w:val="18"/>
          <w:color w:val="auto"/>
        </w:rPr>
      </w:pPr>
    </w:p>
    <w:p>
      <w:pPr>
        <w:ind w:left="340" w:right="6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2017, the total carrying value of our investment securities portfolio was $6.3 billion, an increase of $264.2 million or 4% compared to December 31, 2016. During the first nine months of 2017, we primarily increased our holdings in mortgage-backed securities issued by Ginnie Mae and Fannie Mae. In addition, we also increased our holdings in Small Business Administration securities, while decreasing our holdings in U.S. Treasury securities. Ginnie Mae mortgage-backed securities continue to be the largest concentration in our portfolio.</w:t>
      </w:r>
    </w:p>
    <w:p>
      <w:pPr>
        <w:spacing w:after="0" w:line="99"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$15.0 billion as of September 30, 2017, an increase of $727.9 million or 5% from December 31, 2016 primarily due to an increase in time deposits.</w:t>
      </w:r>
    </w:p>
    <w:p>
      <w:pPr>
        <w:spacing w:after="0" w:line="80" w:lineRule="exact"/>
        <w:rPr>
          <w:rFonts w:ascii="Times New Roman" w:cs="Times New Roman" w:eastAsia="Times New Roman" w:hAnsi="Times New Roman"/>
          <w:sz w:val="18"/>
          <w:szCs w:val="18"/>
          <w:color w:val="auto"/>
        </w:rPr>
      </w:pPr>
    </w:p>
    <w:p>
      <w:pPr>
        <w:ind w:left="340" w:right="2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was $1.2 billion as of September 30, 2017, an increase of $66.4 million or 6% from December 31, 2016. We continued to return capital to our shareholders in the form of share repurchases and dividends. During the first nine months of 2017, we acquired 442,007 shares of our common stock at a total cost of $36.4 million under our share repurchase program and from shares obtained from employees and/or directors in connection with income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71" w:lineRule="exact"/>
        <w:rPr>
          <w:sz w:val="20"/>
          <w:szCs w:val="20"/>
          <w:color w:val="auto"/>
        </w:rPr>
      </w:pPr>
    </w:p>
    <w:p>
      <w:pPr>
        <w:ind w:left="340"/>
        <w:spacing w:after="0" w:line="329" w:lineRule="auto"/>
        <w:rPr>
          <w:sz w:val="20"/>
          <w:szCs w:val="20"/>
          <w:color w:val="auto"/>
        </w:rPr>
      </w:pPr>
      <w:r>
        <w:rPr>
          <w:rFonts w:ascii="Times New Roman" w:cs="Times New Roman" w:eastAsia="Times New Roman" w:hAnsi="Times New Roman"/>
          <w:sz w:val="18"/>
          <w:szCs w:val="18"/>
          <w:color w:val="auto"/>
        </w:rPr>
        <w:t>tax withholdings related to the vesting of restricted stock, shares purchased for a deferred compensation plan, and stock swaps, less shares distributed from the deferred compensation plan. We also paid cash dividends of $64.9 million during the first nine months of 2017.</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240" w:top="126" w:right="5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66"/>
        </w:trPr>
        <w:tc>
          <w:tcPr>
            <w:tcW w:w="5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financial highlights are presented in Table 1.</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3"/>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Highlights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60" w:type="dxa"/>
            <w:vAlign w:val="bottom"/>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22"/>
                <w:szCs w:val="22"/>
                <w:color w:val="auto"/>
              </w:rPr>
            </w:pPr>
          </w:p>
        </w:tc>
        <w:tc>
          <w:tcPr>
            <w:tcW w:w="2780" w:type="dxa"/>
            <w:vAlign w:val="bottom"/>
            <w:gridSpan w:val="3"/>
          </w:tcPr>
          <w:p>
            <w:pPr>
              <w:jc w:val="right"/>
              <w:ind w:right="76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74"/>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64"/>
        </w:trPr>
        <w:tc>
          <w:tcPr>
            <w:tcW w:w="52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5"/>
                <w:szCs w:val="15"/>
                <w:color w:val="auto"/>
              </w:rPr>
              <w:t>(dollars in thousands, except per 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2017</w:t>
            </w: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b w:val="1"/>
                <w:bCs w:val="1"/>
                <w:color w:val="auto"/>
              </w:rPr>
              <w:t>2016</w:t>
            </w: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5"/>
                <w:szCs w:val="15"/>
                <w:b w:val="1"/>
                <w:bCs w:val="1"/>
                <w:color w:val="auto"/>
              </w:rPr>
              <w:t>2017</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5"/>
                <w:szCs w:val="15"/>
                <w:b w:val="1"/>
                <w:bCs w:val="1"/>
                <w:color w:val="auto"/>
              </w:rPr>
              <w:t>2016</w:t>
            </w:r>
          </w:p>
        </w:tc>
      </w:tr>
      <w:tr>
        <w:trPr>
          <w:trHeight w:val="227"/>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Interest Income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116,317</w:t>
            </w:r>
          </w:p>
        </w:tc>
        <w:tc>
          <w:tcPr>
            <w:tcW w:w="6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103,912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338,468</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310,486</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4,000</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12,650</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42,410</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48,114</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143,562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150,840</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88,598</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87,532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265,355</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260,989</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45,881</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43,493</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141,719</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137,948</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1.09</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3.35</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3.23</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1.08</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3.32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3.21</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0.52</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0.48</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1.52</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1.41</w:t>
            </w:r>
          </w:p>
        </w:tc>
      </w:tr>
      <w:tr>
        <w:trPr>
          <w:trHeight w:val="140"/>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Return on Average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1.07%</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14.89</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14.89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15.77</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16.09</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Efficiency Ratio </w:t>
            </w:r>
            <w:r>
              <w:rPr>
                <w:rFonts w:ascii="Times New Roman" w:cs="Times New Roman" w:eastAsia="Times New Roman" w:hAnsi="Times New Roman"/>
                <w:sz w:val="8"/>
                <w:szCs w:val="8"/>
                <w:color w:val="auto"/>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55.82</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57.58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55.05</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56.57</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xml:space="preserve">Net Interest Margin </w:t>
            </w:r>
            <w:r>
              <w:rPr>
                <w:rFonts w:ascii="Times New Roman" w:cs="Times New Roman" w:eastAsia="Times New Roman" w:hAnsi="Times New Roman"/>
                <w:sz w:val="8"/>
                <w:szCs w:val="8"/>
                <w:color w:val="auto"/>
              </w:rPr>
              <w:t>2</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2.92</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2.91</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2.84</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Dividend Payout Ratio </w:t>
            </w:r>
            <w:r>
              <w:rPr>
                <w:rFonts w:ascii="Times New Roman" w:cs="Times New Roman" w:eastAsia="Times New Roman" w:hAnsi="Times New Roman"/>
                <w:sz w:val="8"/>
                <w:szCs w:val="8"/>
                <w:color w:val="auto"/>
              </w:rPr>
              <w:t>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47.71</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47.06</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45.37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43.65</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Average Shareholders’ Equity to Average Assets</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7.21</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7.22</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7.30</w:t>
            </w:r>
          </w:p>
        </w:tc>
      </w:tr>
      <w:tr>
        <w:trPr>
          <w:trHeight w:val="140"/>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Average Balances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Loans and Leases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9,451,972</w:t>
            </w:r>
          </w:p>
        </w:tc>
        <w:tc>
          <w:tcPr>
            <w:tcW w:w="6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8,483,588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9,231,615</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8,210,596</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Average Assets</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16,972,202</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15,906,760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16,636,213</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15,695,251</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Deposits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14,727,469</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13,687,186</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14,401,698</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13,492,609</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Average Shareholders’ Equity</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1,222,885</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1,161,655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1,201,850</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1,145,094</w:t>
            </w:r>
          </w:p>
        </w:tc>
      </w:tr>
      <w:tr>
        <w:trPr>
          <w:trHeight w:val="235"/>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Market Price Per Share of Common Stock</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Closing</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83.36</w:t>
            </w:r>
          </w:p>
        </w:tc>
        <w:tc>
          <w:tcPr>
            <w:tcW w:w="6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72.62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83.36</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72.62</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High</w:t>
            </w:r>
          </w:p>
        </w:tc>
        <w:tc>
          <w:tcPr>
            <w:tcW w:w="360" w:type="dxa"/>
            <w:vAlign w:val="bottom"/>
          </w:tcPr>
          <w:p>
            <w:pPr>
              <w:spacing w:after="0"/>
              <w:rPr>
                <w:sz w:val="23"/>
                <w:szCs w:val="23"/>
                <w:color w:val="auto"/>
              </w:rPr>
            </w:pPr>
          </w:p>
        </w:tc>
        <w:tc>
          <w:tcPr>
            <w:tcW w:w="1140" w:type="dxa"/>
            <w:vAlign w:val="bottom"/>
          </w:tcPr>
          <w:p>
            <w:pPr>
              <w:jc w:val="right"/>
              <w:ind w:right="167"/>
              <w:spacing w:after="0"/>
              <w:rPr>
                <w:sz w:val="20"/>
                <w:szCs w:val="20"/>
                <w:color w:val="auto"/>
              </w:rPr>
            </w:pPr>
            <w:r>
              <w:rPr>
                <w:rFonts w:ascii="Times New Roman" w:cs="Times New Roman" w:eastAsia="Times New Roman" w:hAnsi="Times New Roman"/>
                <w:sz w:val="14"/>
                <w:szCs w:val="14"/>
                <w:color w:val="auto"/>
              </w:rPr>
              <w:t>86.19</w:t>
            </w:r>
          </w:p>
        </w:tc>
        <w:tc>
          <w:tcPr>
            <w:tcW w:w="6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73.44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90.80</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73.44</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Low</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4"/>
                <w:szCs w:val="14"/>
                <w:color w:val="auto"/>
              </w:rPr>
              <w:t>74.72</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65.19</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74.72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54.55</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51"/>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28"/>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Period End: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0"/>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Totals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Loans and Leases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9,573,956</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8,949,785</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17,268,302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16,492,367</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Total Deposits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15,048,160</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14,320,240</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Debt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267,887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267,938</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1,227,893</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1,161,537</w:t>
            </w:r>
          </w:p>
        </w:tc>
      </w:tr>
      <w:tr>
        <w:trPr>
          <w:trHeight w:val="235"/>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Non-Performing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17,035</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19,761</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Allowance for Loan and Lease Losses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106,881</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104,273</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Allowance to Loans and Leases Outstanding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Common Equity Tier 1 Capital Ratio</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13.27%</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Tier 1 Capital Ratio</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13.27</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13.24</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Total Capital Ratio</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14.51</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14.49</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Tier 1 Leverage Ratio</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7.24</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7.21</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Total Shareholders’ Equity to Total Assets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7.11</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7.04</w:t>
            </w: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Tangible Common Equity to Tangible Assets </w:t>
            </w:r>
            <w:r>
              <w:rPr>
                <w:rFonts w:ascii="Times New Roman" w:cs="Times New Roman" w:eastAsia="Times New Roman" w:hAnsi="Times New Roman"/>
                <w:sz w:val="8"/>
                <w:szCs w:val="8"/>
                <w:color w:val="auto"/>
              </w:rPr>
              <w:t>4</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6.94</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6.86</w:t>
            </w: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 xml:space="preserve">Tangible Common Equity to Risk-Weighted Assets </w:t>
            </w:r>
            <w:r>
              <w:rPr>
                <w:rFonts w:ascii="Times New Roman" w:cs="Times New Roman" w:eastAsia="Times New Roman" w:hAnsi="Times New Roman"/>
                <w:sz w:val="8"/>
                <w:szCs w:val="8"/>
                <w:color w:val="auto"/>
              </w:rPr>
              <w:t>4</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12.96</w:t>
            </w:r>
          </w:p>
        </w:tc>
        <w:tc>
          <w:tcPr>
            <w:tcW w:w="340" w:type="dxa"/>
            <w:vAlign w:val="bottom"/>
          </w:tcPr>
          <w:p>
            <w:pPr>
              <w:spacing w:after="0"/>
              <w:rPr>
                <w:sz w:val="23"/>
                <w:szCs w:val="23"/>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12.81</w:t>
            </w:r>
          </w:p>
        </w:tc>
      </w:tr>
      <w:tr>
        <w:trPr>
          <w:trHeight w:val="235"/>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65"/>
        </w:trPr>
        <w:tc>
          <w:tcPr>
            <w:tcW w:w="5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Non-Financial Data</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5"/>
        </w:trPr>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Full-Time Equivalent Employees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2,120</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2,122</w:t>
            </w:r>
          </w:p>
        </w:tc>
      </w:tr>
    </w:tbl>
    <w:p>
      <w:pPr>
        <w:sectPr>
          <w:pgSz w:w="11900" w:h="16838" w:orient="portrait"/>
          <w:cols w:equalWidth="0" w:num="1">
            <w:col w:w="11420"/>
          </w:cols>
          <w:pgMar w:left="240" w:top="118"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Branches</w:t>
            </w:r>
          </w:p>
        </w:tc>
        <w:tc>
          <w:tcPr>
            <w:tcW w:w="536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69</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w:t>
            </w:r>
          </w:p>
        </w:tc>
      </w:tr>
      <w:tr>
        <w:trPr>
          <w:trHeight w:val="78"/>
        </w:trPr>
        <w:tc>
          <w:tcPr>
            <w:tcW w:w="500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ATMs</w:t>
            </w:r>
          </w:p>
        </w:tc>
        <w:tc>
          <w:tcPr>
            <w:tcW w:w="536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388</w:t>
            </w:r>
          </w:p>
        </w:tc>
        <w:tc>
          <w:tcPr>
            <w:tcW w:w="10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449</w:t>
            </w:r>
          </w:p>
        </w:tc>
      </w:tr>
    </w:tbl>
    <w:p>
      <w:pPr>
        <w:spacing w:after="0" w:line="112"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Efficiency ratio is defined as noninterest expense divided by total revenue (net interest income and total noninterest income).</w:t>
      </w:r>
    </w:p>
    <w:p>
      <w:pPr>
        <w:spacing w:after="0" w:line="1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320" w:hanging="172"/>
        <w:spacing w:after="0" w:line="258" w:lineRule="auto"/>
        <w:tabs>
          <w:tab w:leader="none" w:pos="18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Tangible common equity to tangible assets and tangible common equity to risk-weighted assets are Non-GAAP financial measures. See the “Use of Non-GAAP Financial Measures” section below.</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to Non-GAAP Reconciliation</w:t>
            </w: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7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7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7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Times New Roman" w:cs="Times New Roman" w:eastAsia="Times New Roman" w:hAnsi="Times New Roman"/>
                <w:sz w:val="16"/>
                <w:szCs w:val="16"/>
                <w:color w:val="auto"/>
              </w:rPr>
              <w:t>1,227,893</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Times New Roman" w:cs="Times New Roman" w:eastAsia="Times New Roman" w:hAnsi="Times New Roman"/>
                <w:sz w:val="16"/>
                <w:szCs w:val="16"/>
                <w:color w:val="auto"/>
              </w:rPr>
              <w:t>1,161,537</w:t>
            </w:r>
          </w:p>
        </w:tc>
      </w:tr>
      <w:tr>
        <w:trPr>
          <w:trHeight w:val="237"/>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Goodwill</w:t>
            </w:r>
          </w:p>
        </w:tc>
        <w:tc>
          <w:tcPr>
            <w:tcW w:w="1380" w:type="dxa"/>
            <w:vAlign w:val="bottom"/>
          </w:tcPr>
          <w:p>
            <w:pPr>
              <w:spacing w:after="0"/>
              <w:rPr>
                <w:sz w:val="20"/>
                <w:szCs w:val="20"/>
                <w:color w:val="auto"/>
              </w:rPr>
            </w:pP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Tangible Common Equity</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Times New Roman" w:cs="Times New Roman" w:eastAsia="Times New Roman" w:hAnsi="Times New Roman"/>
                <w:sz w:val="16"/>
                <w:szCs w:val="16"/>
                <w:color w:val="auto"/>
              </w:rPr>
              <w:t>1,196,376</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Times New Roman" w:cs="Times New Roman" w:eastAsia="Times New Roman" w:hAnsi="Times New Roman"/>
                <w:sz w:val="16"/>
                <w:szCs w:val="16"/>
                <w:color w:val="auto"/>
              </w:rPr>
              <w:t>1,130,020</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Times New Roman" w:cs="Times New Roman" w:eastAsia="Times New Roman" w:hAnsi="Times New Roman"/>
                <w:sz w:val="16"/>
                <w:szCs w:val="16"/>
                <w:color w:val="auto"/>
              </w:rPr>
              <w:t>17,268,302</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Times New Roman" w:cs="Times New Roman" w:eastAsia="Times New Roman" w:hAnsi="Times New Roman"/>
                <w:sz w:val="16"/>
                <w:szCs w:val="16"/>
                <w:color w:val="auto"/>
              </w:rPr>
              <w:t>16,492,367</w:t>
            </w:r>
          </w:p>
        </w:tc>
      </w:tr>
      <w:tr>
        <w:trPr>
          <w:trHeight w:val="237"/>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Goodwill</w:t>
            </w:r>
          </w:p>
        </w:tc>
        <w:tc>
          <w:tcPr>
            <w:tcW w:w="1380" w:type="dxa"/>
            <w:vAlign w:val="bottom"/>
          </w:tcPr>
          <w:p>
            <w:pPr>
              <w:spacing w:after="0"/>
              <w:rPr>
                <w:sz w:val="20"/>
                <w:szCs w:val="20"/>
                <w:color w:val="auto"/>
              </w:rPr>
            </w:pP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Tangible Assets</w:t>
            </w:r>
          </w:p>
        </w:tc>
        <w:tc>
          <w:tcPr>
            <w:tcW w:w="138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BFE4FF"/>
            </w:tcBorders>
            <w:shd w:val="clear" w:color="auto" w:fill="BFE4FF"/>
          </w:tcPr>
          <w:p>
            <w:pPr>
              <w:jc w:val="right"/>
              <w:ind w:right="199"/>
              <w:spacing w:after="0"/>
              <w:rPr>
                <w:sz w:val="20"/>
                <w:szCs w:val="20"/>
                <w:color w:val="auto"/>
              </w:rPr>
            </w:pPr>
            <w:r>
              <w:rPr>
                <w:rFonts w:ascii="Times New Roman" w:cs="Times New Roman" w:eastAsia="Times New Roman" w:hAnsi="Times New Roman"/>
                <w:sz w:val="16"/>
                <w:szCs w:val="16"/>
                <w:color w:val="auto"/>
              </w:rPr>
              <w:t>17,236,785</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Times New Roman" w:cs="Times New Roman" w:eastAsia="Times New Roman" w:hAnsi="Times New Roman"/>
                <w:sz w:val="16"/>
                <w:szCs w:val="16"/>
                <w:color w:val="auto"/>
              </w:rPr>
              <w:t>16,460,850</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Risk-Weighted Assets, determined in accordance with prescribed regulatory requirements</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9,233,969</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8,823,485</w:t>
            </w:r>
          </w:p>
        </w:tc>
      </w:tr>
      <w:tr>
        <w:trPr>
          <w:trHeight w:val="73"/>
        </w:trPr>
        <w:tc>
          <w:tcPr>
            <w:tcW w:w="70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380" w:type="dxa"/>
            <w:vAlign w:val="bottom"/>
            <w:shd w:val="clear" w:color="auto" w:fill="BFE4FF"/>
          </w:tcPr>
          <w:p>
            <w:pPr>
              <w:spacing w:after="0"/>
              <w:rPr>
                <w:sz w:val="21"/>
                <w:szCs w:val="21"/>
                <w:color w:val="auto"/>
              </w:rPr>
            </w:pPr>
          </w:p>
        </w:tc>
        <w:tc>
          <w:tcPr>
            <w:tcW w:w="140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Shareholders’ Equity to Total Assets</w:t>
            </w:r>
          </w:p>
        </w:tc>
        <w:tc>
          <w:tcPr>
            <w:tcW w:w="13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7.11%</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33"/>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Tangible Common Equity to Tangible Assets (Non-GAAP)</w:t>
            </w:r>
          </w:p>
        </w:tc>
        <w:tc>
          <w:tcPr>
            <w:tcW w:w="138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Times New Roman" w:cs="Times New Roman" w:eastAsia="Times New Roman" w:hAnsi="Times New Roman"/>
                <w:sz w:val="16"/>
                <w:szCs w:val="16"/>
                <w:color w:val="auto"/>
              </w:rPr>
              <w:t>6.94%</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64"/>
        </w:trPr>
        <w:tc>
          <w:tcPr>
            <w:tcW w:w="70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Tier 1 Capital Ratio</w:t>
            </w:r>
          </w:p>
        </w:tc>
        <w:tc>
          <w:tcPr>
            <w:tcW w:w="138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59"/>
              <w:spacing w:after="0"/>
              <w:rPr>
                <w:sz w:val="20"/>
                <w:szCs w:val="20"/>
                <w:color w:val="auto"/>
              </w:rPr>
            </w:pPr>
            <w:r>
              <w:rPr>
                <w:rFonts w:ascii="Times New Roman" w:cs="Times New Roman" w:eastAsia="Times New Roman" w:hAnsi="Times New Roman"/>
                <w:sz w:val="16"/>
                <w:szCs w:val="16"/>
                <w:color w:val="auto"/>
              </w:rPr>
              <w:t>13.27%</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13.24%</w:t>
            </w:r>
          </w:p>
        </w:tc>
      </w:tr>
      <w:tr>
        <w:trPr>
          <w:trHeight w:val="237"/>
        </w:trPr>
        <w:tc>
          <w:tcPr>
            <w:tcW w:w="7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Tangible Common Equity to Risk-Weighted Assets (Non-GAAP)</w:t>
            </w:r>
          </w:p>
        </w:tc>
        <w:tc>
          <w:tcPr>
            <w:tcW w:w="138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12.96%</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33"/>
        </w:trPr>
        <w:tc>
          <w:tcPr>
            <w:tcW w:w="7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Statements of Income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gridSpan w:val="10"/>
          </w:tcPr>
          <w:p>
            <w:pPr>
              <w:ind w:left="40"/>
              <w:spacing w:after="0"/>
              <w:rPr>
                <w:sz w:val="20"/>
                <w:szCs w:val="20"/>
                <w:color w:val="auto"/>
              </w:rPr>
            </w:pPr>
            <w:r>
              <w:rPr>
                <w:rFonts w:ascii="Times New Roman" w:cs="Times New Roman" w:eastAsia="Times New Roman" w:hAnsi="Times New Roman"/>
                <w:sz w:val="16"/>
                <w:szCs w:val="16"/>
                <w:b w:val="1"/>
                <w:bCs w:val="1"/>
                <w:color w:val="auto"/>
              </w:rPr>
              <w:t>Average Balances and Interest Rates - Taxable-Equivalent Basis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Table 3</w:t>
            </w:r>
          </w:p>
        </w:tc>
        <w:tc>
          <w:tcPr>
            <w:tcW w:w="0" w:type="dxa"/>
            <w:vAlign w:val="bottom"/>
          </w:tcPr>
          <w:p>
            <w:pPr>
              <w:spacing w:after="0"/>
              <w:rPr>
                <w:sz w:val="1"/>
                <w:szCs w:val="1"/>
                <w:color w:val="auto"/>
              </w:rPr>
            </w:pPr>
          </w:p>
        </w:tc>
      </w:tr>
      <w:tr>
        <w:trPr>
          <w:trHeight w:val="33"/>
        </w:trPr>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5"/>
          </w:tcPr>
          <w:p>
            <w:pPr>
              <w:jc w:val="center"/>
              <w:ind w:left="301"/>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5"/>
          </w:tcPr>
          <w:p>
            <w:pPr>
              <w:jc w:val="center"/>
              <w:ind w:left="261"/>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left="301"/>
              <w:spacing w:after="0"/>
              <w:rPr>
                <w:sz w:val="20"/>
                <w:szCs w:val="20"/>
                <w:color w:val="auto"/>
              </w:rPr>
            </w:pPr>
            <w:r>
              <w:rPr>
                <w:rFonts w:ascii="Times New Roman" w:cs="Times New Roman" w:eastAsia="Times New Roman" w:hAnsi="Times New Roman"/>
                <w:sz w:val="13"/>
                <w:szCs w:val="13"/>
                <w:b w:val="1"/>
                <w:bCs w:val="1"/>
                <w:color w:val="auto"/>
                <w:w w:val="97"/>
              </w:rPr>
              <w:t>September 30, 2017</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left="261"/>
              <w:spacing w:after="0"/>
              <w:rPr>
                <w:sz w:val="20"/>
                <w:szCs w:val="20"/>
                <w:color w:val="auto"/>
              </w:rPr>
            </w:pPr>
            <w:r>
              <w:rPr>
                <w:rFonts w:ascii="Times New Roman" w:cs="Times New Roman" w:eastAsia="Times New Roman" w:hAnsi="Times New Roman"/>
                <w:sz w:val="13"/>
                <w:szCs w:val="13"/>
                <w:b w:val="1"/>
                <w:bCs w:val="1"/>
                <w:color w:val="auto"/>
                <w:w w:val="97"/>
              </w:rPr>
              <w:t>September 30, 2016</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30, 2017</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September 30, 2016</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Yield/</w:t>
            </w: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Yield/</w:t>
            </w: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Yield/</w:t>
            </w: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319"/>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Yield/</w:t>
            </w: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(dollars in millions)</w:t>
            </w:r>
          </w:p>
        </w:tc>
        <w:tc>
          <w:tcPr>
            <w:tcW w:w="20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8"/>
              </w:rPr>
              <w:t>Expense</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8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319"/>
              <w:spacing w:after="0"/>
              <w:rPr>
                <w:sz w:val="20"/>
                <w:szCs w:val="20"/>
                <w:color w:val="auto"/>
              </w:rPr>
            </w:pPr>
            <w:r>
              <w:rPr>
                <w:rFonts w:ascii="Times New Roman" w:cs="Times New Roman" w:eastAsia="Times New Roman" w:hAnsi="Times New Roman"/>
                <w:sz w:val="12"/>
                <w:szCs w:val="12"/>
                <w:b w:val="1"/>
                <w:bCs w:val="1"/>
                <w:color w:val="auto"/>
                <w:w w:val="98"/>
              </w:rPr>
              <w:t>Expense</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Rate</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Interest-Bearing Deposits in Other</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Banks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0.48%</w:t>
            </w:r>
          </w:p>
        </w:tc>
        <w:tc>
          <w:tcPr>
            <w:tcW w:w="120" w:type="dxa"/>
            <w:vAlign w:val="bottom"/>
          </w:tcPr>
          <w:p>
            <w:pPr>
              <w:spacing w:after="0"/>
              <w:rPr>
                <w:sz w:val="13"/>
                <w:szCs w:val="13"/>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0.19%</w:t>
            </w:r>
          </w:p>
        </w:tc>
        <w:tc>
          <w:tcPr>
            <w:tcW w:w="100" w:type="dxa"/>
            <w:vAlign w:val="bottom"/>
          </w:tcPr>
          <w:p>
            <w:pPr>
              <w:spacing w:after="0"/>
              <w:rPr>
                <w:sz w:val="13"/>
                <w:szCs w:val="13"/>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0.44%</w:t>
            </w:r>
          </w:p>
        </w:tc>
        <w:tc>
          <w:tcPr>
            <w:tcW w:w="120" w:type="dxa"/>
            <w:vAlign w:val="bottom"/>
          </w:tcPr>
          <w:p>
            <w:pPr>
              <w:spacing w:after="0"/>
              <w:rPr>
                <w:sz w:val="13"/>
                <w:szCs w:val="13"/>
                <w:color w:val="auto"/>
              </w:rPr>
            </w:pP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31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0.26%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Funds Sold</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575.2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585.9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0.7</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0.46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491.1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3.2</w:t>
            </w: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0.85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586.8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2.0</w:t>
            </w: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0.46</w:t>
            </w: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Investment Securities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8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Taxable</w:t>
            </w:r>
          </w:p>
        </w:tc>
        <w:tc>
          <w:tcPr>
            <w:tcW w:w="200" w:type="dxa"/>
            <w:vAlign w:val="bottom"/>
          </w:tcPr>
          <w:p>
            <w:pPr>
              <w:spacing w:after="0"/>
              <w:rPr>
                <w:sz w:val="22"/>
                <w:szCs w:val="22"/>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1,658.2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8.6</w:t>
            </w:r>
          </w:p>
        </w:tc>
        <w:tc>
          <w:tcPr>
            <w:tcW w:w="200" w:type="dxa"/>
            <w:vAlign w:val="bottom"/>
          </w:tcPr>
          <w:p>
            <w:pPr>
              <w:spacing w:after="0"/>
              <w:rPr>
                <w:sz w:val="22"/>
                <w:szCs w:val="22"/>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1,574.9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6.8</w:t>
            </w:r>
          </w:p>
        </w:tc>
        <w:tc>
          <w:tcPr>
            <w:tcW w:w="220" w:type="dxa"/>
            <w:vAlign w:val="bottom"/>
          </w:tcPr>
          <w:p>
            <w:pPr>
              <w:spacing w:after="0"/>
              <w:rPr>
                <w:sz w:val="22"/>
                <w:szCs w:val="22"/>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1,655.8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24.6</w:t>
            </w:r>
          </w:p>
        </w:tc>
        <w:tc>
          <w:tcPr>
            <w:tcW w:w="180" w:type="dxa"/>
            <w:vAlign w:val="bottom"/>
          </w:tcPr>
          <w:p>
            <w:pPr>
              <w:spacing w:after="0"/>
              <w:rPr>
                <w:sz w:val="22"/>
                <w:szCs w:val="22"/>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1.98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1,594.3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20.9</w:t>
            </w:r>
          </w:p>
        </w:tc>
        <w:tc>
          <w:tcPr>
            <w:tcW w:w="300" w:type="dxa"/>
            <w:vAlign w:val="bottom"/>
          </w:tcPr>
          <w:p>
            <w:pPr>
              <w:spacing w:after="0"/>
              <w:rPr>
                <w:sz w:val="22"/>
                <w:szCs w:val="22"/>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258"/>
        </w:trPr>
        <w:tc>
          <w:tcPr>
            <w:tcW w:w="1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Non-Taxable</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636.7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5.2</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687.1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652.0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15.9</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697.9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16.5</w:t>
            </w:r>
          </w:p>
        </w:tc>
        <w:tc>
          <w:tcPr>
            <w:tcW w:w="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3.16</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Held-to-Maturity</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Taxable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3,631.1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18.8</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3,563.8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17.8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3,605.8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55.4</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3,627.4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55.2</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2.03</w:t>
            </w:r>
          </w:p>
        </w:tc>
        <w:tc>
          <w:tcPr>
            <w:tcW w:w="0" w:type="dxa"/>
            <w:vAlign w:val="bottom"/>
          </w:tcPr>
          <w:p>
            <w:pPr>
              <w:spacing w:after="0"/>
              <w:rPr>
                <w:sz w:val="1"/>
                <w:szCs w:val="1"/>
                <w:color w:val="auto"/>
              </w:rPr>
            </w:pPr>
          </w:p>
        </w:tc>
      </w:tr>
      <w:tr>
        <w:trPr>
          <w:trHeight w:val="250"/>
        </w:trPr>
        <w:tc>
          <w:tcPr>
            <w:tcW w:w="18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Non-Taxable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239.9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2.4</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7.0</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7.2</w:t>
            </w:r>
          </w:p>
        </w:tc>
        <w:tc>
          <w:tcPr>
            <w:tcW w:w="30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3.91</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Total Investment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6,165.9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35.0</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6,069.5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32.4</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6,154.5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102.9</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6,164.2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99.8</w:t>
            </w:r>
          </w:p>
        </w:tc>
        <w:tc>
          <w:tcPr>
            <w:tcW w:w="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2.16</w:t>
            </w:r>
          </w:p>
        </w:tc>
        <w:tc>
          <w:tcPr>
            <w:tcW w:w="0" w:type="dxa"/>
            <w:vAlign w:val="bottom"/>
          </w:tcPr>
          <w:p>
            <w:pPr>
              <w:spacing w:after="0"/>
              <w:rPr>
                <w:sz w:val="1"/>
                <w:szCs w:val="1"/>
                <w:color w:val="auto"/>
              </w:rPr>
            </w:pPr>
          </w:p>
        </w:tc>
      </w:tr>
      <w:tr>
        <w:trPr>
          <w:trHeight w:val="244"/>
        </w:trPr>
        <w:tc>
          <w:tcPr>
            <w:tcW w:w="1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Loans Held for Sale</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20.6</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3.88</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57.7</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0.5</w:t>
            </w: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3.52</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24.9</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3.98</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0.8</w:t>
            </w: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3.58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Loans and Leases </w:t>
            </w:r>
            <w:r>
              <w:rPr>
                <w:rFonts w:ascii="Times New Roman" w:cs="Times New Roman" w:eastAsia="Times New Roman" w:hAnsi="Times New Roman"/>
                <w:sz w:val="19"/>
                <w:szCs w:val="19"/>
                <w:color w:val="auto"/>
                <w:vertAlign w:val="superscript"/>
              </w:rPr>
              <w:t>1</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1,251.5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11.3</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1,192.0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9.8</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1,255.4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32.7</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1,165.2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30.3</w:t>
            </w:r>
          </w:p>
        </w:tc>
        <w:tc>
          <w:tcPr>
            <w:tcW w:w="30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3.48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Commercial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2,015.0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19.6</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1,730.2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15.4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1,948.1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1,702.1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47.5</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3.73</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Construction</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241.0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8.6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206.9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6.9</w:t>
            </w:r>
          </w:p>
        </w:tc>
        <w:tc>
          <w:tcPr>
            <w:tcW w:w="30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4.47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Commercial Lease Financing</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204.7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3.7</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2.48</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Residential Mortgage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3,333.3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31.8</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3,082.9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30.4</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3,269.7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93.8</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3,002.6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90.0</w:t>
            </w:r>
          </w:p>
        </w:tc>
        <w:tc>
          <w:tcPr>
            <w:tcW w:w="30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4.00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Home Equity</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1,502.9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13.8</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1,439.2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38.9</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1,176.5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32.0</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3.63</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Automobile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493.2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5.9</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426.2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5.5</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476.4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17.5</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407.0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15.8</w:t>
            </w:r>
          </w:p>
        </w:tc>
        <w:tc>
          <w:tcPr>
            <w:tcW w:w="30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5.17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9"/>
                <w:szCs w:val="19"/>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410.4</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8.2</w:t>
            </w:r>
          </w:p>
        </w:tc>
        <w:tc>
          <w:tcPr>
            <w:tcW w:w="2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7.98</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363.4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7.0</w:t>
            </w:r>
          </w:p>
        </w:tc>
        <w:tc>
          <w:tcPr>
            <w:tcW w:w="2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7.69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389.0</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23.2</w:t>
            </w:r>
          </w:p>
        </w:tc>
        <w:tc>
          <w:tcPr>
            <w:tcW w:w="1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7.98</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353.5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20.4</w:t>
            </w:r>
          </w:p>
        </w:tc>
        <w:tc>
          <w:tcPr>
            <w:tcW w:w="3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7.70</w:t>
            </w:r>
          </w:p>
        </w:tc>
        <w:tc>
          <w:tcPr>
            <w:tcW w:w="0" w:type="dxa"/>
            <w:vAlign w:val="bottom"/>
          </w:tcPr>
          <w:p>
            <w:pPr>
              <w:spacing w:after="0"/>
              <w:rPr>
                <w:sz w:val="1"/>
                <w:szCs w:val="1"/>
                <w:color w:val="auto"/>
              </w:rPr>
            </w:pPr>
          </w:p>
        </w:tc>
      </w:tr>
      <w:tr>
        <w:trPr>
          <w:trHeight w:val="244"/>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Total Loans and Leases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9,452.0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94.7</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8,483.6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83.2</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9,231.6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273.7</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8,210.6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246.6</w:t>
            </w:r>
          </w:p>
        </w:tc>
        <w:tc>
          <w:tcPr>
            <w:tcW w:w="30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4.01</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40.2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0.2</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0.1</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0.5</w:t>
            </w:r>
          </w:p>
        </w:tc>
        <w:tc>
          <w:tcPr>
            <w:tcW w:w="3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1.83</w:t>
            </w:r>
          </w:p>
        </w:tc>
        <w:tc>
          <w:tcPr>
            <w:tcW w:w="0" w:type="dxa"/>
            <w:vAlign w:val="bottom"/>
          </w:tcPr>
          <w:p>
            <w:pPr>
              <w:spacing w:after="0"/>
              <w:rPr>
                <w:sz w:val="1"/>
                <w:szCs w:val="1"/>
                <w:color w:val="auto"/>
              </w:rPr>
            </w:pPr>
          </w:p>
        </w:tc>
      </w:tr>
      <w:tr>
        <w:trPr>
          <w:trHeight w:val="264"/>
        </w:trPr>
        <w:tc>
          <w:tcPr>
            <w:tcW w:w="18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Total Earning Assets </w:t>
            </w:r>
            <w:r>
              <w:rPr>
                <w:rFonts w:ascii="Times New Roman" w:cs="Times New Roman" w:eastAsia="Times New Roman" w:hAnsi="Times New Roman"/>
                <w:sz w:val="19"/>
                <w:szCs w:val="19"/>
                <w:b w:val="1"/>
                <w:bCs w:val="1"/>
                <w:color w:val="auto"/>
                <w:vertAlign w:val="superscript"/>
              </w:rPr>
              <w:t>3</w:t>
            </w: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16,257.4</w:t>
            </w: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131.7</w:t>
            </w:r>
          </w:p>
        </w:tc>
        <w:tc>
          <w:tcPr>
            <w:tcW w:w="2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3.23</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15,240.7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116.9</w:t>
            </w:r>
          </w:p>
        </w:tc>
        <w:tc>
          <w:tcPr>
            <w:tcW w:w="2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3.06</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15,946.0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381.2</w:t>
            </w:r>
          </w:p>
        </w:tc>
        <w:tc>
          <w:tcPr>
            <w:tcW w:w="1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3.19</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15,034.6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349.7</w:t>
            </w:r>
          </w:p>
        </w:tc>
        <w:tc>
          <w:tcPr>
            <w:tcW w:w="3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3.10</w:t>
            </w: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151.2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Other Assets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563.6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16,972.2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15,906.8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16,636.2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15,695.3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Interest-Bearing Deposits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Demand</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2,880.0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2,770.2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2,869.7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2,756.7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0.7</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0.03%</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Savings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5,374.4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1.8</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5,208.3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5,385.7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4.7</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5,177.0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3.4</w:t>
            </w:r>
          </w:p>
        </w:tc>
        <w:tc>
          <w:tcPr>
            <w:tcW w:w="30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0.09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Time</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1,788.2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1,272.6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1,529.2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9.4</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0.82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1,232.1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5.1</w:t>
            </w:r>
          </w:p>
        </w:tc>
        <w:tc>
          <w:tcPr>
            <w:tcW w:w="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0.55</w:t>
            </w:r>
          </w:p>
        </w:tc>
        <w:tc>
          <w:tcPr>
            <w:tcW w:w="0" w:type="dxa"/>
            <w:vAlign w:val="bottom"/>
          </w:tcPr>
          <w:p>
            <w:pPr>
              <w:spacing w:after="0"/>
              <w:rPr>
                <w:sz w:val="1"/>
                <w:szCs w:val="1"/>
                <w:color w:val="auto"/>
              </w:rPr>
            </w:pPr>
          </w:p>
        </w:tc>
      </w:tr>
      <w:tr>
        <w:trPr>
          <w:trHeight w:val="244"/>
        </w:trPr>
        <w:tc>
          <w:tcPr>
            <w:tcW w:w="1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Total Interest-Bearing Deposits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10,042.6</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0.26</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9,251.1</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0.14</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9,784.6</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15.4</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0.21</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9,165.8</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9.2</w:t>
            </w: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0.13</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0.14</w:t>
            </w:r>
          </w:p>
        </w:tc>
        <w:tc>
          <w:tcPr>
            <w:tcW w:w="0" w:type="dxa"/>
            <w:vAlign w:val="bottom"/>
          </w:tcPr>
          <w:p>
            <w:pPr>
              <w:spacing w:after="0"/>
              <w:rPr>
                <w:sz w:val="1"/>
                <w:szCs w:val="1"/>
                <w:color w:val="auto"/>
              </w:rPr>
            </w:pPr>
          </w:p>
        </w:tc>
      </w:tr>
      <w:tr>
        <w:trPr>
          <w:trHeight w:val="154"/>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Securities Sold Under Agreements to</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Repurchase</w:t>
            </w:r>
          </w:p>
        </w:tc>
        <w:tc>
          <w:tcPr>
            <w:tcW w:w="200" w:type="dxa"/>
            <w:vAlign w:val="bottom"/>
          </w:tcPr>
          <w:p>
            <w:pPr>
              <w:spacing w:after="0"/>
              <w:rPr>
                <w:sz w:val="13"/>
                <w:szCs w:val="13"/>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505.3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4.7</w:t>
            </w:r>
          </w:p>
        </w:tc>
        <w:tc>
          <w:tcPr>
            <w:tcW w:w="200" w:type="dxa"/>
            <w:vAlign w:val="bottom"/>
          </w:tcPr>
          <w:p>
            <w:pPr>
              <w:spacing w:after="0"/>
              <w:rPr>
                <w:sz w:val="13"/>
                <w:szCs w:val="13"/>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3.61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556.5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tcPr>
          <w:p>
            <w:pPr>
              <w:spacing w:after="0"/>
              <w:rPr>
                <w:sz w:val="13"/>
                <w:szCs w:val="13"/>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4.02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507.7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14.9</w:t>
            </w:r>
          </w:p>
        </w:tc>
        <w:tc>
          <w:tcPr>
            <w:tcW w:w="180" w:type="dxa"/>
            <w:vAlign w:val="bottom"/>
          </w:tcPr>
          <w:p>
            <w:pPr>
              <w:spacing w:after="0"/>
              <w:rPr>
                <w:sz w:val="13"/>
                <w:szCs w:val="13"/>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3.88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582.0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18.0</w:t>
            </w:r>
          </w:p>
        </w:tc>
        <w:tc>
          <w:tcPr>
            <w:tcW w:w="300" w:type="dxa"/>
            <w:vAlign w:val="bottom"/>
          </w:tcPr>
          <w:p>
            <w:pPr>
              <w:spacing w:after="0"/>
              <w:rPr>
                <w:sz w:val="13"/>
                <w:szCs w:val="13"/>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4.06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Other Debt</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267.9</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268.0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267.9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3.3</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242.5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3.1</w:t>
            </w:r>
          </w:p>
        </w:tc>
        <w:tc>
          <w:tcPr>
            <w:tcW w:w="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244"/>
        </w:trPr>
        <w:tc>
          <w:tcPr>
            <w:tcW w:w="1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Total Interest-Bearing Liabilities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10,815.8</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12.5</w:t>
            </w: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0.45</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10,084.3</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0.39</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10,575.5</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33.7</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0.42</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9,998.2</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30.3</w:t>
            </w: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0.40</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Net Interest Income</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119.2</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106.9</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347.5</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319.4</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2"/>
                <w:szCs w:val="12"/>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2"/>
                <w:szCs w:val="12"/>
                <w:color w:val="auto"/>
              </w:rPr>
              <w:t>2.77%</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2"/>
                <w:szCs w:val="12"/>
                <w:color w:val="auto"/>
              </w:rPr>
              <w:t>2.70%</w:t>
            </w:r>
          </w:p>
        </w:tc>
        <w:tc>
          <w:tcPr>
            <w:tcW w:w="0" w:type="dxa"/>
            <w:vAlign w:val="bottom"/>
          </w:tcPr>
          <w:p>
            <w:pPr>
              <w:spacing w:after="0" w:line="20" w:lineRule="exact"/>
              <w:rPr>
                <w:sz w:val="1"/>
                <w:szCs w:val="1"/>
                <w:color w:val="auto"/>
              </w:rPr>
            </w:pPr>
          </w:p>
        </w:tc>
      </w:tr>
      <w:tr>
        <w:trPr>
          <w:trHeight w:val="234"/>
        </w:trPr>
        <w:tc>
          <w:tcPr>
            <w:tcW w:w="1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Interest Margin</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2.84%</w:t>
            </w:r>
          </w:p>
        </w:tc>
        <w:tc>
          <w:tcPr>
            <w:tcW w:w="0" w:type="dxa"/>
            <w:vAlign w:val="bottom"/>
          </w:tcPr>
          <w:p>
            <w:pPr>
              <w:spacing w:after="0"/>
              <w:rPr>
                <w:sz w:val="1"/>
                <w:szCs w:val="1"/>
                <w:color w:val="auto"/>
              </w:rPr>
            </w:pPr>
          </w:p>
        </w:tc>
      </w:tr>
      <w:tr>
        <w:trPr>
          <w:trHeight w:val="154"/>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Noninterest-Bearing Demand</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Deposits</w:t>
            </w:r>
          </w:p>
        </w:tc>
        <w:tc>
          <w:tcPr>
            <w:tcW w:w="200" w:type="dxa"/>
            <w:vAlign w:val="bottom"/>
          </w:tcPr>
          <w:p>
            <w:pPr>
              <w:spacing w:after="0"/>
              <w:rPr>
                <w:sz w:val="13"/>
                <w:szCs w:val="13"/>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4,684.9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4,436.1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4,617.1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4,326.8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248.6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Shareholders’ Equity</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1,222.9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1,161.7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1,201.9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1,145.1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840" w:type="dxa"/>
            <w:vAlign w:val="bottom"/>
            <w:shd w:val="clear" w:color="auto" w:fill="CCEEFF"/>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w w:val="99"/>
              </w:rPr>
              <w:t>Total Liabilities and Shareholders’</w:t>
            </w:r>
          </w:p>
        </w:tc>
        <w:tc>
          <w:tcPr>
            <w:tcW w:w="20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16,972.2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15,906.8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16,636.2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15,695.3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3"/>
          <w:szCs w:val="13"/>
          <w:color w:val="auto"/>
        </w:rPr>
        <w:t>Non-performing loans and leases are included in the respective average loan and lease balances. Income, if any, on such loans and leases is recognized on a cash basis.</w:t>
      </w:r>
    </w:p>
    <w:p>
      <w:pPr>
        <w:spacing w:after="0" w:line="13"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3"/>
          <w:szCs w:val="13"/>
          <w:color w:val="auto"/>
        </w:rPr>
        <w:t>Comprised of other consumer revolving credit, installment, and consumer lease financing.</w:t>
      </w:r>
    </w:p>
    <w:p>
      <w:pPr>
        <w:spacing w:after="0" w:line="12" w:lineRule="exact"/>
        <w:rPr>
          <w:sz w:val="20"/>
          <w:szCs w:val="20"/>
          <w:color w:val="auto"/>
        </w:rPr>
      </w:pPr>
    </w:p>
    <w:p>
      <w:pPr>
        <w:ind w:left="180" w:right="280" w:hanging="172"/>
        <w:spacing w:after="0" w:line="210" w:lineRule="auto"/>
        <w:tabs>
          <w:tab w:leader="none" w:pos="18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Interest income includes taxable-equivalent basis adjustments, based upon a federal statutory tax rate of 35%, of $3.0 million for both the three months ended September 30, 2017 and 2016 and $9.0 million for the nine months ended September 30, 2017 and 2016.</w:t>
      </w:r>
    </w:p>
    <w:p>
      <w:pPr>
        <w:sectPr>
          <w:pgSz w:w="11900" w:h="16838" w:orient="portrait"/>
          <w:cols w:equalWidth="0" w:num="1">
            <w:col w:w="11420"/>
          </w:cols>
          <w:pgMar w:left="240" w:top="126" w:right="239" w:bottom="0"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0" w:gutter="0" w:footer="0" w:header="0"/>
          <w:type w:val="continuous"/>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2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80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Compared to September 30, 2016</w:t>
            </w: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9"/>
        </w:trPr>
        <w:tc>
          <w:tcPr>
            <w:tcW w:w="6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xml:space="preserve">Volume </w:t>
            </w:r>
            <w:r>
              <w:rPr>
                <w:rFonts w:ascii="Times New Roman" w:cs="Times New Roman" w:eastAsia="Times New Roman" w:hAnsi="Times New Roman"/>
                <w:sz w:val="17"/>
                <w:szCs w:val="17"/>
                <w:color w:val="auto"/>
                <w:vertAlign w:val="superscript"/>
              </w:rPr>
              <w:t>1</w:t>
            </w:r>
          </w:p>
        </w:tc>
        <w:tc>
          <w:tcPr>
            <w:tcW w:w="6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17"/>
                <w:szCs w:val="17"/>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Funds Sold</w:t>
            </w: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0.9</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237"/>
        </w:trPr>
        <w:tc>
          <w:tcPr>
            <w:tcW w:w="6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0.5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Taxable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0.5</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1"/>
        </w:trPr>
        <w:tc>
          <w:tcPr>
            <w:tcW w:w="6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(0.6)</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3.7</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 and Leases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2.3</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6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6.9</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1.4</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0.3</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6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Lease Financing</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0.2</w:t>
            </w:r>
          </w:p>
        </w:tc>
        <w:tc>
          <w:tcPr>
            <w:tcW w:w="64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7.8</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6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7.1</w:t>
            </w:r>
          </w:p>
        </w:tc>
        <w:tc>
          <w:tcPr>
            <w:tcW w:w="64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(0.2)</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2.6</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70"/>
        </w:trPr>
        <w:tc>
          <w:tcPr>
            <w:tcW w:w="6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2.1</w:t>
            </w:r>
          </w:p>
        </w:tc>
        <w:tc>
          <w:tcPr>
            <w:tcW w:w="6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0.7</w:t>
            </w: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30.4</w:t>
            </w: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(3.3)</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r>
      <w:tr>
        <w:trPr>
          <w:trHeight w:val="231"/>
        </w:trPr>
        <w:tc>
          <w:tcPr>
            <w:tcW w:w="6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0.2</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29.2</w:t>
            </w: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2.3</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r>
      <w:tr>
        <w:trPr>
          <w:trHeight w:val="264"/>
        </w:trPr>
        <w:tc>
          <w:tcPr>
            <w:tcW w:w="6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Demand</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r>
      <w:tr>
        <w:trPr>
          <w:trHeight w:val="237"/>
        </w:trPr>
        <w:tc>
          <w:tcPr>
            <w:tcW w:w="6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w:t>
            </w:r>
          </w:p>
        </w:tc>
        <w:tc>
          <w:tcPr>
            <w:tcW w:w="5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640" w:type="dxa"/>
            <w:vAlign w:val="bottom"/>
          </w:tcPr>
          <w:p>
            <w:pPr>
              <w:spacing w:after="0"/>
              <w:rPr>
                <w:sz w:val="20"/>
                <w:szCs w:val="20"/>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Time</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1.5</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2.8</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r>
      <w:tr>
        <w:trPr>
          <w:trHeight w:val="231"/>
        </w:trPr>
        <w:tc>
          <w:tcPr>
            <w:tcW w:w="6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1.7</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4.5</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Short-Term Borrowings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54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w:t>
            </w:r>
          </w:p>
        </w:tc>
        <w:tc>
          <w:tcPr>
            <w:tcW w:w="64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(0.8)</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0.3</w:t>
            </w: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231"/>
        </w:trPr>
        <w:tc>
          <w:tcPr>
            <w:tcW w:w="6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(0.3)</w:t>
            </w:r>
          </w:p>
        </w:tc>
        <w:tc>
          <w:tcPr>
            <w:tcW w:w="6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3.7</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29.5</w:t>
            </w: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28.1</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change in interest income and expense not solely due to changes in volume or rate has been allocated on a pro-rata basis to the volume and rate columns.</w:t>
      </w:r>
    </w:p>
    <w:p>
      <w:pPr>
        <w:spacing w:after="0" w:line="17"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other consumer revolving credit, installment, and consumer lease financing.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interest income was $116.3 million for the third quarter of 2017, an increase of $12.4 million or 12% compared to the same period in 2016. On a taxable-equivalent basis, net interest income was $119.2 million for the third quarter of 2017, an increase of $12.3 million or 12% compared to the same period in 2016. Net interest income was $338.5 million for the first nine months of 2017, an increase of $28.0 million or 9% compared to the same period in 2016. On a taxable-equivalent basis, net interest income was $347.5 million for the first nine months of 2017, an increase of $28.1 million or 9% compared to the same period in 2016. This increase was primarily due to a higher level of earning assets, including growth in both our commercial and consumer lending portfolios, and higher net interest margin. The higher level of earning assets was primarily funded by higher</w:t>
      </w:r>
    </w:p>
    <w:p>
      <w:pPr>
        <w:sectPr>
          <w:pgSz w:w="11900" w:h="16838" w:orient="portrait"/>
          <w:cols w:equalWidth="0" w:num="1">
            <w:col w:w="11420"/>
          </w:cols>
          <w:pgMar w:left="240" w:top="126" w:right="239" w:bottom="90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900" w:gutter="0" w:footer="0" w:header="0"/>
          <w:type w:val="continuous"/>
        </w:sectPr>
      </w:pPr>
    </w:p>
    <w:bookmarkStart w:id="64" w:name="page65"/>
    <w:bookmarkEnd w:id="6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deposit balances. Net interest margin was 2.92% for the third quarter of 2017, an increase of twelve basis points compared to the same period in 2016. Net interest margin was 2.91% for the first nine months of 2017, an increase of seven basis points compared to the same period in 2016. The higher interest margin in 2017 was primarily due to our loans, which generally have higher yields than our investment securities, comprising a larger percentage of our earning assets compared to 2016. In addition, yields increased for our commercial loans and investments portfolio. This increase was partially offset by an increase in rates offered on our deposit products.</w:t>
      </w:r>
    </w:p>
    <w:p>
      <w:pPr>
        <w:spacing w:after="0" w:line="14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Yields on our earning assets increased by 17 basis points in the third quarter of 2017 compared to the same period in 2016 primarily due to the aforementioned shift in the mix of our earning assets from investment securities to loans, which generally have higher yields. In addition, yields on our commercial and industrial loans increased by 32 basis points primarily due to higher yields on floating rate loans. Yields on our commercial mortgage loans also increased by 32 basis points primarily due to higher yields on floating rate loans. The commercial mortgage loan yield for the third quarter of 2016 included a reversal of $0.8 million for an interest recovery previously recorded in the second quarter of 2016. Yields on our investment securities portfolio increased by 14 basis points primarily due to the higher interest rate environment and lower premium amortization. These yield increases were partially offset by a 12 basis point yield decrease in our residential mortgage loan portfolio, primarily due to continued payoff activity of higher-rate mortgage loans and the addition of lower-rate mortgage loans to our portfolio. Yields on our earning assets increased by nine basis points for the first nine months of 2017 compared to the same period in 2016 primarily due to the aforementioned shift in the mix of our earning assets from investment securities to loans. In addition, yields on our commercial mortgage loan portfolio increased by eight basis points primarily due to higher year-over-year rates on floating rate loans. Yields on our commercial and industrial loans remained relatively unchanged as higher yields on floating rate loans were largely offset by an additional $1.3 million of interest income in the first quarter of 2016 due to the recovery of a non-performing loan in Guam. Yields on our investment securities portfolio increased by seven basis points primarily due to the higher interest rate environment and lower premium amortization. Partially offsetting the year-to-date yield increase was an 18 basis point yield decrease in our residential mortgage loan portfolio, primarily due to continued payoff activity of higher-rate mortgage loans and the addition of lower-rate mortgage loans to our portfolio.</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Rates paid on our interest-bearing liabilities increased by six basis points in the third quarter of 2017 and by two basis points in the first nine months of 2017 compared to the same periods in 2016. Interest rates paid on our time deposits increased by 38 basis points in the third quarter of 2017 and by 27 basis points for the first nine months of 2017 compared to the same periods in 2016, a reflection of the higher interest rate environment. Rates paid on our repurchase agreements decreased by 41 basis points in the third quarter of 2017 and by 18 basis points for the first nine months of 2017 compared to the same periods in 2016 primarily due to repurchase agreements with private institutions totaling $75.0 million, which carried relatively higher rates, maturing during the second half of 2016. In addition, during the second quarter of 2017, we restructured three of our repurchase agreements with private institutions with an aggregate total of $200.0 million. These repurchase agreements were to mature in 2018 and had a weighted-average interest rate of 3.94%. The restructuring of the agreements extended the maturity dates to June 2022 and lowered the weighted-average interest rate to 2.70% effective June 2017.</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Average balances of our earning assets increased by $1.0 billion or 7% in the third quarter of 2017 and by $911.4 million or 6% for the first nine months of 2017 compared to the same periods in 2016 primarily due to loan growth as the average balances of our loan and lease portfolio increased by $1.0 billion for both the third quarter of 2017 and the first nine months of 2017 compared to the same periods in 2016. The average balance of our commercial and industrial portfolio increased by $59.5 million in the third quarter of 2017 and by $90.2 million for the first nine months of 2017 compared to the same periods in 2016 primarily due to an increase in corporate demand for funding. The average balance of our commercial mortgage portfolio increased by $284.8 million in the third quarter of 2017 and by $246.0 million for the first nine months of 2017 compared to the same periods in 2016 as a result of increased demand from new and existing customers as a result of a strong Hawaii economy. The average balance of our residential mortgage portfolio increased by $250.4 million in the third quarter of 2017 and by $267.1 million for the first nine months of 2017 compared to the same periods in 2016 primarily due to an increase in loan origination and slowdown in payoff activity. The average balance of our home equity portfolio increased by $248.5 million in the third quarter of 2017 and by $262.7 million for the first nine months of 2017 compared to the same periods in 2016 due in large part to the continued strong economy and increase in new loan originations. In addition, we experienced healthy line utilization during 2017. In addition to the increase in the average balances of our loan and lease portfolio was a $96.4 million increase in the average balance of our investment securities portfolio in the third quarter of 2017. Average balances of our investment securities portfolio decreased by $9.7 million for the first nine months of 2017 compared to the same periods in 2016 primarily due to the shift in the mix of our earning assets from investment securities to loans.</w:t>
      </w:r>
    </w:p>
    <w:p>
      <w:pPr>
        <w:spacing w:after="0" w:line="14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Average balances of our interest-bearing liabilities increased by $731.5 million or 7% in the third quarter of 2017 and by $577.3 million or 6% for the first nine months of 2017 compared to the same periods in 2016 primarily due to growth in our time deposits, along with continued growth in our relationship checking and savings products. Average balances of our interest-bearing demand accounts increased by $109.8 million for the third quarter of 2017 and by $113.1 million for the first</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26" w:right="259"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nine months of 2017 compared to the same periods in 2016. Average balances of our savings accounts increased by $166.0 million for the third quarter of 2017 and by $208.7 million for the first nine months of 2017 compared to the same periods in 2016. Average balances of our time deposits increased by $515.6 million for the third quarter of 2017 and by $297.1 million for the first nine months of 2017 compared to the same periods in 2016.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risk-rating migration, as well as changes in our portfolio size and composition. We recorded a provision of $4.0 million in the third quarter of 2017 compared to a $2.5 million provision in the same period in 2016. For the first nine months of 2017, we recorded a provision of $12.7 million compared to a provision of $1.5 million for the same period in 2016. The lower year-to-date 2016 provision was primarily due to the recovery in 2016 of a commercial and industrial loan previously charged off. Our decision to record a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Noninterest income decreased by $5.7 million or 12% in the third quarter of 2017 and by $7.3 million or 5% for the first nine months of 2017 compared to the same periods in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presents the components of noninterest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5</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5"/>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0"/>
                <w:szCs w:val="20"/>
                <w:color w:val="auto"/>
              </w:rPr>
            </w:pPr>
          </w:p>
        </w:tc>
        <w:tc>
          <w:tcPr>
            <w:tcW w:w="3220" w:type="dxa"/>
            <w:vAlign w:val="bottom"/>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9"/>
        </w:trPr>
        <w:tc>
          <w:tcPr>
            <w:tcW w:w="4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11,050</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11,008</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34,325</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34,971</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Banking</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3,237</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6,362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10,356</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13,639</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8,188</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8,524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24,522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25,117</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13,764</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14,023</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41,061</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41,445</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Securities Gains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(566)</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11,047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10,540</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Annuity and Insurance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1,429</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1,653</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5,585</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5,560</w:t>
            </w:r>
          </w:p>
        </w:tc>
        <w:tc>
          <w:tcPr>
            <w:tcW w:w="3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Bank-Owned Life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1,861</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1,911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4,908</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5,010</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3,447</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4,961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11,758</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14,558</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42,410</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48,114</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(5,704)</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143,562</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150,840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$9.0 billion as of September 30, 2017 and 2016, respectively. Trust and asset management income remained relatively unchanged in the third quarter of 2017 compared to the same period in 2016. Trust and asset management income decreased by $0.6 million or 2% for the first nine months of 2017 compared to the same period in 2016. This decrease was primarily due to a $0.9 million decrease in service fees, mainly the result of fees received from the sale of real estate in the second quarter of 2016, and a decrease in employee benefit trust fees of $0.2 million. This decrease was partially offset by a $0.5 million increase in agency fees due to an increase in market value of assets under management.</w:t>
      </w:r>
    </w:p>
    <w:p>
      <w:pPr>
        <w:spacing w:after="0" w:line="18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Mortgage banking income is highly influenced by mortgage interest rates, the housing market, the amount of our loan sales, and our valuation of mortgage servicing rights. Mortgage banking income decreased by $3.1 million or 49% in the third quarter of 2017 and by $3.3 million or 24% for the first nine months of 2017 compared to the same periods in 2016. These decreases were primarily due to lower loan sales and reduced margins on those sales. The lower loan sales for the first nine months of 2017 were partially offset by a $2.1 million net valuation impairment to our mortgage servicing rights, recorded in 2016.</w:t>
      </w:r>
    </w:p>
    <w:p>
      <w:pPr>
        <w:spacing w:after="0" w:line="200" w:lineRule="exact"/>
        <w:rPr>
          <w:sz w:val="20"/>
          <w:szCs w:val="20"/>
          <w:color w:val="auto"/>
        </w:rPr>
      </w:pP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Service charges on deposit accounts decreased by $0.3 million or 4% in the third quarter of 2017 and by $0.6 million or 2% for the first nine months of 2017 compared to the same periods in 2016 primarily due to a decrease in overdraft fees.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Fees, exchange, and other service charges are primarily comprised of debit and credit card income, fees from ATMs, merchant service activity, and other loan fees and service charges. Fees, exchange, and other service charges decreased by $0.3 million or 2% in in the third quarter of 2017 and $0.4 million or 1% for the first nine months of 2017 compared to the same periods in 2016 primarily due to a decrease in loan and credit card fees.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Net losses on sales of investment securities totaled $0.6 million in the third quarter of 2017 compared to $0.3 million during the same period in 2016. The net losses in the third quarters of 2017 and 2016 were due to quarterly fees paid to the counterparties of our prior Visa Class B share sale transactions. Net gains on sales of investment securities totaled $11.0 million for the first nine months of 2017 compared to $10.5 million during the same period in 2016. The net gain in 2017 was primarily due to a $12.1 million gain on the sale of 90,000 Visa Class B shares in the first quarter of 2017. The net gain in 2016 was primarily due to an $11.2 million gain on the sale of 100,000 Visa Class B shares in the first quarter of 2016.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90,914 Visa Class B shares (149,854 Class A equivalent shares) that we own are carried at a zero cost basis.</w:t>
      </w:r>
    </w:p>
    <w:p>
      <w:pPr>
        <w:spacing w:after="0" w:line="1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noninterest income decreased by $1.5 million or 30% in the third quarter of 2017 compared to the same periods in 2016 primarily due to $1.6 million in fees received in the third quarter of 2016 related to our customer interest rate swap derivatives. Other noninterest income decreased by $2.8 million or 19% for the first nine months of 2017 compared to the same period in 2016. This decrease was primarily due to a $1.8 million decrease in fees for our customer interest rate swap derivatives, and a $1.5 million decrease in net gain on sale of leased assets. This decrease was partially offset by a $0.4 million increase in profit from foreign exchange contracts.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Noninterest expense increased by $1.1 million or 1% in the third quarter of 2017 and by $4.4 million or 2% for the first nine months of 2017 compared to the same periods in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 presents the components of noninterest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6</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20"/>
                <w:szCs w:val="20"/>
                <w:color w:val="auto"/>
              </w:rPr>
            </w:pPr>
          </w:p>
        </w:tc>
        <w:tc>
          <w:tcPr>
            <w:tcW w:w="3120" w:type="dxa"/>
            <w:vAlign w:val="bottom"/>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9"/>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Salaries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31,224</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29,401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91,202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87,339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Incentive Compensation</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4,857</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5,743</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15,756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17,625</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1,962</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2,968</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7,144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8,024</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Commission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1,439</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2,051</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5,066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5,559</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Retirement and Other Benefits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4,279</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3,866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13,479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12,912</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567</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Payroll Taxes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2,353</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2,224</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8,724</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8,089</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635</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Medical, Dental, and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3,444</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10,130</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Separation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2,068</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2,111</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w:t>
            </w:r>
          </w:p>
        </w:tc>
        <w:tc>
          <w:tcPr>
            <w:tcW w:w="3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1,261</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Salaries and Benefits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51,626</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49,725</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153,341</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150,528</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2,813</w:t>
            </w:r>
          </w:p>
        </w:tc>
      </w:tr>
      <w:tr>
        <w:trPr>
          <w:trHeight w:val="231"/>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Occupancy</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7,727</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8,510</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24,026</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22,671</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1,355</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5,417</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4,913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16,624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15,387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1,237</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Data Processing</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3,882</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3,620</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11,173</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11,543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3,044</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2,396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8,415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7,082</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FDIC Insurance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2,107</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2,104</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6,413</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Delivery and Postage Services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2,186</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2,441</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7,325</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Mileage Program Travel</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1,250</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1,189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3,519</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Merchant Transaction and Card Processing Fees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946</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1,064</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2,982</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3,321</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Advertising</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1,423</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1,559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4,436</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Solar Energy Partnership Investments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848</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1,400</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2,544</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2,666</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8,142</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8,611</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25,552</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25,911</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31"/>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Other Expense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14,795</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16,264</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45,363</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47,178</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33"/>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88,598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87,532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265,355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260,989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4,366</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salaries and benefits expense increased by $1.9 million or 4% in the third quarter of 2017 compared to the same period in 2016 primarily due to a $2.0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in separation expense. In addition, salaries increased by $1.8 million primarily due to merit increases. This increase was largely offset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decrease in share-based compensation and a $0.9 million decrease in incentive compensation. Total salaries and benefits expense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million or 2% for the first nine months of 2017 compared to the same period in 2016. Salaries increased by $3.9 million primarily due to merit increases.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separation expense increased by $1.3 million. These increases were partially offset by a $1.9 million decrease in incentive compensation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 million decrease in share-based compensation.</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occupancy expense decreased by $0.8 million or 9% in the third quarter of 2017 compared to the same period in 2016 primarily due to a $0.4 million gain on sale of real estate property on the island of Oahu during the third quarter of 2017. In addition, building operating expense decreased by $0.4 million. Net occupancy expense increased by $1.4 million or 6% for the first nine months of 2017 compared to the same period in 2016. This increase was primarily due to a $2.4 million decrease in net gain on sale of real estate property ($0.4 million during the first nine months of 2017 compared to $2.8 million in the same period in 2016). The increase in net occupancy expense was partially offset by a $0.7 million decrease in net rental expense primarily due to an increase in sublease rental income, and a $0.4 million decrease in building operating expense.</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equipment expense increased by $0.5 million or 10% in the third quarter of 2017 and by $1.2 million or 8% for the first nine months of 2017 compared to the same periods in 2016 primarily due to an increase in software license fees and maintenance.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Professional fees increased by $0.6 million or 27% in the third quarter of 2017 compared to the same period in 2016 primarily due to a $0.4 million increase in legal fees and a $0.3 million increase in professional services primarily in our mortgage division. Professional fees increased by $1.3 million or 19% for the first nine months of 2017 compared to the same period in 2016. This increase was primarily due to a $0.8 million increase in legal fees and a $0.6 million increase in professional services primarily in our mortgage division.</w:t>
      </w:r>
    </w:p>
    <w:p>
      <w:pPr>
        <w:sectPr>
          <w:pgSz w:w="11900" w:h="16838" w:orient="portrait"/>
          <w:cols w:equalWidth="0" w:num="1">
            <w:col w:w="11420"/>
          </w:cols>
          <w:pgMar w:left="240" w:top="126"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type w:val="continuous"/>
        </w:sectPr>
      </w:pPr>
    </w:p>
    <w:bookmarkStart w:id="68" w:name="page69"/>
    <w:bookmarkEnd w:id="6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Total other expense decreased by $1.5 million or 9% in the third quarter of 2017 compared to the same period in 2016 primarily due to a $0.6 million reduction in solar energy tax credit partnerships amortization expense. In addition, we experienced decreases in delivery and postage services ($0.3 million) and insurance expense ($0.2 million). Total other expense decreased by $1.8 million or 4% for the first nine months of 2017 compared to the same periods in 2016 primarily due to decreases in delivery and postage services ($0.6 million), advertising expense ($0.5 million), and merchant transaction and card processing fees ($0.3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presents our provision for income taxes and effective tax rates.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Provision for Income Taxes and Effective Tax Rates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7</w:t>
            </w:r>
          </w:p>
        </w:tc>
      </w:tr>
      <w:tr>
        <w:trPr>
          <w:trHeight w:val="33"/>
        </w:trPr>
        <w:tc>
          <w:tcPr>
            <w:tcW w:w="6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7"/>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220" w:type="dxa"/>
            <w:vAlign w:val="bottom"/>
            <w:gridSpan w:val="3"/>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9"/>
        </w:trPr>
        <w:tc>
          <w:tcPr>
            <w:tcW w:w="6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20,248</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18,501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62,306</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60,889</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Effective Tax Rates</w:t>
            </w: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30.62%</w:t>
            </w:r>
          </w:p>
        </w:tc>
        <w:tc>
          <w:tcPr>
            <w:tcW w:w="5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30.54%</w:t>
            </w: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r>
    </w:tbl>
    <w:p>
      <w:pPr>
        <w:spacing w:after="0" w:line="23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third quarter of 2017 was 30.62%, up slightly from 29.84% for the same period in 2016. The higher effective tax rate in the third quarter of 2017 was primarily due to higher pretax income compared to a fixed amount of tax credits.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nine months of 2017 was 30.54%, down slightly from 30.62% for the same period in 2016. The effective tax rate for the first nine months of 2017 was favorably impacted by a $2.5 million tax benefit from the exercise of stock options and the vesting of restricted stock, while the effective tax rate for the first nine months of 2016 was favorably impacted by $1.9 million in releases of federal and state tax reserves.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Statements of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$6.3 billion as of September 30, 2017, an increase of $264.2 million or 4% compared to December 31, 2016. As of September 30, 2017, our investment securities portfolio was comprised of securities with an average base duration of approximately 3.05 years.</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2017, we primarily increased our holdings in mortgage-backed securities issued by Ginnie Mae and Fannie Mae. In addition, we also increased our holdings in Small Business Administration securities, while decreasing our holdings in U.S. Treasury securities. Ginnie Mae mortgage-backed securities continue to be our largest concentration in our portfolio. As of September 30, 2017, our portfolio of Ginnie Mae mortgage-backed securities was primarily comprised of securities issued in 2008 or later. As of September 30, 2017, these mortgage-backed securities were all AAA-rated, with a low probability of a change in their credit ratings in the near future. As of September 30, 2017, our available-for-sale investment securities portfolio was comprised of securities with an average base duration of approximately 2.21 years.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unrealized gains in our investment securities portfolio were $60.1 million as of September 30, 2017 and $53.8 million as of December 31, 2016. Gross unrealized losses on our temporarily impaired investment securities were $45.2 million as of September 30, 2017 and $57.2 million as of December 31,</w:t>
      </w:r>
    </w:p>
    <w:p>
      <w:pPr>
        <w:ind w:right="340"/>
        <w:spacing w:after="0" w:line="261" w:lineRule="auto"/>
        <w:rPr>
          <w:sz w:val="20"/>
          <w:szCs w:val="20"/>
          <w:color w:val="auto"/>
        </w:rPr>
      </w:pPr>
      <w:r>
        <w:rPr>
          <w:rFonts w:ascii="Times New Roman" w:cs="Times New Roman" w:eastAsia="Times New Roman" w:hAnsi="Times New Roman"/>
          <w:sz w:val="18"/>
          <w:szCs w:val="18"/>
          <w:color w:val="auto"/>
        </w:rPr>
        <w:t>2016. The gross unrealized loss positions were primarily related to mortgage-backed securities issued by Ginnie Mae, Fannie Mae and Freddie Mac, and corporate debt securities. See Note 2 to the Consolidated Financial Statements for more information.</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September 30, 2017, included in our investment securities portfolio were debt securities issued by political subdivisions within the State of Hawaii of $510.3 million, representing 57% of the total fair value of the Company’s municipal debt securities. Of the entire Hawaii municipal bond portfolio, 95% were credit-rated Aa2 or better by Moody’s while the remaining Hawaii municipal bonds were credit-rated A2 or better by at least one nationally recognized statistical rating organization. Approximately 78% of our Hawaii municipal bond holdings were general obligation issuances. As of September 30, 2017, there were no other holdings of municipal debt securities that were issued by a single state or political subdivision which comprised more than 10% of the total fair value of our municipal debt securities.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126" w:right="27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presents the composition of our loan and lease portfolio by major categories.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Loan and Lease Portfolio Balances</w:t>
            </w:r>
          </w:p>
        </w:tc>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52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5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1,252,238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1,249,791</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Mortgage</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2,050,998</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1,889,551</w:t>
            </w:r>
          </w:p>
        </w:tc>
      </w:tr>
      <w:tr>
        <w:trPr>
          <w:trHeight w:val="237"/>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Construction</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232,487</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270,018</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Lease Financing</w:t>
            </w:r>
          </w:p>
        </w:tc>
        <w:tc>
          <w:tcPr>
            <w:tcW w:w="3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204,240</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208,332</w:t>
            </w:r>
          </w:p>
        </w:tc>
      </w:tr>
      <w:tr>
        <w:trPr>
          <w:trHeight w:val="231"/>
        </w:trPr>
        <w:tc>
          <w:tcPr>
            <w:tcW w:w="5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3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3,739,963</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3,617,692</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Residential Mortgage</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3,366,634</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3,163,073</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Home Equity</w:t>
            </w:r>
          </w:p>
        </w:tc>
        <w:tc>
          <w:tcPr>
            <w:tcW w:w="3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1,528,353</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1,334,163</w:t>
            </w:r>
          </w:p>
        </w:tc>
      </w:tr>
      <w:tr>
        <w:trPr>
          <w:trHeight w:val="237"/>
        </w:trPr>
        <w:tc>
          <w:tcPr>
            <w:tcW w:w="5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Automobile</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506,102</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454,333</w:t>
            </w:r>
          </w:p>
        </w:tc>
      </w:tr>
      <w:tr>
        <w:trPr>
          <w:trHeight w:val="33"/>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3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432,904</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380,524</w:t>
            </w:r>
          </w:p>
        </w:tc>
      </w:tr>
      <w:tr>
        <w:trPr>
          <w:trHeight w:val="231"/>
        </w:trPr>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3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5,833,993</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5,332,093</w:t>
            </w:r>
          </w:p>
        </w:tc>
      </w:tr>
      <w:tr>
        <w:trPr>
          <w:trHeight w:val="33"/>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31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9,573,956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8,949,785</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Comprised of other revolving credit, installment, and lease financing.</w:t>
      </w:r>
    </w:p>
    <w:p>
      <w:pPr>
        <w:spacing w:after="0" w:line="2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loans and leases as of September 30, 2017 increased by $624.2 million or 7% from December 31, 2016 primarily due to growth in our consumer lending portfolio.</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Commercial loans and leases as of September 30, 2017 increased by $122.3 million or 3% from December 31, 2016. Commercial and industrial loans increased by $2.4 million or less than 1% from December 31, 2016. Commercial mortgage loans increased by $161.4 million or 9% from December 31, 2016 primarily due to continued demand from new and existing customers as the Hawaii economy continues to be strong coupled with the transfer of construction loans into this loan portfolio upon project completion. Construction loans decreased by $37.5 million or 14% from December 31, 2016 primarily due to the aforementioned construction loans transferred to the commercial mortgage loan portfolio, as well as successful completion of construction projects such as condominiums and low-income housing, partially offset by increased activity in our portfolio. Lease financing decreased by $4.1 million or 2% from December 31, 2016 primarily due to higher payoff activity on equipment leases.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Consumer loans and leases as of September 30, 2017 increased by $501.9 million or 9% from December 31, 2016. Residential mortgage loans increased by $203.6 million or 6% from December 31, 2016 primarily due to an increase in loan origination and slowdown in payoff activity. Home equity lines and loans increased by $194.2 million or 15% from December 31, 2016 due to increased demand for new loan originations as a result of a strong Hawaii economy. In addition, we continued to experience steady line utilization during 2017. Automobile loans increased by $51.8 million or 11% from December 31, 2016 primarily driven by revised pricing and focus on improving dealer relationships. Other consumer loans increased by $52.4 million or 14% from December 31, 2016, primarily due to growth in our automobile leasing and installment loans.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6"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Times New Roman" w:cs="Times New Roman" w:eastAsia="Times New Roman" w:hAnsi="Times New Roman"/>
                <w:sz w:val="16"/>
                <w:szCs w:val="16"/>
                <w:color w:val="0000EE"/>
                <w:w w:val="99"/>
              </w:rPr>
            </w:pPr>
            <w:hyperlink w:anchor="page2">
              <w:r>
                <w:rPr>
                  <w:rFonts w:ascii="Times New Roman" w:cs="Times New Roman" w:eastAsia="Times New Roman" w:hAnsi="Times New Roman"/>
                  <w:sz w:val="16"/>
                  <w:szCs w:val="16"/>
                  <w:color w:val="0000EE"/>
                  <w:w w:val="99"/>
                </w:rPr>
                <w:t>Table of Contents</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66"/>
        </w:trPr>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41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Geographic Distribution of Loan and Lease Portfolio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9</w:t>
            </w:r>
          </w:p>
        </w:tc>
      </w:tr>
      <w:tr>
        <w:trPr>
          <w:trHeight w:val="27"/>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7"/>
        </w:trPr>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4"/>
        </w:trPr>
        <w:tc>
          <w:tcPr>
            <w:tcW w:w="2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xml:space="preserve">U.S. Mainland </w:t>
            </w:r>
            <w:r>
              <w:rPr>
                <w:rFonts w:ascii="Times New Roman" w:cs="Times New Roman" w:eastAsia="Times New Roman" w:hAnsi="Times New Roman"/>
                <w:sz w:val="17"/>
                <w:szCs w:val="17"/>
                <w:b w:val="1"/>
                <w:bCs w:val="1"/>
                <w:color w:val="auto"/>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Foreign </w:t>
            </w:r>
            <w:r>
              <w:rPr>
                <w:rFonts w:ascii="Times New Roman" w:cs="Times New Roman" w:eastAsia="Times New Roman" w:hAnsi="Times New Roman"/>
                <w:sz w:val="17"/>
                <w:szCs w:val="17"/>
                <w:b w:val="1"/>
                <w:bCs w:val="1"/>
                <w:color w:val="auto"/>
                <w:vertAlign w:val="superscript"/>
              </w:rPr>
              <w:t>2</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1,095,107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106,459</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49,343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1,252,238</w:t>
            </w:r>
          </w:p>
        </w:tc>
      </w:tr>
      <w:tr>
        <w:trPr>
          <w:trHeight w:val="237"/>
        </w:trPr>
        <w:tc>
          <w:tcPr>
            <w:tcW w:w="2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1,786,030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57,733</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207,235</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2,050,998</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218,263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12,852</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232,487</w:t>
            </w:r>
          </w:p>
        </w:tc>
      </w:tr>
      <w:tr>
        <w:trPr>
          <w:trHeight w:val="237"/>
        </w:trPr>
        <w:tc>
          <w:tcPr>
            <w:tcW w:w="2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54,520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145,416</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1,152</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3,152</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204,240</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3,153,920</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309,608</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259,102</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13,582</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3,751</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3,739,963</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3,279,499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85,284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3,366,634</w:t>
            </w:r>
          </w:p>
        </w:tc>
      </w:tr>
      <w:tr>
        <w:trPr>
          <w:trHeight w:val="237"/>
        </w:trPr>
        <w:tc>
          <w:tcPr>
            <w:tcW w:w="2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1,491,254</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34,713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1,245</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1,528,353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406,713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95,822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3,567</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506,102</w:t>
            </w:r>
          </w:p>
        </w:tc>
      </w:tr>
      <w:tr>
        <w:trPr>
          <w:trHeight w:val="269"/>
        </w:trPr>
        <w:tc>
          <w:tcPr>
            <w:tcW w:w="24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7"/>
                <w:szCs w:val="17"/>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355,835</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46,515</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30,554</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432,904</w:t>
            </w: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5,533,301</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1,141</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262,334</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37,217</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5,833,993</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8,687,221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310,749</w:t>
            </w:r>
          </w:p>
        </w:tc>
        <w:tc>
          <w:tcPr>
            <w:tcW w:w="5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521,436</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50,799</w:t>
            </w:r>
          </w:p>
        </w:tc>
        <w:tc>
          <w:tcPr>
            <w:tcW w:w="4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3,751</w:t>
            </w:r>
          </w:p>
        </w:tc>
        <w:tc>
          <w:tcPr>
            <w:tcW w:w="4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9,573,956</w:t>
            </w:r>
          </w:p>
        </w:tc>
      </w:tr>
      <w:tr>
        <w:trPr>
          <w:trHeight w:val="73"/>
        </w:trPr>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1"/>
        </w:trPr>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1,076,742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105,474</w:t>
            </w:r>
          </w:p>
        </w:tc>
        <w:tc>
          <w:tcPr>
            <w:tcW w:w="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66,573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639</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1,249,791</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1,700,162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31,003</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158,386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1,889,551</w:t>
            </w:r>
          </w:p>
        </w:tc>
      </w:tr>
      <w:tr>
        <w:trPr>
          <w:trHeight w:val="237"/>
        </w:trPr>
        <w:tc>
          <w:tcPr>
            <w:tcW w:w="2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262,558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6,264</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270,018</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56,752</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147,092</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1,309</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3,179</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208,332</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3,096,214</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283,569</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227,464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6,903</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3,542</w:t>
            </w: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3,617,692</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3,067,079</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93,764</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3,163,073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1,296,976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1,776</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34,090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1,334,163</w:t>
            </w:r>
          </w:p>
        </w:tc>
      </w:tr>
      <w:tr>
        <w:trPr>
          <w:trHeight w:val="237"/>
        </w:trPr>
        <w:tc>
          <w:tcPr>
            <w:tcW w:w="24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360,759</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89,617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3,944</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454,333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9"/>
        </w:trPr>
        <w:tc>
          <w:tcPr>
            <w:tcW w:w="240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303,372</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40,293</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36,859</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380,524</w:t>
            </w:r>
          </w:p>
        </w:tc>
      </w:tr>
      <w:tr>
        <w:trPr>
          <w:trHeight w:val="232"/>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5,028,186</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1,789</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257,764</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44,354</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5,332,093</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8,124,400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285,358</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485,228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51,257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3,542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8,949,785</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right="180" w:hanging="172"/>
        <w:spacing w:after="0" w:line="253" w:lineRule="auto"/>
        <w:tabs>
          <w:tab w:leader="none" w:pos="18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Hawaii loan and lease portfolio increased by $562.8 million or 7% from December 31, 2016, reflective of a healthy Hawaii economy.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presents the major components of other assets.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6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6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Federal Home Loan Bank and Federal Reserve Bank Stock</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40,645</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40,063</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11,586</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13,731</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Low-Income Housing and Other Equity Investments</w:t>
            </w:r>
          </w:p>
        </w:tc>
        <w:tc>
          <w:tcPr>
            <w:tcW w:w="2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83,266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78,900</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28,064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21,952</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w:t>
            </w:r>
          </w:p>
        </w:tc>
        <w:tc>
          <w:tcPr>
            <w:tcW w:w="2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9,336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7,355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240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31,382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12,584</w:t>
            </w:r>
          </w:p>
        </w:tc>
      </w:tr>
      <w:tr>
        <w:trPr>
          <w:trHeight w:val="33"/>
        </w:trPr>
        <w:tc>
          <w:tcPr>
            <w:tcW w:w="6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29,955</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20,123</w:t>
            </w:r>
          </w:p>
        </w:tc>
      </w:tr>
      <w:tr>
        <w:trPr>
          <w:trHeight w:val="231"/>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2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234,234</w:t>
            </w:r>
          </w:p>
        </w:tc>
        <w:tc>
          <w:tcPr>
            <w:tcW w:w="4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194,708</w:t>
            </w:r>
          </w:p>
        </w:tc>
      </w:tr>
      <w:tr>
        <w:trPr>
          <w:trHeight w:val="33"/>
        </w:trPr>
        <w:tc>
          <w:tcPr>
            <w:tcW w:w="60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assets increased by $39.5 million or 20% from December 31, 2016. The increase was primarily due to a $20.0 million increase in receivables primarily related to a matured security. Also contributing to the increase in other assets were higher balances related to settlement timing of merchant services ($3.7 million) and ATM transactions ($2.6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11 presents the composition of our deposits by major customer categories.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3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4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3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7,303,546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6,997,482</w:t>
            </w:r>
          </w:p>
        </w:tc>
      </w:tr>
      <w:tr>
        <w:trPr>
          <w:trHeight w:val="237"/>
        </w:trPr>
        <w:tc>
          <w:tcPr>
            <w:tcW w:w="4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36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6,091,800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6,110,189</w:t>
            </w:r>
          </w:p>
        </w:tc>
      </w:tr>
      <w:tr>
        <w:trPr>
          <w:trHeight w:val="33"/>
        </w:trPr>
        <w:tc>
          <w:tcPr>
            <w:tcW w:w="47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Public and Other</w:t>
            </w:r>
          </w:p>
        </w:tc>
        <w:tc>
          <w:tcPr>
            <w:tcW w:w="36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1,652,814</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1,212,569</w:t>
            </w:r>
          </w:p>
        </w:tc>
      </w:tr>
      <w:tr>
        <w:trPr>
          <w:trHeight w:val="231"/>
        </w:trPr>
        <w:tc>
          <w:tcPr>
            <w:tcW w:w="4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3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15,048,160</w:t>
            </w:r>
          </w:p>
        </w:tc>
        <w:tc>
          <w:tcPr>
            <w:tcW w:w="4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14,320,240</w:t>
            </w:r>
          </w:p>
        </w:tc>
      </w:tr>
      <w:tr>
        <w:trPr>
          <w:trHeight w:val="33"/>
        </w:trPr>
        <w:tc>
          <w:tcPr>
            <w:tcW w:w="47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deposits were $15.0 billion as of September 30, 2017, an increase of $727.9 million or 5% from December 31, 2016. This increase was primarily due to a $440.2 million increase in public deposits mainly the result of a $563.5 million increase in time deposits which was offset by a decrease in core deposits of $123.3 million. In addition, consumer deposits increased by $306.1 million due to an increase in core deposits and time deposits of $205.5 million and $100.6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12 presents the composition of our savings deposits.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Savings Deposits</w:t>
            </w:r>
          </w:p>
        </w:tc>
        <w:tc>
          <w:tcPr>
            <w:tcW w:w="3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4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4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Money Market</w:t>
            </w:r>
          </w:p>
        </w:tc>
        <w:tc>
          <w:tcPr>
            <w:tcW w:w="3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1,832,084</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1,947,775</w:t>
            </w: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Regular Savings</w:t>
            </w:r>
          </w:p>
        </w:tc>
        <w:tc>
          <w:tcPr>
            <w:tcW w:w="354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3,531,782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3,447,924</w:t>
            </w:r>
          </w:p>
        </w:tc>
      </w:tr>
      <w:tr>
        <w:trPr>
          <w:trHeight w:val="33"/>
        </w:trPr>
        <w:tc>
          <w:tcPr>
            <w:tcW w:w="49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Savings Deposits</w:t>
            </w:r>
          </w:p>
        </w:tc>
        <w:tc>
          <w:tcPr>
            <w:tcW w:w="3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5,363,866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5,395,699</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presents the composition of our securities sold under agreements to repurchase.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Sold Under Agreements to Repurchase</w:t>
            </w:r>
          </w:p>
        </w:tc>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6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6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Private Institutions</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Government Entities</w:t>
            </w:r>
          </w:p>
        </w:tc>
        <w:tc>
          <w:tcPr>
            <w:tcW w:w="242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5,293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23,378</w:t>
            </w:r>
          </w:p>
        </w:tc>
      </w:tr>
      <w:tr>
        <w:trPr>
          <w:trHeight w:val="33"/>
        </w:trPr>
        <w:tc>
          <w:tcPr>
            <w:tcW w:w="6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Securities Sold Under Agreements to Repurchase</w:t>
            </w:r>
          </w:p>
        </w:tc>
        <w:tc>
          <w:tcPr>
            <w:tcW w:w="2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505,293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523,378</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Securities sold under agreements to repurchase as of September 30, 2017 decreased by $18.1 million or 3% from December 31, 2016. This decrease was primarily due to repurchase agreements maturing in the first quarter of 2017. As of September 30, 2017, the weighted-average maturity was 166 days for our repurchase agreements with government entities and 3.9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2.8 years. As of September 30, 2017, the weighted-average interest rate for outstanding agreements with government entities and private institutions was 0.54% and 3.64%, respectively, with all rates being fixed. Each of our repurchase agreements is accounted for as a collateralized financing arrangement (i.e., a secured borrowing) and not as a sale and subsequent repurchase of securities.</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second quarter of 2017, we restructured three of our repurchase agreements with private institutions with an aggregate total of $200.0 million. These repurchase agreements were to mature in 2018 and had a weighted-average interest rate of 3.94%. The restructuring of the agreements extended the maturity dates to June 2022 and lowered the weighted-average interest rate to 2.70% effective June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14 presents the composition of our other debt.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5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3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250,000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Non-Recourse Debt</w:t>
            </w:r>
          </w:p>
        </w:tc>
        <w:tc>
          <w:tcPr>
            <w:tcW w:w="31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7,153</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7,153</w:t>
            </w:r>
          </w:p>
        </w:tc>
      </w:tr>
      <w:tr>
        <w:trPr>
          <w:trHeight w:val="33"/>
        </w:trPr>
        <w:tc>
          <w:tcPr>
            <w:tcW w:w="53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3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10,734</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10,785</w:t>
            </w:r>
          </w:p>
        </w:tc>
      </w:tr>
      <w:tr>
        <w:trPr>
          <w:trHeight w:val="231"/>
        </w:trPr>
        <w:tc>
          <w:tcPr>
            <w:tcW w:w="5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267,887</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267,938</w:t>
            </w:r>
          </w:p>
        </w:tc>
      </w:tr>
      <w:tr>
        <w:trPr>
          <w:trHeight w:val="33"/>
        </w:trPr>
        <w:tc>
          <w:tcPr>
            <w:tcW w:w="53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Other debt was $267.9 million as of September 30, 2017, unchanged from December 31, 2016. As of September 30, 2017, our FHLB advances had a weighted-average interest rate of 1.28% with maturity dates ranging from 2018 to 2020. These advances were primarily for asset/liability management purposes. As of September 30, 2017, our remaining unused line of credit with the FHLB was $2.0 billion.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segments are defined as Retail Banking, Commercial Banking, Investment Services and Private Banking, and Treasury and Other.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Table 15 summarizes net income from our business segments. Additional information about segment performance is presented in Note 9 to the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Business Segment Net Income</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15</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r>
      <w:tr>
        <w:trPr>
          <w:trHeight w:val="212"/>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9"/>
        </w:trPr>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21,488</w:t>
            </w:r>
          </w:p>
        </w:tc>
        <w:tc>
          <w:tcPr>
            <w:tcW w:w="100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20,738</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62,243</w:t>
            </w:r>
          </w:p>
        </w:tc>
        <w:tc>
          <w:tcPr>
            <w:tcW w:w="9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54,398</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Banking</w:t>
            </w:r>
          </w:p>
        </w:tc>
        <w:tc>
          <w:tcPr>
            <w:tcW w:w="56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19,998</w:t>
            </w:r>
          </w:p>
        </w:tc>
        <w:tc>
          <w:tcPr>
            <w:tcW w:w="10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18,236</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57,957</w:t>
            </w:r>
          </w:p>
        </w:tc>
        <w:tc>
          <w:tcPr>
            <w:tcW w:w="9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58,363</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Services and Private Banking</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3,776</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3,225</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11,591</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10,951</w:t>
            </w:r>
          </w:p>
        </w:tc>
      </w:tr>
      <w:tr>
        <w:trPr>
          <w:trHeight w:val="231"/>
        </w:trPr>
        <w:tc>
          <w:tcPr>
            <w:tcW w:w="4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45,262</w:t>
            </w:r>
          </w:p>
        </w:tc>
        <w:tc>
          <w:tcPr>
            <w:tcW w:w="10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42,199</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131,791</w:t>
            </w:r>
          </w:p>
        </w:tc>
        <w:tc>
          <w:tcPr>
            <w:tcW w:w="9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123,712</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619</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1,294</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9,928</w:t>
            </w:r>
          </w:p>
        </w:tc>
        <w:tc>
          <w:tcPr>
            <w:tcW w:w="9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14,236</w:t>
            </w:r>
          </w:p>
        </w:tc>
      </w:tr>
      <w:tr>
        <w:trPr>
          <w:trHeight w:val="231"/>
        </w:trPr>
        <w:tc>
          <w:tcPr>
            <w:tcW w:w="4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45,881</w:t>
            </w:r>
          </w:p>
        </w:tc>
        <w:tc>
          <w:tcPr>
            <w:tcW w:w="100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43,493</w:t>
            </w: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141,719</w:t>
            </w:r>
          </w:p>
        </w:tc>
        <w:tc>
          <w:tcPr>
            <w:tcW w:w="9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137,948</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Banking</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income increased by $0.8 million or 4% in the third quarter of 2017 compared to the same period in 2016 primarily due to an increase in net interest income. This was partially offset by an increase in the Provision and a decrease in noninterest income. The increase in net interest income was primarily due to higher average balances in both the lending and deposit portfolios as well as higher earnings credits on the segment’s deposit portfolio. The increase in the Provision was primarily due to higher net charge-offs in our installment loan, mortgage loan, credit card, and auto loan portfolios, partially offset by lower net charge-offs in our home equity loan and personal credit line portfolios. The decrease in noninterest income was primarily due to lower mortgage loan sales and reduced margins on those sales.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income increased by $7.8 million or 14% in the first nine months of 2017 compared to the same period in 2016 primarily due to an increase in net interest income. This was partially offset by an increase in the Provision and a decrease in noninterest income. The increase in net interest income was primarily due to higher average balances in both the lending and deposit portfolios as well as higher earnings credits on the segment’s deposit portfolio. The increase in the Provision was primarily due to higher net charge-offs in our installment loan, credit card, auto loan, and mortgage loan portfolios, partially offset by lower net charge-offs in our home equity loan and personal credit line portfolios. The decrease in noninterest income is primarily due to lower mortgage loan sales and reduced margins on those sales, partially offset by a $2.1 million net valuation impairment to our mortgage servicing rights, recorded in 2016.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income increased by $1.8 million or 10% in the third quarter of 2017 compared to the same period in 2016 primarily due to an increase in net interest income, partially offset by a decrease in noninterest income and an increase in noninterest expense. The increase in net interest income was primarily due to higher average balances in both the lending and deposit portfolios as well as higher earnings credits on the segment’s deposit portfolio. The decrease in noninterest income was primarily due to lower fees related to our customer interest rate swap derivatives and to lower non-recurring loan fees. The increase in noninterest expense was primarily due to higher allocated expenses.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income decreased by $0.4 million or 1% for the first nine months of 2017 compared to the same period in 2016 primarily to increases in the Provision and noninterest expense, and to a decrease in noninterest income. This was partially offset by an increase in net interest income. The increase in the Provision was primarily due to the recovery in 2016 of a commercial and industrial loan previously charged off related to one commercial client in Guam in the first quarter of 2016. The increase in noninterest expense was primarily due to higher allocated expenses, largely attributed to the gain on sale of real estate property in Guam in the first quarter of 2016. The decrease in noninterest income was primarily due to lower net gains on sale of equipment leases, lower fees related to our customer interest rate swap derivative program, and to lower non-recurring loan fees. Partially offsetting the decrease in net income was an increase in net interest income primarily due to higher average balances in both the lending and deposit portfolios.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Services and Private Banking</w:t>
      </w:r>
    </w:p>
    <w:p>
      <w:pPr>
        <w:spacing w:after="0" w:line="2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Net income increased by $0.6 million or 17% in the third quarter of 2017 compared to the same period in 2016 primarily due to an increase in net interest income, partially offset by an increase in noninterest expenses. The increase in net interest income was primarily due to higher volume resulting from the transfer of deposits from the Retail banking segment and slightly higher earnings credit on the segment’s deposit portfolio. The increase in noninterest expense was primarily due to higher salaries expense.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income increased by $0.6 million or 6% for the first nine months of 2017 compared to the same period in 2016 primarily due to an increase in net interest income, partially offset by an increase in noninterest expense. The increase in net interest income was primarily driven by the transfer of deposits from the Retail Banking segment and growth of the segment’s deposit portfolio. The increase in noninterest expense was primarily due to higher salaries and benefits expense and an operational recovery in the second quarter of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income decreased by $0.7 million or 52% in the third quarter of 2017 compared to the same period in 2016 primarily due to an increase in noninterest expense and the Provision, partially offset by an increase in net interest income. The increase in noninterest expense was due to higher separation expenses. The Provision in this business segment represents the residual provision for credit losses to arrive at the total Provision for the Company. The increase in net interest income was primarily due to an increase in funding income related to lending activities and an increase in interest income related to investment securities, partially offset by higher deposit funding costs.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income decreased by $4.3 million or 30% for the first nine months of 2017 compared to the same period in 2016 primarily due to a decrease in net interest income and increases in noninterest expense and the Provision. This was partially offset by a reduction in the provision for income taxes and an increase in noninterest income. The decrease in net interest income was primarily due to higher deposit funding costs, partially offset by an increase in funding income related to lending activities. The increase in noninterest expense was due to higher separation expenses. The Provision in this business segment represents the residual provision for credit losses to arrive at the total Provision for the Company. The provision for income taxes in this business segment represents the residual amount to arrive at the total tax expense for the Company. The increase in noninterest income was due to higher net gains on the sale of Visa class B shares in the first quarter of 2017. The overall effective tax rate decreased to 30.54% for the nine months of 2017 compared to 30.62% for the same period in 2016.</w:t>
      </w:r>
    </w:p>
    <w:p>
      <w:pPr>
        <w:spacing w:after="0" w:line="18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Risk Profile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September 30, 2017, our overall credit risk profile reflects a healthy Hawaii economy as our levels of non-performing assets and credit losses remain well controlled. The underlying risk profile of our lending portfolio continued to remain strong during the first nine months of 2017.</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26" w:right="259" w:bottom="1440" w:gutter="0" w:footer="0" w:header="0"/>
        </w:sectPr>
      </w:pPr>
    </w:p>
    <w:bookmarkStart w:id="76" w:name="page77"/>
    <w:bookmarkEnd w:id="7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 and Accruing Loans and Leases Past Due 90 Days or More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Non-Performing Assets and Accruing Loans and Leases Past Due 90 Days or More</w:t>
            </w:r>
          </w:p>
        </w:tc>
        <w:tc>
          <w:tcPr>
            <w:tcW w:w="1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7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12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Non-Performing Assets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Non-Accrual Loans and Leases</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901</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w:t>
            </w:r>
          </w:p>
        </w:tc>
      </w:tr>
      <w:tr>
        <w:trPr>
          <w:trHeight w:val="33"/>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Commercial Mortgage</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1,425</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997</w:t>
            </w:r>
          </w:p>
        </w:tc>
      </w:tr>
      <w:tr>
        <w:trPr>
          <w:trHeight w:val="217"/>
        </w:trPr>
        <w:tc>
          <w:tcPr>
            <w:tcW w:w="72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Total Commercial</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2,326</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1,148</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Residential Mortgage</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9,188</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13,780</w:t>
            </w: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Home Equity</w:t>
            </w:r>
          </w:p>
        </w:tc>
        <w:tc>
          <w:tcPr>
            <w:tcW w:w="1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4,128</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3,147</w:t>
            </w:r>
          </w:p>
        </w:tc>
      </w:tr>
      <w:tr>
        <w:trPr>
          <w:trHeight w:val="217"/>
        </w:trPr>
        <w:tc>
          <w:tcPr>
            <w:tcW w:w="72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Total Consumer</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13,316</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16,927</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Non-Accrual Loans and Leases</w:t>
            </w:r>
          </w:p>
        </w:tc>
        <w:tc>
          <w:tcPr>
            <w:tcW w:w="1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15,642</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18,075</w:t>
            </w:r>
          </w:p>
        </w:tc>
      </w:tr>
      <w:tr>
        <w:trPr>
          <w:trHeight w:val="217"/>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Foreclosed Real Estate</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1,393</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1,686</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17,035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19,761</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Accruing Loans and Leases Past Due 90 Days or More</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Residential Mortgage</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2,933</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3,127</w:t>
            </w: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Home Equity</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1,392</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1,457</w:t>
            </w:r>
          </w:p>
        </w:tc>
      </w:tr>
      <w:tr>
        <w:trPr>
          <w:trHeight w:val="224"/>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Automobile</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806</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894</w:t>
            </w: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4"/>
        </w:trPr>
        <w:tc>
          <w:tcPr>
            <w:tcW w:w="72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7"/>
                <w:szCs w:val="17"/>
                <w:color w:val="auto"/>
                <w:vertAlign w:val="superscript"/>
              </w:rPr>
              <w:t>1</w:t>
            </w:r>
          </w:p>
        </w:tc>
        <w:tc>
          <w:tcPr>
            <w:tcW w:w="1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1,528</w:t>
            </w:r>
          </w:p>
        </w:tc>
        <w:tc>
          <w:tcPr>
            <w:tcW w:w="4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1,592</w:t>
            </w:r>
          </w:p>
        </w:tc>
      </w:tr>
      <w:tr>
        <w:trPr>
          <w:trHeight w:val="224"/>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1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6,659</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7,070</w:t>
            </w: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Accruing Loans and Leases Past Due 90 Days or More</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6,664</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7,070</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Restructured Loans on Accrual Status and Not Past Due 90 Days or More</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55,038</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52,208</w:t>
            </w:r>
          </w:p>
        </w:tc>
      </w:tr>
      <w:tr>
        <w:trPr>
          <w:trHeight w:val="73"/>
        </w:trPr>
        <w:tc>
          <w:tcPr>
            <w:tcW w:w="7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9,573,956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8,949,785</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Ratio of Non-Accrual Loans and Leases to Total Loans and Leases</w:t>
            </w:r>
          </w:p>
        </w:tc>
        <w:tc>
          <w:tcPr>
            <w:tcW w:w="1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Non-Performing Assets to Total Loans and Leases and Foreclosed Real Estate</w:t>
            </w:r>
          </w:p>
        </w:tc>
        <w:tc>
          <w:tcPr>
            <w:tcW w:w="1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9"/>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Ratio of Commercial Non-Performing Assets to Total Commercial Loans and Leases</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0"/>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Commercial Foreclosed Real Estate</w:t>
            </w:r>
          </w:p>
        </w:tc>
        <w:tc>
          <w:tcPr>
            <w:tcW w:w="1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Consumer Non-Performing Assets to Total Consumer Loans and Leases</w:t>
            </w: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8"/>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Consumer Foreclosed Real Estate</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09"/>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Ratio of Non-Performing Assets and Accruing Loans and Leases Past Due 90 Days</w:t>
            </w:r>
          </w:p>
        </w:tc>
        <w:tc>
          <w:tcPr>
            <w:tcW w:w="1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0"/>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 More to Total Loans and Leases and Foreclosed Real Estate</w:t>
            </w:r>
          </w:p>
        </w:tc>
        <w:tc>
          <w:tcPr>
            <w:tcW w:w="1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Changes in Non-Performing Assets</w:t>
            </w:r>
          </w:p>
        </w:tc>
        <w:tc>
          <w:tcPr>
            <w:tcW w:w="1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2016</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19,761</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5,005</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Reductions</w:t>
            </w: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Return to Accrual Status</w:t>
            </w:r>
          </w:p>
        </w:tc>
        <w:tc>
          <w:tcPr>
            <w:tcW w:w="11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(2,320)</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Sales of Foreclosed Real Estate</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(2,834)</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Charge-offs/Write-downs</w:t>
            </w:r>
          </w:p>
        </w:tc>
        <w:tc>
          <w:tcPr>
            <w:tcW w:w="112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(864)</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Reductions</w:t>
            </w:r>
          </w:p>
        </w:tc>
        <w:tc>
          <w:tcPr>
            <w:tcW w:w="1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(7,731)</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2017</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17,035</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160" w:val="left"/>
        </w:tabs>
        <w:rPr>
          <w:sz w:val="20"/>
          <w:szCs w:val="20"/>
          <w:color w:val="auto"/>
        </w:rPr>
      </w:pPr>
      <w:r>
        <w:rPr>
          <w:rFonts w:ascii="Times New Roman" w:cs="Times New Roman" w:eastAsia="Times New Roman" w:hAnsi="Times New Roman"/>
          <w:sz w:val="9"/>
          <w:szCs w:val="9"/>
          <w:color w:val="auto"/>
        </w:rPr>
        <w:t>1</w:t>
      </w:r>
      <w:r>
        <w:rPr>
          <w:sz w:val="20"/>
          <w:szCs w:val="20"/>
          <w:color w:val="auto"/>
        </w:rPr>
        <w:tab/>
      </w:r>
      <w:r>
        <w:rPr>
          <w:rFonts w:ascii="Times New Roman" w:cs="Times New Roman" w:eastAsia="Times New Roman" w:hAnsi="Times New Roman"/>
          <w:sz w:val="14"/>
          <w:szCs w:val="14"/>
          <w:color w:val="auto"/>
        </w:rPr>
        <w:t>Comprised of other revolving credit, installment, and lease financing.</w:t>
      </w:r>
    </w:p>
    <w:p>
      <w:pPr>
        <w:sectPr>
          <w:pgSz w:w="11900" w:h="16838" w:orient="portrait"/>
          <w:cols w:equalWidth="0" w:num="1">
            <w:col w:w="11420"/>
          </w:cols>
          <w:pgMar w:left="240" w:top="126" w:right="239" w:bottom="1157"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6" w:right="239" w:bottom="1157" w:gutter="0" w:footer="0" w:header="0"/>
          <w:type w:val="continuous"/>
        </w:sectPr>
      </w:pPr>
    </w:p>
    <w:bookmarkStart w:id="77" w:name="page78"/>
    <w:bookmarkEnd w:id="7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Total NPAs were $17.0 million as of September 30, 2017, a decrease of $2.7 million or 14% from December 31, 2016. The decrease was experienced in our consumer lending portfolio. The ratio of our NPAs to total loans and leases and foreclosed real estate was 0.18% as of September 30, 2017 and 0.22% as of December 31, 2016.</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Commercial and industrial non-accrual loans increased by $0.8 million from December 31, 2016 primarily due to the addition of one borrower. We have evaluated this borrower for impairment and recorded a $0.3 million partial charge-off in the third quarter of 2017.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mortgage non-accrual loans were $1.4 million as of September 30, 2017, an increase of $0.4 million or 43% from December 31, 2016, due to the addition of a loan from December 31, 2016. We have individually evaluated the commercial mortgage non-accrual loans for impairment and have recorded no partial charge-offs.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largest component of our NPAs continues to be residential mortgage loans. Residential mortgage non-accrual loans decreased by $4.6 million or 33% from December 31, 2016 primarily due to transfers to foreclosed real estate and from loans returning to accrual status. Residential mortgage non-accrual loans remain at elevated levels due mainly to the lengthy judicial foreclosure process as well as residential mortgage loan modifications the Bank entered into to assist borrowers wishing to remain in their residences despite having financial challenges. As of September 30, 2017, our residential mortgage non-accrual loans were comprised of 30 loans with a weighted average current LTV ratio of 60%.</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decreased by $0.3 million or 17% from December 31, 2016 due to the sale of one residential property, offset by the addition of one commercial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 Past Due 90 Days or More and Still Accruing Interest</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$6.7 million as of September 30, 2017, a $0.4 million or 6% decrease from December 31,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Impaired Loans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$61.1 million as of September 30, 2017 and $60.7 million as of December 31, 2016, and had a related Allowance of $3.9 million and $3.6 million as of September 30, 2017 and December 31, 2016, respectively. As of September 30, 2017, we have recorded cumulative charge-offs of $15.6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26" w:right="259" w:bottom="1440" w:gutter="0" w:footer="0" w:header="0"/>
        </w:sectPr>
      </w:pPr>
    </w:p>
    <w:bookmarkStart w:id="78" w:name="page79"/>
    <w:bookmarkEnd w:id="7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17 presents information on loans with terms that have been modified in a TDR.</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Loans Modified in a Troubled Debt Restructuring</w:t>
            </w:r>
          </w:p>
        </w:tc>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0"/>
        </w:trPr>
        <w:tc>
          <w:tcPr>
            <w:tcW w:w="5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2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8,722</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10,170</w:t>
            </w: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Commercial Mortgage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9,628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9,157</w:t>
            </w:r>
          </w:p>
        </w:tc>
      </w:tr>
      <w:tr>
        <w:trPr>
          <w:trHeight w:val="237"/>
        </w:trPr>
        <w:tc>
          <w:tcPr>
            <w:tcW w:w="5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Construction</w:t>
            </w:r>
          </w:p>
        </w:tc>
        <w:tc>
          <w:tcPr>
            <w:tcW w:w="25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1,441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1,513</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Commercial</w:t>
            </w:r>
          </w:p>
        </w:tc>
        <w:tc>
          <w:tcPr>
            <w:tcW w:w="25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19,791</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20,840</w:t>
            </w:r>
          </w:p>
        </w:tc>
      </w:tr>
      <w:tr>
        <w:trPr>
          <w:trHeight w:val="231"/>
        </w:trPr>
        <w:tc>
          <w:tcPr>
            <w:tcW w:w="5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25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Residential Mortgage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21,401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25,625</w:t>
            </w:r>
          </w:p>
        </w:tc>
      </w:tr>
      <w:tr>
        <w:trPr>
          <w:trHeight w:val="237"/>
        </w:trPr>
        <w:tc>
          <w:tcPr>
            <w:tcW w:w="5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Home Equity</w:t>
            </w:r>
          </w:p>
        </w:tc>
        <w:tc>
          <w:tcPr>
            <w:tcW w:w="258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1,810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1,516</w:t>
            </w:r>
          </w:p>
        </w:tc>
      </w:tr>
      <w:tr>
        <w:trPr>
          <w:trHeight w:val="33"/>
        </w:trPr>
        <w:tc>
          <w:tcPr>
            <w:tcW w:w="5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Automobile</w:t>
            </w:r>
          </w:p>
        </w:tc>
        <w:tc>
          <w:tcPr>
            <w:tcW w:w="2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13,612</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9,660</w:t>
            </w:r>
          </w:p>
        </w:tc>
      </w:tr>
      <w:tr>
        <w:trPr>
          <w:trHeight w:val="270"/>
        </w:trPr>
        <w:tc>
          <w:tcPr>
            <w:tcW w:w="5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5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2,562</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2,326</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Consumer</w:t>
            </w:r>
          </w:p>
        </w:tc>
        <w:tc>
          <w:tcPr>
            <w:tcW w:w="25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39,385</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39,127</w:t>
            </w:r>
          </w:p>
        </w:tc>
      </w:tr>
      <w:tr>
        <w:trPr>
          <w:trHeight w:val="231"/>
        </w:trPr>
        <w:tc>
          <w:tcPr>
            <w:tcW w:w="5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59,176</w:t>
            </w:r>
          </w:p>
        </w:tc>
        <w:tc>
          <w:tcPr>
            <w:tcW w:w="4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59,967</w:t>
            </w:r>
          </w:p>
        </w:tc>
      </w:tr>
      <w:tr>
        <w:trPr>
          <w:trHeight w:val="33"/>
        </w:trPr>
        <w:tc>
          <w:tcPr>
            <w:tcW w:w="58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Comprised of other revolving credit, installment, and lease financing.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modified in a TDR decreased by $0.8 million or 1% from December 31, 2016. Residential mortgage loans remain our largest TDR loan class.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Table 18 presents the activity in our reserve for credit losses.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Reserve for Credit Losses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Table 18</w:t>
            </w:r>
          </w:p>
        </w:tc>
      </w:tr>
      <w:tr>
        <w:trPr>
          <w:trHeight w:val="27"/>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20"/>
                <w:szCs w:val="20"/>
                <w:color w:val="auto"/>
              </w:rPr>
            </w:pPr>
          </w:p>
        </w:tc>
        <w:tc>
          <w:tcPr>
            <w:tcW w:w="252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70"/>
        </w:trPr>
        <w:tc>
          <w:tcPr>
            <w:tcW w:w="5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23"/>
                <w:szCs w:val="23"/>
                <w:color w:val="auto"/>
              </w:rPr>
            </w:pPr>
          </w:p>
        </w:tc>
      </w:tr>
      <w:tr>
        <w:trPr>
          <w:trHeight w:val="33"/>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9"/>
        </w:trPr>
        <w:tc>
          <w:tcPr>
            <w:tcW w:w="5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113,175</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110,504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110,845</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108,952</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Commercial</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(611)</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(909)</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(670)</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(725)</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Home Equity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(129)</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(774)</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(848)</w:t>
            </w: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Automobile</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(1,921)</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(5,723)</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(4,635)</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9"/>
        </w:trPr>
        <w:tc>
          <w:tcPr>
            <w:tcW w:w="55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7"/>
                <w:szCs w:val="17"/>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(3,521)</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(2,678)</w:t>
            </w:r>
          </w:p>
        </w:tc>
        <w:tc>
          <w:tcPr>
            <w:tcW w:w="2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(9,278)</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(7,017)</w:t>
            </w:r>
          </w:p>
        </w:tc>
      </w:tr>
      <w:tr>
        <w:trPr>
          <w:trHeight w:val="232"/>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Loans and Leases Charged-Off</w:t>
            </w:r>
          </w:p>
        </w:tc>
        <w:tc>
          <w:tcPr>
            <w:tcW w:w="3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(6,218)</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(17,409)</w:t>
            </w:r>
          </w:p>
        </w:tc>
        <w:tc>
          <w:tcPr>
            <w:tcW w:w="5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(13,558)</w:t>
            </w:r>
          </w:p>
        </w:tc>
      </w:tr>
      <w:tr>
        <w:trPr>
          <w:trHeight w:val="33"/>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597</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1,198</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7,552</w:t>
            </w: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Commercial Mortgage</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Construction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 Financing</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89</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457</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997</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Home Equity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837</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2,183</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1,453</w:t>
            </w:r>
          </w:p>
        </w:tc>
      </w:tr>
      <w:tr>
        <w:trPr>
          <w:trHeight w:val="237"/>
        </w:trPr>
        <w:tc>
          <w:tcPr>
            <w:tcW w:w="5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Automobile</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692</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1,919</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1,748</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9"/>
        </w:trPr>
        <w:tc>
          <w:tcPr>
            <w:tcW w:w="55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7"/>
                <w:szCs w:val="17"/>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530</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471</w:t>
            </w:r>
          </w:p>
        </w:tc>
        <w:tc>
          <w:tcPr>
            <w:tcW w:w="2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1,608</w:t>
            </w:r>
          </w:p>
        </w:tc>
        <w:tc>
          <w:tcPr>
            <w:tcW w:w="5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1,394</w:t>
            </w:r>
          </w:p>
        </w:tc>
      </w:tr>
      <w:tr>
        <w:trPr>
          <w:trHeight w:val="232"/>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Recoveries on Loans and Leases Previously Charged-Off</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2,746</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2,517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7,367</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13,211</w:t>
            </w:r>
          </w:p>
        </w:tc>
      </w:tr>
      <w:tr>
        <w:trPr>
          <w:trHeight w:val="33"/>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(3,472)</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(10,042)</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4,000</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12,650</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1,500</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Unfunded Commitments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250</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500</w:t>
            </w:r>
          </w:p>
        </w:tc>
      </w:tr>
      <w:tr>
        <w:trPr>
          <w:trHeight w:val="297"/>
        </w:trPr>
        <w:tc>
          <w:tcPr>
            <w:tcW w:w="55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Balance at End of Period </w:t>
            </w:r>
            <w:r>
              <w:rPr>
                <w:rFonts w:ascii="Times New Roman" w:cs="Times New Roman" w:eastAsia="Times New Roman" w:hAnsi="Times New Roman"/>
                <w:sz w:val="17"/>
                <w:szCs w:val="17"/>
                <w:b w:val="1"/>
                <w:bCs w:val="1"/>
                <w:color w:val="auto"/>
                <w:vertAlign w:val="superscript"/>
              </w:rPr>
              <w:t>2</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113,703</w:t>
            </w:r>
          </w:p>
        </w:tc>
        <w:tc>
          <w:tcPr>
            <w:tcW w:w="5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110,605</w:t>
            </w:r>
          </w:p>
        </w:tc>
        <w:tc>
          <w:tcPr>
            <w:tcW w:w="2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113,703</w:t>
            </w:r>
          </w:p>
        </w:tc>
        <w:tc>
          <w:tcPr>
            <w:tcW w:w="5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110,605</w:t>
            </w:r>
          </w:p>
        </w:tc>
      </w:tr>
      <w:tr>
        <w:trPr>
          <w:trHeight w:val="122"/>
        </w:trPr>
        <w:tc>
          <w:tcPr>
            <w:tcW w:w="5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Loan and Lease Losses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106,881</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104,033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106,881</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104,033</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Reserve for Unfunded Commitments</w:t>
            </w:r>
          </w:p>
        </w:tc>
        <w:tc>
          <w:tcPr>
            <w:tcW w:w="30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6,822</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6,822</w:t>
            </w:r>
          </w:p>
        </w:tc>
        <w:tc>
          <w:tcPr>
            <w:tcW w:w="5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6,572</w:t>
            </w:r>
          </w:p>
        </w:tc>
      </w:tr>
      <w:tr>
        <w:trPr>
          <w:trHeight w:val="33"/>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Reserve for Credit Losses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113,703</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110,605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113,703</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110,605</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Average Loans and Leases Outstanding</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9,451,972</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8,483,588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9,231,615</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8,210,596</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16"/>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Net Loans and Leases Charged-Off to</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Average Loans and Leases Outstanding (annualized)</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0.15%</w:t>
            </w: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0.15%</w:t>
            </w:r>
          </w:p>
        </w:tc>
        <w:tc>
          <w:tcPr>
            <w:tcW w:w="5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Ratio of Allowance for Loan and Lease Losses to</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Loans and Leases Outstanding</w:t>
            </w:r>
          </w:p>
        </w:tc>
        <w:tc>
          <w:tcPr>
            <w:tcW w:w="3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1.12%</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bl>
    <w:p>
      <w:pPr>
        <w:spacing w:after="0" w:line="64" w:lineRule="exact"/>
        <w:rPr>
          <w:sz w:val="20"/>
          <w:szCs w:val="20"/>
          <w:color w:val="auto"/>
        </w:rPr>
      </w:pPr>
    </w:p>
    <w:p>
      <w:pPr>
        <w:ind w:left="260" w:hanging="171"/>
        <w:spacing w:after="0"/>
        <w:tabs>
          <w:tab w:leader="none" w:pos="26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Comprised of other revolving credit, installment, and lease financing.</w:t>
      </w:r>
    </w:p>
    <w:p>
      <w:pPr>
        <w:spacing w:after="0" w:line="17" w:lineRule="exact"/>
        <w:rPr>
          <w:sz w:val="20"/>
          <w:szCs w:val="20"/>
          <w:color w:val="auto"/>
        </w:rPr>
      </w:pPr>
    </w:p>
    <w:p>
      <w:pPr>
        <w:ind w:left="260" w:hanging="171"/>
        <w:spacing w:after="0"/>
        <w:tabs>
          <w:tab w:leader="none" w:pos="26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this analysis is activity related to the Company’s reserve for unfunded commitments, which is separately recorded in other liabilities in the consolidated statements of condition.</w:t>
      </w:r>
    </w:p>
    <w:p>
      <w:pPr>
        <w:spacing w:after="0" w:line="1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6" w:right="239" w:bottom="1440" w:gutter="0" w:footer="0" w:header="0"/>
          <w:type w:val="continuous"/>
        </w:sectPr>
      </w:pPr>
    </w:p>
    <w:bookmarkStart w:id="80" w:name="page81"/>
    <w:bookmarkEnd w:id="8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and Lease Losses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2017, the Allowance was $106.9 million or 1.12% of total loans and leases outstanding, compared with an Allowance of $104.3 million or 1.17% of total loans and leases outstanding as of December 31, 2016. The decrease in the ratio of Allowance to loans and leases outstanding was commensurate with the Company’s credit risk profile, loan growth, and a healthy Hawaii economy.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charge-offs on loans and leases were $3.5 million or 0.15% of total average loans and leases, on an annualized basis, in the third quarter of 2017 compared to net charge-offs of $2.4 million or 0.11% of total average loans and leases, on an annualized basis, in the third quarter of 2016. Net charge-offs on loans and leases were $10.0 million or 0.15% of total average loans and leases, on an annualized basis, for the first nine months of 2017 compared to $0.3 million or 0.01% for the same period in 2016. Net recoveries in our commercial portfolios were $0.3 million for the first nine months of 2017 compared to $6.9 million for the same period in 2016. Commercial recoveries in the first nine months of 2016 were primarily due to the recovery of one commercial and industrial loan. Net charge-offs in our consumer portfolios were $10.3 million for the first nine months of 2017 compared to $7.3 million for the same period in 2016. The higher net charge-offs during the first nine months of 2017 were primarily in our automobile and installment loan portfolios.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determine the amount of each component of the Allowance separately, the Allowance as a whole was considered appropriate by management as of September 30, 2017, based on our ongoing analysis of estimated probable credit losses, credit risk profiles, economic conditions, coverage ratios, and other relevant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Reserve for Unfunded Commitments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Unfunded Reserve was $6.8 million as of September 30, 2017, an increase of $0.3 million from December 31, 2016. The process used to determine the Unfunded Reserve is consistent with the process for determining the Allowance, as adjusted for estimated funding probabilities.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126" w:right="259" w:bottom="1440" w:gutter="0" w:footer="0" w:header="0"/>
        </w:sectPr>
      </w:pPr>
    </w:p>
    <w:bookmarkStart w:id="81" w:name="page82"/>
    <w:bookmarkEnd w:id="8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is interest rate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6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balance sheet mix or altering the interest rate characteristics of assets and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pricing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characteristics of the investment securities portfolio;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derivative financial instruments.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use of derivative financial instruments, as detailed in Note 11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126" w:right="279" w:bottom="1440" w:gutter="0" w:footer="0" w:header="0"/>
        </w:sectPr>
      </w:pPr>
    </w:p>
    <w:bookmarkStart w:id="82" w:name="page83"/>
    <w:bookmarkEnd w:id="8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net interest income simulations to analyze short-term income sensitivities to changes in interest rates. Table 19</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presents, for the twelve months subsequent to September 30, 2017 and December 31, 2016,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September 30, 2017,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Since deposit costs are already at low levels, we believe that lower interest rates are unlikely to significantly impact our funding costs. Based on our net interest income simulation as of September 30, 2017, net interest income sensitivity to changes in interest rates for the twelve months subsequent to September 30, 2017 was relatively less sensitive in comparison to the sensitivity profile for the twelve months subsequent to December 31, 2016.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9"/>
        </w:trPr>
        <w:tc>
          <w:tcPr>
            <w:tcW w:w="5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820" w:type="dxa"/>
            <w:vAlign w:val="bottom"/>
            <w:tcBorders>
              <w:bottom w:val="single" w:sz="8" w:color="auto"/>
            </w:tcBorders>
          </w:tcPr>
          <w:p>
            <w:pPr>
              <w:spacing w:after="0"/>
              <w:rPr>
                <w:sz w:val="22"/>
                <w:szCs w:val="22"/>
                <w:color w:val="auto"/>
              </w:rPr>
            </w:pPr>
          </w:p>
        </w:tc>
      </w:tr>
      <w:tr>
        <w:trPr>
          <w:trHeight w:val="249"/>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+200</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14,990</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3.2 %</w:t>
            </w:r>
          </w:p>
        </w:tc>
        <w:tc>
          <w:tcPr>
            <w:tcW w:w="6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17,752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7,675</w:t>
            </w:r>
          </w:p>
        </w:tc>
        <w:tc>
          <w:tcPr>
            <w:tcW w:w="8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1.6</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8,524</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24"/>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-100</w:t>
            </w:r>
          </w:p>
        </w:tc>
        <w:tc>
          <w:tcPr>
            <w:tcW w:w="420" w:type="dxa"/>
            <w:vAlign w:val="bottom"/>
          </w:tcPr>
          <w:p>
            <w:pPr>
              <w:spacing w:after="0"/>
              <w:rPr>
                <w:sz w:val="19"/>
                <w:szCs w:val="19"/>
                <w:color w:val="auto"/>
              </w:rPr>
            </w:pPr>
          </w:p>
        </w:tc>
        <w:tc>
          <w:tcPr>
            <w:tcW w:w="196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rPr>
              <w:t>(8,612)</w:t>
            </w: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(10,810)</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36,654</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45,372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24"/>
        </w:trPr>
        <w:tc>
          <w:tcPr>
            <w:tcW w:w="5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+100</w:t>
            </w:r>
          </w:p>
        </w:tc>
        <w:tc>
          <w:tcPr>
            <w:tcW w:w="420" w:type="dxa"/>
            <w:vAlign w:val="bottom"/>
          </w:tcPr>
          <w:p>
            <w:pPr>
              <w:spacing w:after="0"/>
              <w:rPr>
                <w:sz w:val="19"/>
                <w:szCs w:val="19"/>
                <w:color w:val="auto"/>
              </w:rPr>
            </w:pPr>
          </w:p>
        </w:tc>
        <w:tc>
          <w:tcPr>
            <w:tcW w:w="196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rPr>
              <w:t>19,345</w:t>
            </w: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4.1</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22,090</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-100</w:t>
            </w:r>
          </w:p>
        </w:tc>
        <w:tc>
          <w:tcPr>
            <w:tcW w:w="4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(27,560)</w:t>
            </w:r>
          </w:p>
        </w:tc>
        <w:tc>
          <w:tcPr>
            <w:tcW w:w="8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(5.9)</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(27,888)</w:t>
            </w: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9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should steepen, net interest income may increase.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Risks</w:t>
      </w:r>
    </w:p>
    <w:p>
      <w:pPr>
        <w:spacing w:after="0" w:line="22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Maturities and payments on outstanding loans and maturing investment securities also provide a steady flow of funds. Liquidity is further enhanced by our ability to pledge loans to access secured borrowings from the FHLB and FRB. As of September 30, 2017, we had additional borrowing capacity of $2.0 billion from the FHLB and $676.5 million from the FRB based on the amount of collateral pledged.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continued our focus on maintaining a strong liquidity position throughout the first nine months of 2017. As of September 30, 2017, cash and cash equivalents were $761.5 million, the carrying value of our available-for-sale investment securities was $2.3 billion, and total deposits were $15.0 billion. As of September 30, 2017, our available-for-sale investment securities portfolio was comprised of securities with an average base duration of approximately 2.21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September 30, 2017, the Company and the Bank were considered “well capitalized” under this regulatory framework. The Company’s regulatory capital ratios are presented in Table 20 below. There have been no conditions or events since September 30, 2017 that management believes have changed either the Company’s or the Bank’s capital classifications.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2017, shareholders’ equity was $1.2 billion, an increase of $66.4 million or 6% from December 31, 2016. For the first nine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net income of $141.7 million, common stock issuances of $11.7 million, share-based compensation of $5.3 million, and other comprehensive income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 million were partially offset by cash dividends paid of $64.9 million, and common stock repurchased of $36.4 million. In the first nine months of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amount of common stock repurchased were 420,566 shares repurchased under our share repurchase program. These shares were repurchased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 average cost per share of $81.70 and a total cost of $34.4 million. From the beginning of our share repurchase program in July 2001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we repurchased a total of 54.1 million shares of common stock and returned a total of $2.06 billion to our shareholders at an average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$38.19 per share. As of September 30, 2017, remaining buyback authority under our share repurchase program was $30.6 million. From October 1,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October 17, 2017, the Parent repurchased an additional 35,500 shares of common stock at an average cost of $83.93 per share for a total of</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$3.0 million. Remaining buyback authority under our share repurchase program was $27.7 million as of October 17, 2017. On October 20, 2017, the Parent’s Board of Directors increased the authorization under the share repurchase program by an additional $100.0 million. The actual amount and timing of future share repurchases, if any, will depend on market and economic conditions, regulatory rules, applicable SEC rules, and various other factors.</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October 2017, the Parent’s Board of Directors declared a quarterly cash dividend of $0.52 per share on the Parent’s outstanding shares. The dividend will be payable on December 14, 2017 to shareholders of record at the close of business on November 30, 2017.</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to be fully phased-in by January 1, 2019. As of September 30, 2017, the Company’s capital levels remained characterized as “well-capitalized” under the new rules. See the “Regulatory Initiatives Affecting the Banking Industry” section below for further discussion on Basel III.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20 presents our regulatory capital and ratios as of September 30, 2017 and December 31, 2016.</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8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Regulatory Capital and Ratios</w:t>
            </w: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r>
      <w:tr>
        <w:trPr>
          <w:trHeight w:val="240"/>
        </w:trPr>
        <w:tc>
          <w:tcPr>
            <w:tcW w:w="61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1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Borders>
              <w:bottom w:val="single" w:sz="8" w:color="auto"/>
            </w:tcBorders>
          </w:tcPr>
          <w:p>
            <w:pPr>
              <w:spacing w:after="0"/>
              <w:rPr>
                <w:sz w:val="20"/>
                <w:szCs w:val="20"/>
                <w:color w:val="auto"/>
              </w:rPr>
            </w:pPr>
          </w:p>
        </w:tc>
      </w:tr>
      <w:tr>
        <w:trPr>
          <w:trHeight w:val="201"/>
        </w:trPr>
        <w:tc>
          <w:tcPr>
            <w:tcW w:w="61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Regulatory Capital</w:t>
            </w:r>
          </w:p>
        </w:tc>
        <w:tc>
          <w:tcPr>
            <w:tcW w:w="1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1,227,893</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1,161,537</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1</w:t>
            </w:r>
          </w:p>
        </w:tc>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27,413</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27,413</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Postretirement Benefit Liability Adjustments</w:t>
            </w:r>
          </w:p>
        </w:tc>
        <w:tc>
          <w:tcPr>
            <w:tcW w:w="19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(28,453)</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(28,892)</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Net Unrealized Gains (Losses) on Investment Securities </w:t>
            </w:r>
            <w:r>
              <w:rPr>
                <w:rFonts w:ascii="Times New Roman" w:cs="Times New Roman" w:eastAsia="Times New Roman" w:hAnsi="Times New Roman"/>
                <w:sz w:val="21"/>
                <w:szCs w:val="21"/>
                <w:color w:val="auto"/>
                <w:vertAlign w:val="superscript"/>
              </w:rPr>
              <w:t>2</w:t>
            </w:r>
          </w:p>
        </w:tc>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3,431</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9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19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1,225,700</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1,168,228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Tier 1 Capital</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1,225,700</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1,168,228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Allowable Reserve for Credit Losses</w:t>
            </w:r>
          </w:p>
        </w:tc>
        <w:tc>
          <w:tcPr>
            <w:tcW w:w="19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113,703</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110,300</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Regulatory Capital</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1,339,403</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1,278,528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Risk-Weighted Assets</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9,233,969</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8,823,485</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Key Regulatory Capital Ratios</w:t>
            </w:r>
          </w:p>
        </w:tc>
        <w:tc>
          <w:tcPr>
            <w:tcW w:w="19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9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13.27</w:t>
            </w:r>
          </w:p>
        </w:tc>
        <w:tc>
          <w:tcPr>
            <w:tcW w:w="6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Tier 1 Capital Ratio</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13.27</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Total Capital Ratio</w:t>
            </w:r>
          </w:p>
        </w:tc>
        <w:tc>
          <w:tcPr>
            <w:tcW w:w="19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14.51</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14.49</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Tier 1 Leverage Ratio</w:t>
            </w:r>
          </w:p>
        </w:tc>
        <w:tc>
          <w:tcPr>
            <w:tcW w:w="19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7.24</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ind w:left="80" w:hanging="72"/>
        <w:spacing w:after="0"/>
        <w:tabs>
          <w:tab w:leader="none" w:pos="8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net of deferred tax liabilities.</w:t>
      </w:r>
    </w:p>
    <w:p>
      <w:pPr>
        <w:spacing w:after="0" w:line="17" w:lineRule="exact"/>
        <w:rPr>
          <w:sz w:val="20"/>
          <w:szCs w:val="20"/>
          <w:color w:val="auto"/>
        </w:rPr>
      </w:pPr>
    </w:p>
    <w:p>
      <w:pPr>
        <w:ind w:left="80" w:hanging="72"/>
        <w:spacing w:after="0"/>
        <w:tabs>
          <w:tab w:leader="none" w:pos="80"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Initiatives Affecting the Banking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Basel III</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FRB and the FDIC approved the final rules implementing the Basel Committee on Banking Supervision’s (“BCBS”) capital guidelines for U.S. banks. Under the final rules, minimum requirements increased for both the quantity and quality of capital held by the Company. The rules include a new common equity Tier 1 capital to risk-weighted assets minimum ratio of 4.5%, raise the minimum ratio of Tier 1 capital to risk-weighted assets from 4.0% to 6.0%, require a minimum ratio of Total Capital to risk-weighted assets of 8.0%, and require a minimum Tier 1 leverage ratio of 4.0%. A new capital conservation buffer, comprised of common equity Tier 1 capital, was also established above the regulatory minimum capital requirements. This capital conservation buffer began phasing in beginning January 1, 2016 at 0.625% of risk-weighted assets and will increase each subsequent year by an additional 0.625% until reaching its final level of 2.5% on January 1, 2019. Strict eligibility criteria for regulatory capital instruments were also implemented under the final rules. The final rules also revised the definition and calculation of Tier 1 capital, Total Capital, and risk-weighted assets.</w:t>
      </w:r>
    </w:p>
    <w:p>
      <w:pPr>
        <w:spacing w:after="0" w:line="18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phase-in period for the final rules became effective for the Company on January 1, 2015, with full compliance with all of the final rules’ requirements phased in over a multi-year schedule, to be fully implemented by January 1, 2019. As of September 30, 2017, the Company’s capital levels remained characterized as “well-capitalized” under the new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continues to monitor regulatory developments and their potential impact to the Company’s liquidity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Stress Testing</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Dodd-Frank Act required federal banking agencies to issue regulations that obligate banks with total consolidated assets of more than $10.0 billion to conduct and publish company-run annual stress tests to assess the potential impact of different scenarios on the consolidated earnings and capital of each bank and certain related items over a nine-quarter forward-looking planning horizon, taking into account all relevant exposures and activities. On October 9, 2012, the FRB published final rules implementing the stress testing requirements for banks, such as the Company, with total consolidated assets of more than $10.0 billion but less than $50.0 billion. These rules set forth the timing and type of stress test activities, as well as rules governing controls, oversight and disclosure.</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March 2014, the FRB, OCC, and FDIC issued final supervisory guidance for these stress tests. This joint final supervisory guidance discusses supervisory expectations for stress test practices, provides examples of practices that would be consistent with those expectations, and offers additional details about stress test methodologies. It also emphasizes the importance of stress testing as an ongoing risk management practice.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submitted our latest stress testing results to the FRB on July 28, 2017 and we will disclose the results to the public in October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Insurance Fund (“DIF”) Assessment</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March 2016, the FDIC approved a final rule that imposes on banks with at least $10 billion in assets, such as the Company, a surcharge of 4.5 cents per $100 of their assessment base, after making certain adjustments. The surcharge became effective for the third quarter of 2016 and the FDIC estimates the surcharge will be imposed for approximately two years. The surcharge took effect at the same time that the regular FDIC insurance assessment rates for all banks declined under a rule adopted by the FDIC in 2011. The net effect of the FDIC assessment changes noted above reduced our FDIC insurance expense by approximately $0.3 million and $0.7 million for the three and nine months ended September 30, 2017, respectively.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126" w:right="259" w:bottom="1440" w:gutter="0" w:footer="0" w:header="0"/>
        </w:sectPr>
      </w:pPr>
    </w:p>
    <w:bookmarkStart w:id="86" w:name="page87"/>
    <w:bookmarkEnd w:id="8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Credit Commitments, and 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Commitments and Contractual Obligations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credit commitments and contractual obligations have not changed materially since previously reported in our Annual Report on Form 10-K for the year ended December 31, 2016.</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September 30, 2017.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September 30, 2017.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September 30, 2017 that have materially affected or are reasonably likely to materially affect the Company’s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80"/>
          </w:cols>
          <w:pgMar w:left="240" w:top="126" w:right="379" w:bottom="1440" w:gutter="0" w:footer="0" w:header="0"/>
        </w:sectPr>
      </w:pPr>
    </w:p>
    <w:bookmarkStart w:id="88" w:name="page89"/>
    <w:bookmarkEnd w:id="8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Part I, Item 1A. “Risk Factors” in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Parent’s repurchases of its common stock during the third quarter of 2017 were as follows:</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r>
      <w:tr>
        <w:trPr>
          <w:trHeight w:val="203"/>
        </w:trPr>
        <w:tc>
          <w:tcPr>
            <w:tcW w:w="2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of Shares that May Yet Be</w:t>
            </w:r>
          </w:p>
        </w:tc>
      </w:tr>
      <w:tr>
        <w:trPr>
          <w:trHeight w:val="203"/>
        </w:trPr>
        <w:tc>
          <w:tcPr>
            <w:tcW w:w="2240" w:type="dxa"/>
            <w:vAlign w:val="bottom"/>
          </w:tcPr>
          <w:p>
            <w:pPr>
              <w:spacing w:after="0"/>
              <w:rPr>
                <w:sz w:val="17"/>
                <w:szCs w:val="17"/>
                <w:color w:val="auto"/>
              </w:rPr>
            </w:pPr>
          </w:p>
        </w:tc>
        <w:tc>
          <w:tcPr>
            <w:tcW w:w="2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7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2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244"/>
        </w:trPr>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17"/>
                <w:szCs w:val="17"/>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Plans or Programs </w:t>
            </w:r>
            <w:r>
              <w:rPr>
                <w:rFonts w:ascii="Times New Roman" w:cs="Times New Roman" w:eastAsia="Times New Roman" w:hAnsi="Times New Roman"/>
                <w:sz w:val="17"/>
                <w:szCs w:val="17"/>
                <w:b w:val="1"/>
                <w:bCs w:val="1"/>
                <w:color w:val="auto"/>
                <w:vertAlign w:val="superscript"/>
              </w:rPr>
              <w:t>2</w:t>
            </w:r>
          </w:p>
        </w:tc>
      </w:tr>
      <w:tr>
        <w:trPr>
          <w:trHeight w:val="245"/>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July 1 - 31, 2017</w:t>
            </w:r>
          </w:p>
        </w:tc>
        <w:tc>
          <w:tcPr>
            <w:tcW w:w="2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59,800</w:t>
            </w:r>
          </w:p>
        </w:tc>
        <w:tc>
          <w:tcPr>
            <w:tcW w:w="5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82.81</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56,922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40,774,780</w:t>
            </w:r>
          </w:p>
        </w:tc>
      </w:tr>
      <w:tr>
        <w:trPr>
          <w:trHeight w:val="237"/>
        </w:trPr>
        <w:tc>
          <w:tcPr>
            <w:tcW w:w="2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August 1 - 31, 2017</w:t>
            </w:r>
          </w:p>
        </w:tc>
        <w:tc>
          <w:tcPr>
            <w:tcW w:w="21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67,000</w:t>
            </w:r>
          </w:p>
        </w:tc>
        <w:tc>
          <w:tcPr>
            <w:tcW w:w="5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80.98</w:t>
            </w:r>
          </w:p>
        </w:tc>
        <w:tc>
          <w:tcPr>
            <w:tcW w:w="2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67,000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35,348,935</w:t>
            </w:r>
          </w:p>
        </w:tc>
      </w:tr>
      <w:tr>
        <w:trPr>
          <w:trHeight w:val="33"/>
        </w:trPr>
        <w:tc>
          <w:tcPr>
            <w:tcW w:w="2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1 - 30, 2017</w:t>
            </w:r>
          </w:p>
        </w:tc>
        <w:tc>
          <w:tcPr>
            <w:tcW w:w="2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59,578</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78.97</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59,578</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30,643,801</w:t>
            </w:r>
          </w:p>
        </w:tc>
      </w:tr>
      <w:tr>
        <w:trPr>
          <w:trHeight w:val="231"/>
        </w:trPr>
        <w:tc>
          <w:tcPr>
            <w:tcW w:w="2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186,378</w:t>
            </w:r>
          </w:p>
        </w:tc>
        <w:tc>
          <w:tcPr>
            <w:tcW w:w="5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80.93</w:t>
            </w:r>
          </w:p>
        </w:tc>
        <w:tc>
          <w:tcPr>
            <w:tcW w:w="2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183,500</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2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right="160" w:hanging="172"/>
        <w:spacing w:after="0" w:line="249" w:lineRule="auto"/>
        <w:tabs>
          <w:tab w:leader="none" w:pos="180" w:val="left"/>
        </w:tabs>
        <w:numPr>
          <w:ilvl w:val="0"/>
          <w:numId w:val="4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third quarter of 2017, 2,878 shares were acquired from employees in connection with stock swaps,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w:t>
      </w:r>
    </w:p>
    <w:p>
      <w:pPr>
        <w:spacing w:after="0" w:line="1" w:lineRule="exact"/>
        <w:rPr>
          <w:sz w:val="20"/>
          <w:szCs w:val="20"/>
          <w:color w:val="auto"/>
        </w:rPr>
      </w:pPr>
    </w:p>
    <w:p>
      <w:pPr>
        <w:ind w:left="180" w:right="160"/>
        <w:spacing w:after="0" w:line="241" w:lineRule="auto"/>
        <w:rPr>
          <w:sz w:val="20"/>
          <w:szCs w:val="20"/>
          <w:color w:val="auto"/>
        </w:rPr>
      </w:pPr>
      <w:r>
        <w:rPr>
          <w:rFonts w:ascii="Times New Roman" w:cs="Times New Roman" w:eastAsia="Times New Roman" w:hAnsi="Times New Roman"/>
          <w:sz w:val="14"/>
          <w:szCs w:val="14"/>
          <w:color w:val="auto"/>
        </w:rPr>
        <w:t>(the “Securities Act”) by Section 4(a)(2) thereof. The trustee under the trust and the participants under the DDCP are accredited investors, as defined in Rule 501(a) under the Securities Act. These transactions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180" w:right="280" w:hanging="172"/>
        <w:spacing w:after="0" w:line="258" w:lineRule="auto"/>
        <w:tabs>
          <w:tab w:leader="none" w:pos="18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23, 2017</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80"/>
          </w:cols>
          <w:pgMar w:left="240" w:top="126" w:right="379" w:bottom="1440" w:gutter="0" w:footer="0" w:header="0"/>
        </w:sectPr>
      </w:pPr>
    </w:p>
    <w:bookmarkStart w:id="90" w:name="page91"/>
    <w:bookmarkEnd w:id="9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77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0" w:type="dxa"/>
            <w:vAlign w:val="bottom"/>
            <w:gridSpan w:val="2"/>
          </w:tcPr>
          <w:p>
            <w:pPr>
              <w:jc w:val="right"/>
              <w:ind w:right="360"/>
              <w:spacing w:after="0"/>
              <w:rPr>
                <w:rFonts w:ascii="Times New Roman" w:cs="Times New Roman" w:eastAsia="Times New Roman" w:hAnsi="Times New Roman"/>
                <w:sz w:val="18"/>
                <w:szCs w:val="18"/>
                <w:color w:val="0000FF"/>
                <w:w w:val="95"/>
              </w:rPr>
            </w:pPr>
            <w:hyperlink w:anchor="page92">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Section 302 of the Sarbanes Oxley Act of 2002</w:t>
            </w:r>
          </w:p>
        </w:tc>
      </w:tr>
      <w:tr>
        <w:trPr>
          <w:trHeight w:val="500"/>
        </w:trPr>
        <w:tc>
          <w:tcPr>
            <w:tcW w:w="680" w:type="dxa"/>
            <w:vAlign w:val="bottom"/>
            <w:gridSpan w:val="2"/>
          </w:tcPr>
          <w:p>
            <w:pPr>
              <w:jc w:val="right"/>
              <w:ind w:right="360"/>
              <w:spacing w:after="0"/>
              <w:rPr>
                <w:rFonts w:ascii="Times New Roman" w:cs="Times New Roman" w:eastAsia="Times New Roman" w:hAnsi="Times New Roman"/>
                <w:sz w:val="18"/>
                <w:szCs w:val="18"/>
                <w:color w:val="0000FF"/>
                <w:w w:val="95"/>
              </w:rPr>
            </w:pPr>
            <w:hyperlink w:anchor="page93">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Rule 13a-14(a) of the Securities Exchange Act of 1934, as Amended, Adopted Pursuant to</w:t>
            </w:r>
          </w:p>
        </w:tc>
      </w:tr>
      <w:tr>
        <w:trPr>
          <w:trHeight w:val="237"/>
        </w:trPr>
        <w:tc>
          <w:tcPr>
            <w:tcW w:w="30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Section 302 of the Sarbanes Oxley Act of 2002</w:t>
            </w:r>
          </w:p>
        </w:tc>
      </w:tr>
    </w:tbl>
    <w:p>
      <w:pPr>
        <w:spacing w:after="0" w:line="306" w:lineRule="exact"/>
        <w:rPr>
          <w:sz w:val="20"/>
          <w:szCs w:val="20"/>
          <w:color w:val="auto"/>
        </w:rPr>
      </w:pPr>
    </w:p>
    <w:p>
      <w:pPr>
        <w:ind w:left="1100" w:right="60" w:hanging="1065"/>
        <w:spacing w:after="0" w:line="282" w:lineRule="auto"/>
        <w:tabs>
          <w:tab w:leader="none" w:pos="1100" w:val="left"/>
        </w:tabs>
        <w:numPr>
          <w:ilvl w:val="0"/>
          <w:numId w:val="4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w:t>
      </w:r>
    </w:p>
    <w:p>
      <w:pPr>
        <w:spacing w:after="0" w:line="270"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240" w:top="126"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44"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700" w:val="left"/>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23, 2017</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420"/>
          </w:cols>
          <w:pgMar w:left="240" w:top="576"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44"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700" w:val="left"/>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23, 2017</w:t>
      </w:r>
      <w:r>
        <w:rPr>
          <w:sz w:val="20"/>
          <w:szCs w:val="20"/>
          <w:color w:val="auto"/>
        </w:rPr>
        <w:tab/>
      </w:r>
      <w:r>
        <w:rPr>
          <w:rFonts w:ascii="Times New Roman" w:cs="Times New Roman" w:eastAsia="Times New Roman" w:hAnsi="Times New Roman"/>
          <w:sz w:val="17"/>
          <w:szCs w:val="17"/>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certify pursuant to 18 U.S.C. Section 1350, as adopted pursuant to Section 906 of the Sarbanes-Oxley Act of 2002, that the Quarterly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 of Bank of Hawaii Corporation (the “Company”) for the quarter ended September 30, 2017 (the “Report”):</w:t>
      </w:r>
    </w:p>
    <w:p>
      <w:pPr>
        <w:spacing w:after="0" w:line="126"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as applicable, of the Securities Exchange Act of 1934, as amended;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40"/>
        <w:spacing w:after="0"/>
        <w:tabs>
          <w:tab w:leader="none" w:pos="700" w:val="left"/>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23, 2017</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1"/>
      <w:numFmt w:val="bullet"/>
      <w:start w:val="1"/>
    </w:lvl>
  </w:abstractNum>
  <w:abstractNum w:abstractNumId="5">
    <w:nsid w:val="2901D82"/>
    <w:multiLevelType w:val="hybridMultilevel"/>
    <w:lvl w:ilvl="0">
      <w:lvlJc w:val="left"/>
      <w:lvlText w:val="2"/>
      <w:numFmt w:val="bullet"/>
      <w:start w:val="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1"/>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1"/>
      <w:numFmt w:val="bullet"/>
      <w:start w:val="1"/>
    </w:lvl>
  </w:abstractNum>
  <w:abstractNum w:abstractNumId="11">
    <w:nsid w:val="6CEAF087"/>
    <w:multiLevelType w:val="hybridMultilevel"/>
    <w:lvl w:ilvl="0">
      <w:lvlJc w:val="left"/>
      <w:lvlText w:val="2"/>
      <w:numFmt w:val="bullet"/>
      <w:start w:val="1"/>
    </w:lvl>
  </w:abstractNum>
  <w:abstractNum w:abstractNumId="12">
    <w:nsid w:val="22221A70"/>
    <w:multiLevelType w:val="hybridMultilevel"/>
    <w:lvl w:ilvl="0">
      <w:lvlJc w:val="left"/>
      <w:lvlText w:val="1"/>
      <w:numFmt w:val="bullet"/>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1"/>
      <w:numFmt w:val="bullet"/>
      <w:start w:val="1"/>
    </w:lvl>
  </w:abstractNum>
  <w:abstractNum w:abstractNumId="15">
    <w:nsid w:val="614FD4A1"/>
    <w:multiLevelType w:val="hybridMultilevel"/>
    <w:lvl w:ilvl="0">
      <w:lvlJc w:val="left"/>
      <w:lvlText w:val="2"/>
      <w:numFmt w:val="bullet"/>
      <w:start w:val="1"/>
    </w:lvl>
  </w:abstractNum>
  <w:abstractNum w:abstractNumId="16">
    <w:nsid w:val="419AC241"/>
    <w:multiLevelType w:val="hybridMultilevel"/>
    <w:lvl w:ilvl="0">
      <w:lvlJc w:val="left"/>
      <w:lvlText w:val="1"/>
      <w:numFmt w:val="bullet"/>
      <w:start w:val="1"/>
    </w:lvl>
  </w:abstractNum>
  <w:abstractNum w:abstractNumId="17">
    <w:nsid w:val="5577F8E1"/>
    <w:multiLevelType w:val="hybridMultilevel"/>
    <w:lvl w:ilvl="0">
      <w:lvlJc w:val="left"/>
      <w:lvlText w:val="1"/>
      <w:numFmt w:val="bullet"/>
      <w:start w:val="1"/>
    </w:lvl>
  </w:abstractNum>
  <w:abstractNum w:abstractNumId="18">
    <w:nsid w:val="440BADFC"/>
    <w:multiLevelType w:val="hybridMultilevel"/>
    <w:lvl w:ilvl="0">
      <w:lvlJc w:val="left"/>
      <w:lvlText w:val="1"/>
      <w:numFmt w:val="bullet"/>
      <w:start w:val="1"/>
    </w:lvl>
  </w:abstractNum>
  <w:abstractNum w:abstractNumId="19">
    <w:nsid w:val="5072367"/>
    <w:multiLevelType w:val="hybridMultilevel"/>
    <w:lvl w:ilvl="0">
      <w:lvlJc w:val="left"/>
      <w:lvlText w:val="2"/>
      <w:numFmt w:val="bullet"/>
      <w:start w:val="1"/>
    </w:lvl>
  </w:abstractNum>
  <w:abstractNum w:abstractNumId="20">
    <w:nsid w:val="3804823E"/>
    <w:multiLevelType w:val="hybridMultilevel"/>
    <w:lvl w:ilvl="0">
      <w:lvlJc w:val="left"/>
      <w:lvlText w:val="1"/>
      <w:numFmt w:val="bullet"/>
      <w:start w:val="1"/>
    </w:lvl>
  </w:abstractNum>
  <w:abstractNum w:abstractNumId="21">
    <w:nsid w:val="77465F01"/>
    <w:multiLevelType w:val="hybridMultilevel"/>
    <w:lvl w:ilvl="0">
      <w:lvlJc w:val="left"/>
      <w:lvlText w:val="2"/>
      <w:numFmt w:val="bullet"/>
      <w:start w:val="1"/>
    </w:lvl>
  </w:abstractNum>
  <w:abstractNum w:abstractNumId="22">
    <w:nsid w:val="7724C67E"/>
    <w:multiLevelType w:val="hybridMultilevel"/>
    <w:lvl w:ilvl="0">
      <w:lvlJc w:val="left"/>
      <w:lvlText w:val="1"/>
      <w:numFmt w:val="bullet"/>
      <w:start w:val="1"/>
    </w:lvl>
  </w:abstractNum>
  <w:abstractNum w:abstractNumId="23">
    <w:nsid w:val="5C482A97"/>
    <w:multiLevelType w:val="hybridMultilevel"/>
    <w:lvl w:ilvl="0">
      <w:lvlJc w:val="left"/>
      <w:lvlText w:val="2"/>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bullet"/>
      <w:start w:val="1"/>
    </w:lvl>
  </w:abstractNum>
  <w:abstractNum w:abstractNumId="30">
    <w:nsid w:val="3855585C"/>
    <w:multiLevelType w:val="hybridMultilevel"/>
    <w:lvl w:ilvl="0">
      <w:lvlJc w:val="left"/>
      <w:lvlText w:val="2"/>
      <w:numFmt w:val="bullet"/>
      <w:start w:val="1"/>
    </w:lvl>
  </w:abstractNum>
  <w:abstractNum w:abstractNumId="31">
    <w:nsid w:val="70A64E2A"/>
    <w:multiLevelType w:val="hybridMultilevel"/>
    <w:lvl w:ilvl="0">
      <w:lvlJc w:val="left"/>
      <w:lvlText w:val="3"/>
      <w:numFmt w:val="bullet"/>
      <w:start w:val="1"/>
    </w:lvl>
  </w:abstractNum>
  <w:abstractNum w:abstractNumId="32">
    <w:nsid w:val="6A2342EC"/>
    <w:multiLevelType w:val="hybridMultilevel"/>
    <w:lvl w:ilvl="0">
      <w:lvlJc w:val="left"/>
      <w:lvlText w:val="4"/>
      <w:numFmt w:val="bullet"/>
      <w:start w:val="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2"/>
      <w:numFmt w:val="bullet"/>
      <w:start w:val="1"/>
    </w:lvl>
  </w:abstractNum>
  <w:abstractNum w:abstractNumId="35">
    <w:nsid w:val="725A06FB"/>
    <w:multiLevelType w:val="hybridMultilevel"/>
    <w:lvl w:ilvl="0">
      <w:lvlJc w:val="left"/>
      <w:lvlText w:val="3"/>
      <w:numFmt w:val="bullet"/>
      <w:start w:val="1"/>
    </w:lvl>
  </w:abstractNum>
  <w:abstractNum w:abstractNumId="36">
    <w:nsid w:val="2CD89A32"/>
    <w:multiLevelType w:val="hybridMultilevel"/>
    <w:lvl w:ilvl="0">
      <w:lvlJc w:val="left"/>
      <w:lvlText w:val="1"/>
      <w:numFmt w:val="bullet"/>
      <w:start w:val="1"/>
    </w:lvl>
  </w:abstractNum>
  <w:abstractNum w:abstractNumId="37">
    <w:nsid w:val="57E4CCAF"/>
    <w:multiLevelType w:val="hybridMultilevel"/>
    <w:lvl w:ilvl="0">
      <w:lvlJc w:val="left"/>
      <w:lvlText w:val="2"/>
      <w:numFmt w:val="bullet"/>
      <w:start w:val="1"/>
    </w:lvl>
  </w:abstractNum>
  <w:abstractNum w:abstractNumId="38">
    <w:nsid w:val="7A6D8D3C"/>
    <w:multiLevelType w:val="hybridMultilevel"/>
    <w:lvl w:ilvl="0">
      <w:lvlJc w:val="left"/>
      <w:lvlText w:val="1"/>
      <w:numFmt w:val="bullet"/>
      <w:start w:val="1"/>
    </w:lvl>
  </w:abstractNum>
  <w:abstractNum w:abstractNumId="39">
    <w:nsid w:val="4B588F54"/>
    <w:multiLevelType w:val="hybridMultilevel"/>
    <w:lvl w:ilvl="0">
      <w:lvlJc w:val="left"/>
      <w:lvlText w:val="2"/>
      <w:numFmt w:val="bullet"/>
      <w:start w:val="1"/>
    </w:lvl>
  </w:abstractNum>
  <w:abstractNum w:abstractNumId="40">
    <w:nsid w:val="542289EC"/>
    <w:multiLevelType w:val="hybridMultilevel"/>
    <w:lvl w:ilvl="0">
      <w:lvlJc w:val="left"/>
      <w:lvlText w:val="3"/>
      <w:numFmt w:val="bullet"/>
      <w:start w:val="1"/>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2"/>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bullet"/>
      <w:start w:val="1"/>
    </w:lvl>
  </w:abstractNum>
  <w:abstractNum w:abstractNumId="45">
    <w:nsid w:val="684A481A"/>
    <w:multiLevelType w:val="hybridMultilevel"/>
    <w:lvl w:ilvl="0">
      <w:lvlJc w:val="left"/>
      <w:lvlText w:val="2"/>
      <w:numFmt w:val="bullet"/>
      <w:start w:val="1"/>
    </w:lvl>
  </w:abstractNum>
  <w:abstractNum w:abstractNumId="46">
    <w:nsid w:val="579478FE"/>
    <w:multiLevelType w:val="hybridMultilevel"/>
    <w:lvl w:ilvl="0">
      <w:lvlJc w:val="left"/>
      <w:lvlText w:val="1"/>
      <w:numFmt w:val="bullet"/>
      <w:start w:val="1"/>
    </w:lvl>
  </w:abstractNum>
  <w:abstractNum w:abstractNumId="47">
    <w:nsid w:val="749ABB43"/>
    <w:multiLevelType w:val="hybridMultilevel"/>
    <w:lvl w:ilvl="0">
      <w:lvlJc w:val="left"/>
      <w:lvlText w:val="2"/>
      <w:numFmt w:val="bullet"/>
      <w:start w:val="1"/>
    </w:lvl>
  </w:abstractNum>
  <w:abstractNum w:abstractNumId="48">
    <w:nsid w:val="3DC240FB"/>
    <w:multiLevelType w:val="hybridMultilevel"/>
    <w:lvl w:ilvl="0">
      <w:lvlJc w:val="left"/>
      <w:lvlText w:val="%1"/>
      <w:numFmt w:val="decimal"/>
      <w:start w:val="32"/>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2019-12-29T04:23:51Z</dcterms:created>
  <dcterms:modified xsi:type="dcterms:W3CDTF">2019-12-29T04:23:51Z</dcterms:modified>
</cp:coreProperties>
</file>